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9CBD" w14:textId="6A06099E" w:rsidR="0099234C" w:rsidRPr="009A3490" w:rsidRDefault="003915DE" w:rsidP="00863DE7">
      <w:pPr>
        <w:jc w:val="center"/>
        <w:rPr>
          <w:b/>
          <w:bCs/>
          <w:sz w:val="28"/>
          <w:szCs w:val="28"/>
        </w:rPr>
      </w:pPr>
      <w:r>
        <w:rPr>
          <w:b/>
          <w:bCs/>
          <w:sz w:val="28"/>
          <w:szCs w:val="28"/>
        </w:rPr>
        <w:t>Budget</w:t>
      </w:r>
      <w:r w:rsidR="00E00B7F" w:rsidRPr="009A3490">
        <w:rPr>
          <w:b/>
          <w:bCs/>
          <w:sz w:val="28"/>
          <w:szCs w:val="28"/>
        </w:rPr>
        <w:t xml:space="preserve"> </w:t>
      </w:r>
      <w:r w:rsidR="00397B70">
        <w:rPr>
          <w:b/>
          <w:bCs/>
          <w:sz w:val="28"/>
          <w:szCs w:val="28"/>
        </w:rPr>
        <w:t>Summary</w:t>
      </w:r>
      <w:r w:rsidR="00276F0C" w:rsidRPr="009A3490">
        <w:rPr>
          <w:b/>
          <w:bCs/>
          <w:sz w:val="28"/>
          <w:szCs w:val="28"/>
        </w:rPr>
        <w:t xml:space="preserve"> </w:t>
      </w:r>
      <w:r w:rsidR="006E0FBC">
        <w:rPr>
          <w:b/>
          <w:bCs/>
          <w:sz w:val="28"/>
          <w:szCs w:val="28"/>
        </w:rPr>
        <w:t xml:space="preserve">Thru </w:t>
      </w:r>
      <w:r w:rsidR="00FD4BAF">
        <w:rPr>
          <w:b/>
          <w:bCs/>
          <w:sz w:val="28"/>
          <w:szCs w:val="28"/>
        </w:rPr>
        <w:t>Ju</w:t>
      </w:r>
      <w:r w:rsidR="00C60D51">
        <w:rPr>
          <w:b/>
          <w:bCs/>
          <w:sz w:val="28"/>
          <w:szCs w:val="28"/>
        </w:rPr>
        <w:t>ly</w:t>
      </w:r>
      <w:r w:rsidR="00B84E41">
        <w:rPr>
          <w:b/>
          <w:bCs/>
          <w:sz w:val="28"/>
          <w:szCs w:val="28"/>
        </w:rPr>
        <w:t>,</w:t>
      </w:r>
      <w:r w:rsidR="008637AA" w:rsidRPr="009A3490">
        <w:rPr>
          <w:b/>
          <w:bCs/>
          <w:sz w:val="28"/>
          <w:szCs w:val="28"/>
        </w:rPr>
        <w:t xml:space="preserve"> 202</w:t>
      </w:r>
      <w:r w:rsidR="007D7B88">
        <w:rPr>
          <w:b/>
          <w:bCs/>
          <w:sz w:val="28"/>
          <w:szCs w:val="28"/>
        </w:rPr>
        <w:t>6</w:t>
      </w:r>
    </w:p>
    <w:p w14:paraId="6A4D6A88" w14:textId="0F89DA8D" w:rsidR="00AD2FC5" w:rsidRPr="001349A2" w:rsidRDefault="00F9072B" w:rsidP="00AD2FC5">
      <w:pPr>
        <w:pStyle w:val="ListParagraph"/>
        <w:rPr>
          <w:b/>
          <w:bCs/>
          <w:color w:val="000000" w:themeColor="text1"/>
          <w:sz w:val="28"/>
          <w:szCs w:val="28"/>
        </w:rPr>
      </w:pPr>
      <w:r>
        <w:rPr>
          <w:sz w:val="28"/>
          <w:szCs w:val="28"/>
        </w:rPr>
        <w:t>Session has authorized a budget of $65</w:t>
      </w:r>
      <w:r w:rsidR="00285412">
        <w:rPr>
          <w:sz w:val="28"/>
          <w:szCs w:val="28"/>
        </w:rPr>
        <w:t>7,639</w:t>
      </w:r>
      <w:r>
        <w:rPr>
          <w:sz w:val="28"/>
          <w:szCs w:val="28"/>
        </w:rPr>
        <w:t xml:space="preserve"> which includes </w:t>
      </w:r>
      <w:r w:rsidR="00CC14D1">
        <w:rPr>
          <w:sz w:val="28"/>
          <w:szCs w:val="28"/>
        </w:rPr>
        <w:t>a</w:t>
      </w:r>
      <w:r>
        <w:rPr>
          <w:sz w:val="28"/>
          <w:szCs w:val="28"/>
        </w:rPr>
        <w:t xml:space="preserve"> $</w:t>
      </w:r>
      <w:r w:rsidR="00285412">
        <w:rPr>
          <w:sz w:val="28"/>
          <w:szCs w:val="28"/>
        </w:rPr>
        <w:t>12,751</w:t>
      </w:r>
      <w:r>
        <w:rPr>
          <w:sz w:val="28"/>
          <w:szCs w:val="28"/>
        </w:rPr>
        <w:t xml:space="preserve"> deficit. </w:t>
      </w:r>
      <w:r w:rsidRPr="00544BBB">
        <w:rPr>
          <w:sz w:val="28"/>
          <w:szCs w:val="28"/>
        </w:rPr>
        <w:t>Thr</w:t>
      </w:r>
      <w:r>
        <w:rPr>
          <w:sz w:val="28"/>
          <w:szCs w:val="28"/>
        </w:rPr>
        <w:t>o</w:t>
      </w:r>
      <w:r w:rsidRPr="00544BBB">
        <w:rPr>
          <w:sz w:val="28"/>
          <w:szCs w:val="28"/>
        </w:rPr>
        <w:t>u</w:t>
      </w:r>
      <w:r>
        <w:rPr>
          <w:sz w:val="28"/>
          <w:szCs w:val="28"/>
        </w:rPr>
        <w:t>gh</w:t>
      </w:r>
      <w:r w:rsidRPr="00544BBB">
        <w:rPr>
          <w:sz w:val="28"/>
          <w:szCs w:val="28"/>
        </w:rPr>
        <w:t xml:space="preserve"> the end of </w:t>
      </w:r>
      <w:r w:rsidR="00FD4BAF">
        <w:rPr>
          <w:sz w:val="28"/>
          <w:szCs w:val="28"/>
        </w:rPr>
        <w:t>Ju</w:t>
      </w:r>
      <w:r w:rsidR="000E40D1">
        <w:rPr>
          <w:sz w:val="28"/>
          <w:szCs w:val="28"/>
        </w:rPr>
        <w:t>ly</w:t>
      </w:r>
      <w:r w:rsidR="00285412">
        <w:rPr>
          <w:sz w:val="28"/>
          <w:szCs w:val="28"/>
        </w:rPr>
        <w:t xml:space="preserve"> </w:t>
      </w:r>
      <w:r w:rsidRPr="00544BBB">
        <w:rPr>
          <w:sz w:val="28"/>
          <w:szCs w:val="28"/>
        </w:rPr>
        <w:t xml:space="preserve">KGPC </w:t>
      </w:r>
      <w:r w:rsidRPr="00811054">
        <w:rPr>
          <w:b/>
          <w:bCs/>
          <w:sz w:val="28"/>
          <w:szCs w:val="28"/>
        </w:rPr>
        <w:t>received</w:t>
      </w:r>
      <w:r w:rsidRPr="00122910">
        <w:rPr>
          <w:b/>
          <w:bCs/>
          <w:sz w:val="28"/>
          <w:szCs w:val="28"/>
        </w:rPr>
        <w:t xml:space="preserve"> $</w:t>
      </w:r>
      <w:r w:rsidR="00FD4BAF">
        <w:rPr>
          <w:b/>
          <w:bCs/>
          <w:sz w:val="28"/>
          <w:szCs w:val="28"/>
        </w:rPr>
        <w:t>3</w:t>
      </w:r>
      <w:r w:rsidR="000E40D1">
        <w:rPr>
          <w:b/>
          <w:bCs/>
          <w:sz w:val="28"/>
          <w:szCs w:val="28"/>
        </w:rPr>
        <w:t>65</w:t>
      </w:r>
      <w:r w:rsidR="00FD4BAF">
        <w:rPr>
          <w:b/>
          <w:bCs/>
          <w:sz w:val="28"/>
          <w:szCs w:val="28"/>
        </w:rPr>
        <w:t>,</w:t>
      </w:r>
      <w:r w:rsidR="000E40D1">
        <w:rPr>
          <w:b/>
          <w:bCs/>
          <w:sz w:val="28"/>
          <w:szCs w:val="28"/>
        </w:rPr>
        <w:t>435.24</w:t>
      </w:r>
      <w:r w:rsidR="00537B60">
        <w:rPr>
          <w:b/>
          <w:bCs/>
          <w:sz w:val="28"/>
          <w:szCs w:val="28"/>
        </w:rPr>
        <w:t xml:space="preserve"> </w:t>
      </w:r>
      <w:r w:rsidR="00CC14D1" w:rsidRPr="00537B60">
        <w:rPr>
          <w:sz w:val="28"/>
          <w:szCs w:val="28"/>
        </w:rPr>
        <w:t xml:space="preserve">(including interest) </w:t>
      </w:r>
      <w:r w:rsidRPr="00537B60">
        <w:rPr>
          <w:sz w:val="28"/>
          <w:szCs w:val="28"/>
        </w:rPr>
        <w:t xml:space="preserve">and </w:t>
      </w:r>
      <w:r w:rsidRPr="00537B60">
        <w:rPr>
          <w:b/>
          <w:bCs/>
          <w:sz w:val="28"/>
          <w:szCs w:val="28"/>
        </w:rPr>
        <w:t>spent $</w:t>
      </w:r>
      <w:r w:rsidR="00FD4BAF">
        <w:rPr>
          <w:b/>
          <w:bCs/>
          <w:sz w:val="28"/>
          <w:szCs w:val="28"/>
        </w:rPr>
        <w:t>3</w:t>
      </w:r>
      <w:r w:rsidR="000E40D1">
        <w:rPr>
          <w:b/>
          <w:bCs/>
          <w:sz w:val="28"/>
          <w:szCs w:val="28"/>
        </w:rPr>
        <w:t>83,291.22</w:t>
      </w:r>
      <w:r w:rsidRPr="00537B60">
        <w:rPr>
          <w:b/>
          <w:bCs/>
          <w:sz w:val="28"/>
          <w:szCs w:val="28"/>
        </w:rPr>
        <w:t>.</w:t>
      </w:r>
      <w:r w:rsidR="00583FA1" w:rsidRPr="00537B60">
        <w:rPr>
          <w:b/>
          <w:bCs/>
          <w:sz w:val="28"/>
          <w:szCs w:val="28"/>
        </w:rPr>
        <w:t xml:space="preserve">  </w:t>
      </w:r>
      <w:r w:rsidR="001A0602" w:rsidRPr="00D351BD">
        <w:rPr>
          <w:color w:val="EE0000"/>
          <w:sz w:val="28"/>
          <w:szCs w:val="28"/>
        </w:rPr>
        <w:t xml:space="preserve">This results in a budget </w:t>
      </w:r>
      <w:r w:rsidR="000E40D1" w:rsidRPr="00D351BD">
        <w:rPr>
          <w:color w:val="EE0000"/>
          <w:sz w:val="28"/>
          <w:szCs w:val="28"/>
        </w:rPr>
        <w:t>deficit</w:t>
      </w:r>
      <w:r w:rsidR="001A0602" w:rsidRPr="00D351BD">
        <w:rPr>
          <w:color w:val="EE0000"/>
          <w:sz w:val="28"/>
          <w:szCs w:val="28"/>
        </w:rPr>
        <w:t xml:space="preserve"> of $</w:t>
      </w:r>
      <w:r w:rsidR="000E40D1" w:rsidRPr="00D351BD">
        <w:rPr>
          <w:color w:val="EE0000"/>
          <w:sz w:val="28"/>
          <w:szCs w:val="28"/>
        </w:rPr>
        <w:t>17,855.98</w:t>
      </w:r>
      <w:r w:rsidR="00FC6F40" w:rsidRPr="00D351BD">
        <w:rPr>
          <w:color w:val="EE0000"/>
          <w:sz w:val="28"/>
          <w:szCs w:val="28"/>
        </w:rPr>
        <w:t xml:space="preserve">. </w:t>
      </w:r>
      <w:r w:rsidR="00FC6F40">
        <w:rPr>
          <w:color w:val="EE0000"/>
          <w:sz w:val="28"/>
          <w:szCs w:val="28"/>
        </w:rPr>
        <w:t xml:space="preserve"> </w:t>
      </w:r>
      <w:r w:rsidR="00537B60">
        <w:rPr>
          <w:b/>
          <w:bCs/>
          <w:color w:val="EE0000"/>
          <w:sz w:val="28"/>
          <w:szCs w:val="28"/>
        </w:rPr>
        <w:t>T</w:t>
      </w:r>
      <w:r w:rsidR="001A0602" w:rsidRPr="00537B60">
        <w:rPr>
          <w:b/>
          <w:bCs/>
          <w:color w:val="EE0000"/>
          <w:sz w:val="28"/>
          <w:szCs w:val="28"/>
        </w:rPr>
        <w:t>he received amount of $</w:t>
      </w:r>
      <w:r w:rsidR="00F202FE">
        <w:rPr>
          <w:b/>
          <w:bCs/>
          <w:color w:val="EE0000"/>
          <w:sz w:val="28"/>
          <w:szCs w:val="28"/>
        </w:rPr>
        <w:t>3</w:t>
      </w:r>
      <w:r w:rsidR="000E40D1">
        <w:rPr>
          <w:b/>
          <w:bCs/>
          <w:color w:val="EE0000"/>
          <w:sz w:val="28"/>
          <w:szCs w:val="28"/>
        </w:rPr>
        <w:t>65,435.24</w:t>
      </w:r>
      <w:r w:rsidR="001A0602" w:rsidRPr="00537B60">
        <w:rPr>
          <w:b/>
          <w:bCs/>
          <w:color w:val="EE0000"/>
          <w:sz w:val="28"/>
          <w:szCs w:val="28"/>
        </w:rPr>
        <w:t xml:space="preserve"> includes </w:t>
      </w:r>
      <w:r w:rsidR="00EB3266" w:rsidRPr="00537B60">
        <w:rPr>
          <w:b/>
          <w:bCs/>
          <w:color w:val="EE0000"/>
          <w:sz w:val="28"/>
          <w:szCs w:val="28"/>
        </w:rPr>
        <w:t>$</w:t>
      </w:r>
      <w:r w:rsidR="000E40D1">
        <w:rPr>
          <w:b/>
          <w:bCs/>
          <w:color w:val="EE0000"/>
          <w:sz w:val="28"/>
          <w:szCs w:val="28"/>
        </w:rPr>
        <w:t>13,999.29</w:t>
      </w:r>
      <w:r w:rsidR="001A0602" w:rsidRPr="00537B60">
        <w:rPr>
          <w:b/>
          <w:bCs/>
          <w:color w:val="EE0000"/>
          <w:sz w:val="28"/>
          <w:szCs w:val="28"/>
        </w:rPr>
        <w:t xml:space="preserve"> of interest from Davenport</w:t>
      </w:r>
      <w:r w:rsidR="00F04CF9">
        <w:rPr>
          <w:b/>
          <w:bCs/>
          <w:color w:val="EE0000"/>
          <w:sz w:val="28"/>
          <w:szCs w:val="28"/>
        </w:rPr>
        <w:t xml:space="preserve"> ($</w:t>
      </w:r>
      <w:r w:rsidR="000E40D1">
        <w:rPr>
          <w:b/>
          <w:bCs/>
          <w:color w:val="EE0000"/>
          <w:sz w:val="28"/>
          <w:szCs w:val="28"/>
        </w:rPr>
        <w:t>6,339.56</w:t>
      </w:r>
      <w:r w:rsidR="00F04CF9">
        <w:rPr>
          <w:b/>
          <w:bCs/>
          <w:color w:val="EE0000"/>
          <w:sz w:val="28"/>
          <w:szCs w:val="28"/>
        </w:rPr>
        <w:t>) and the New Covenant Fund ($</w:t>
      </w:r>
      <w:r w:rsidR="000E40D1">
        <w:rPr>
          <w:b/>
          <w:bCs/>
          <w:color w:val="EE0000"/>
          <w:sz w:val="28"/>
          <w:szCs w:val="28"/>
        </w:rPr>
        <w:t>7,659.73</w:t>
      </w:r>
      <w:r w:rsidR="00F04CF9">
        <w:rPr>
          <w:b/>
          <w:bCs/>
          <w:color w:val="EE0000"/>
          <w:sz w:val="28"/>
          <w:szCs w:val="28"/>
        </w:rPr>
        <w:t>)</w:t>
      </w:r>
      <w:r w:rsidR="001A0602" w:rsidRPr="00537B60">
        <w:rPr>
          <w:b/>
          <w:bCs/>
          <w:color w:val="EE0000"/>
          <w:sz w:val="28"/>
          <w:szCs w:val="28"/>
        </w:rPr>
        <w:t xml:space="preserve">.  </w:t>
      </w:r>
      <w:r w:rsidR="00F04CF9">
        <w:rPr>
          <w:b/>
          <w:bCs/>
          <w:color w:val="EE0000"/>
          <w:sz w:val="28"/>
          <w:szCs w:val="28"/>
        </w:rPr>
        <w:t xml:space="preserve">Since interest earned is not </w:t>
      </w:r>
      <w:r w:rsidR="008116AF">
        <w:rPr>
          <w:b/>
          <w:bCs/>
          <w:color w:val="EE0000"/>
          <w:sz w:val="28"/>
          <w:szCs w:val="28"/>
        </w:rPr>
        <w:t xml:space="preserve">considered </w:t>
      </w:r>
      <w:r w:rsidR="00F04CF9">
        <w:rPr>
          <w:b/>
          <w:bCs/>
          <w:color w:val="EE0000"/>
          <w:sz w:val="28"/>
          <w:szCs w:val="28"/>
        </w:rPr>
        <w:t xml:space="preserve">giving, the </w:t>
      </w:r>
      <w:r w:rsidR="001A0602" w:rsidRPr="00537B60">
        <w:rPr>
          <w:b/>
          <w:bCs/>
          <w:color w:val="EE0000"/>
          <w:sz w:val="28"/>
          <w:szCs w:val="28"/>
        </w:rPr>
        <w:t xml:space="preserve">Actual </w:t>
      </w:r>
      <w:r w:rsidR="00F04CF9">
        <w:rPr>
          <w:b/>
          <w:bCs/>
          <w:color w:val="EE0000"/>
          <w:sz w:val="28"/>
          <w:szCs w:val="28"/>
        </w:rPr>
        <w:t>G</w:t>
      </w:r>
      <w:r w:rsidR="001A0602" w:rsidRPr="00537B60">
        <w:rPr>
          <w:b/>
          <w:bCs/>
          <w:color w:val="EE0000"/>
          <w:sz w:val="28"/>
          <w:szCs w:val="28"/>
        </w:rPr>
        <w:t xml:space="preserve">iving </w:t>
      </w:r>
      <w:r w:rsidR="00EB3266" w:rsidRPr="00537B60">
        <w:rPr>
          <w:b/>
          <w:bCs/>
          <w:color w:val="EE0000"/>
          <w:sz w:val="28"/>
          <w:szCs w:val="28"/>
        </w:rPr>
        <w:t xml:space="preserve">(Generosity) </w:t>
      </w:r>
      <w:r w:rsidR="001A0602" w:rsidRPr="00537B60">
        <w:rPr>
          <w:b/>
          <w:bCs/>
          <w:color w:val="EE0000"/>
          <w:sz w:val="28"/>
          <w:szCs w:val="28"/>
        </w:rPr>
        <w:t>is reduced from $</w:t>
      </w:r>
      <w:r w:rsidR="00F202FE">
        <w:rPr>
          <w:b/>
          <w:bCs/>
          <w:color w:val="EE0000"/>
          <w:sz w:val="28"/>
          <w:szCs w:val="28"/>
        </w:rPr>
        <w:t>3</w:t>
      </w:r>
      <w:r w:rsidR="000E40D1">
        <w:rPr>
          <w:b/>
          <w:bCs/>
          <w:color w:val="EE0000"/>
          <w:sz w:val="28"/>
          <w:szCs w:val="28"/>
        </w:rPr>
        <w:t>65,435.24</w:t>
      </w:r>
      <w:r w:rsidR="001A0602" w:rsidRPr="00537B60">
        <w:rPr>
          <w:b/>
          <w:bCs/>
          <w:color w:val="EE0000"/>
          <w:sz w:val="28"/>
          <w:szCs w:val="28"/>
        </w:rPr>
        <w:t xml:space="preserve"> to $</w:t>
      </w:r>
      <w:r w:rsidR="00F202FE">
        <w:rPr>
          <w:b/>
          <w:bCs/>
          <w:color w:val="EE0000"/>
          <w:sz w:val="28"/>
          <w:szCs w:val="28"/>
        </w:rPr>
        <w:t>3</w:t>
      </w:r>
      <w:r w:rsidR="000E40D1">
        <w:rPr>
          <w:b/>
          <w:bCs/>
          <w:color w:val="EE0000"/>
          <w:sz w:val="28"/>
          <w:szCs w:val="28"/>
        </w:rPr>
        <w:t>51,435.95</w:t>
      </w:r>
      <w:r w:rsidR="001A0602" w:rsidRPr="00537B60">
        <w:rPr>
          <w:b/>
          <w:bCs/>
          <w:color w:val="EE0000"/>
          <w:sz w:val="28"/>
          <w:szCs w:val="28"/>
        </w:rPr>
        <w:t xml:space="preserve"> which yields a </w:t>
      </w:r>
      <w:r w:rsidR="001A0602" w:rsidRPr="009D6E66">
        <w:rPr>
          <w:b/>
          <w:bCs/>
          <w:color w:val="EE0000"/>
          <w:sz w:val="28"/>
          <w:szCs w:val="28"/>
          <w:u w:val="thick"/>
        </w:rPr>
        <w:t xml:space="preserve">true and actual </w:t>
      </w:r>
      <w:r w:rsidR="00FC6F40" w:rsidRPr="009D6E66">
        <w:rPr>
          <w:b/>
          <w:bCs/>
          <w:color w:val="EE0000"/>
          <w:sz w:val="28"/>
          <w:szCs w:val="28"/>
          <w:u w:val="thick"/>
        </w:rPr>
        <w:t>deficit</w:t>
      </w:r>
      <w:r w:rsidR="001A0602" w:rsidRPr="009D6E66">
        <w:rPr>
          <w:b/>
          <w:bCs/>
          <w:color w:val="EE0000"/>
          <w:sz w:val="28"/>
          <w:szCs w:val="28"/>
          <w:u w:val="thick"/>
        </w:rPr>
        <w:t xml:space="preserve"> of $</w:t>
      </w:r>
      <w:r w:rsidR="000E40D1" w:rsidRPr="009D6E66">
        <w:rPr>
          <w:b/>
          <w:bCs/>
          <w:color w:val="EE0000"/>
          <w:sz w:val="28"/>
          <w:szCs w:val="28"/>
          <w:u w:val="thick"/>
        </w:rPr>
        <w:t>31,855.27</w:t>
      </w:r>
      <w:r w:rsidR="00F202FE" w:rsidRPr="009D6E66">
        <w:rPr>
          <w:b/>
          <w:bCs/>
          <w:color w:val="EE0000"/>
          <w:sz w:val="28"/>
          <w:szCs w:val="28"/>
          <w:u w:val="thick"/>
        </w:rPr>
        <w:t>.</w:t>
      </w:r>
      <w:r w:rsidR="00F202FE">
        <w:rPr>
          <w:b/>
          <w:bCs/>
          <w:color w:val="EE0000"/>
          <w:sz w:val="28"/>
          <w:szCs w:val="28"/>
        </w:rPr>
        <w:t xml:space="preserve">  </w:t>
      </w:r>
      <w:r w:rsidR="009D6E66" w:rsidRPr="00985126">
        <w:rPr>
          <w:b/>
          <w:bCs/>
          <w:color w:val="EE0000"/>
          <w:sz w:val="28"/>
          <w:szCs w:val="28"/>
          <w:u w:val="thick"/>
        </w:rPr>
        <w:t>Further, $416.66 for part of John Fritz’s salary was paid from the Memorial Fund.  This amount should be charged to Personnel.  The current practice of paying partial salaries from the Memorial Fund yields an incorrect amount for Personnel expenses, does not reflect true operating expenses</w:t>
      </w:r>
      <w:r w:rsidR="00D351BD">
        <w:rPr>
          <w:b/>
          <w:bCs/>
          <w:color w:val="EE0000"/>
          <w:sz w:val="28"/>
          <w:szCs w:val="28"/>
          <w:u w:val="thick"/>
        </w:rPr>
        <w:t>, makes it more difficult develop next year’s budget,</w:t>
      </w:r>
      <w:r w:rsidR="009D6E66" w:rsidRPr="00985126">
        <w:rPr>
          <w:b/>
          <w:bCs/>
          <w:color w:val="EE0000"/>
          <w:sz w:val="28"/>
          <w:szCs w:val="28"/>
          <w:u w:val="thick"/>
        </w:rPr>
        <w:t xml:space="preserve"> and is not in conformance with acceptable accounting practices.  Please reference Audit Results email dated July 6, 2026.</w:t>
      </w:r>
    </w:p>
    <w:p w14:paraId="15094D79" w14:textId="77777777" w:rsidR="00A93AB0" w:rsidRDefault="00A93AB0" w:rsidP="00AD2FC5">
      <w:pPr>
        <w:pStyle w:val="ListParagraph"/>
        <w:rPr>
          <w:b/>
          <w:bCs/>
          <w:color w:val="EE0000"/>
          <w:sz w:val="28"/>
          <w:szCs w:val="28"/>
        </w:rPr>
      </w:pPr>
    </w:p>
    <w:p w14:paraId="2F5B9B18" w14:textId="5CD3B76D" w:rsidR="000F49CC" w:rsidRDefault="000F49CC" w:rsidP="00AD2FC5">
      <w:pPr>
        <w:pStyle w:val="ListParagraph"/>
        <w:rPr>
          <w:b/>
          <w:bCs/>
          <w:color w:val="EE0000"/>
          <w:sz w:val="28"/>
          <w:szCs w:val="28"/>
        </w:rPr>
      </w:pPr>
      <w:r>
        <w:rPr>
          <w:noProof/>
        </w:rPr>
        <w:drawing>
          <wp:inline distT="0" distB="0" distL="0" distR="0" wp14:anchorId="4130B766" wp14:editId="0A49FB0E">
            <wp:extent cx="6715125" cy="5419725"/>
            <wp:effectExtent l="0" t="0" r="9525" b="9525"/>
            <wp:docPr id="1688484324" name="Chart 1">
              <a:extLst xmlns:a="http://schemas.openxmlformats.org/drawingml/2006/main">
                <a:ext uri="{FF2B5EF4-FFF2-40B4-BE49-F238E27FC236}">
                  <a16:creationId xmlns:a16="http://schemas.microsoft.com/office/drawing/2014/main" id="{02D9B11B-09C2-C4AB-83D8-657A4B5F9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bl>
      <w:tblPr>
        <w:tblW w:w="10940" w:type="dxa"/>
        <w:tblLook w:val="04A0" w:firstRow="1" w:lastRow="0" w:firstColumn="1" w:lastColumn="0" w:noHBand="0" w:noVBand="1"/>
      </w:tblPr>
      <w:tblGrid>
        <w:gridCol w:w="1043"/>
        <w:gridCol w:w="1219"/>
        <w:gridCol w:w="1219"/>
        <w:gridCol w:w="1219"/>
        <w:gridCol w:w="1219"/>
        <w:gridCol w:w="1219"/>
        <w:gridCol w:w="1220"/>
        <w:gridCol w:w="1300"/>
        <w:gridCol w:w="266"/>
        <w:gridCol w:w="1480"/>
      </w:tblGrid>
      <w:tr w:rsidR="003915DE" w:rsidRPr="003915DE" w14:paraId="73396383" w14:textId="77777777" w:rsidTr="003915DE">
        <w:trPr>
          <w:trHeight w:val="375"/>
        </w:trPr>
        <w:tc>
          <w:tcPr>
            <w:tcW w:w="920" w:type="dxa"/>
            <w:tcBorders>
              <w:top w:val="single" w:sz="4" w:space="0" w:color="auto"/>
              <w:left w:val="single" w:sz="4" w:space="0" w:color="auto"/>
              <w:bottom w:val="single" w:sz="4" w:space="0" w:color="auto"/>
              <w:right w:val="single" w:sz="4" w:space="0" w:color="auto"/>
            </w:tcBorders>
            <w:noWrap/>
            <w:vAlign w:val="bottom"/>
            <w:hideMark/>
          </w:tcPr>
          <w:p w14:paraId="0AAC1DAC" w14:textId="77777777" w:rsidR="003915DE" w:rsidRPr="003915DE" w:rsidRDefault="003915DE" w:rsidP="003915DE">
            <w:pPr>
              <w:spacing w:after="0" w:line="240" w:lineRule="auto"/>
              <w:rPr>
                <w:rFonts w:ascii="Calibri" w:eastAsia="Times New Roman" w:hAnsi="Calibri" w:cs="Calibri"/>
                <w:color w:val="000000"/>
                <w:sz w:val="24"/>
                <w:szCs w:val="24"/>
              </w:rPr>
            </w:pPr>
            <w:r w:rsidRPr="003915DE">
              <w:rPr>
                <w:rFonts w:ascii="Calibri" w:eastAsia="Times New Roman" w:hAnsi="Calibri" w:cs="Calibri"/>
                <w:color w:val="000000"/>
                <w:sz w:val="24"/>
                <w:szCs w:val="24"/>
              </w:rPr>
              <w:lastRenderedPageBreak/>
              <w:t> </w:t>
            </w:r>
          </w:p>
        </w:tc>
        <w:tc>
          <w:tcPr>
            <w:tcW w:w="1180" w:type="dxa"/>
            <w:tcBorders>
              <w:top w:val="single" w:sz="4" w:space="0" w:color="auto"/>
              <w:left w:val="nil"/>
              <w:bottom w:val="single" w:sz="4" w:space="0" w:color="auto"/>
              <w:right w:val="nil"/>
            </w:tcBorders>
            <w:noWrap/>
            <w:vAlign w:val="bottom"/>
            <w:hideMark/>
          </w:tcPr>
          <w:p w14:paraId="07FB1878" w14:textId="77777777" w:rsidR="003915DE" w:rsidRPr="003915DE" w:rsidRDefault="003915DE" w:rsidP="003915DE">
            <w:pPr>
              <w:spacing w:after="0" w:line="240" w:lineRule="auto"/>
              <w:jc w:val="center"/>
              <w:rPr>
                <w:rFonts w:ascii="Calibri" w:eastAsia="Times New Roman" w:hAnsi="Calibri" w:cs="Calibri"/>
                <w:color w:val="000000"/>
                <w:sz w:val="24"/>
                <w:szCs w:val="24"/>
              </w:rPr>
            </w:pPr>
            <w:r w:rsidRPr="003915DE">
              <w:rPr>
                <w:rFonts w:ascii="Calibri" w:eastAsia="Times New Roman" w:hAnsi="Calibri" w:cs="Calibri"/>
                <w:color w:val="000000"/>
                <w:sz w:val="24"/>
                <w:szCs w:val="24"/>
              </w:rPr>
              <w:t> </w:t>
            </w:r>
          </w:p>
        </w:tc>
        <w:tc>
          <w:tcPr>
            <w:tcW w:w="1200" w:type="dxa"/>
            <w:tcBorders>
              <w:top w:val="single" w:sz="4" w:space="0" w:color="auto"/>
              <w:left w:val="nil"/>
              <w:bottom w:val="single" w:sz="4" w:space="0" w:color="auto"/>
              <w:right w:val="nil"/>
            </w:tcBorders>
            <w:noWrap/>
            <w:vAlign w:val="bottom"/>
            <w:hideMark/>
          </w:tcPr>
          <w:p w14:paraId="46E663EC" w14:textId="77777777" w:rsidR="003915DE" w:rsidRPr="003915DE" w:rsidRDefault="003915DE" w:rsidP="003915DE">
            <w:pPr>
              <w:spacing w:after="0" w:line="240" w:lineRule="auto"/>
              <w:jc w:val="center"/>
              <w:rPr>
                <w:rFonts w:ascii="Calibri" w:eastAsia="Times New Roman" w:hAnsi="Calibri" w:cs="Calibri"/>
                <w:color w:val="000000"/>
                <w:sz w:val="28"/>
                <w:szCs w:val="28"/>
              </w:rPr>
            </w:pPr>
            <w:r w:rsidRPr="003915DE">
              <w:rPr>
                <w:rFonts w:ascii="Calibri" w:eastAsia="Times New Roman" w:hAnsi="Calibri" w:cs="Calibri"/>
                <w:color w:val="000000"/>
                <w:sz w:val="28"/>
                <w:szCs w:val="28"/>
              </w:rPr>
              <w:t> </w:t>
            </w:r>
          </w:p>
        </w:tc>
        <w:tc>
          <w:tcPr>
            <w:tcW w:w="1180" w:type="dxa"/>
            <w:tcBorders>
              <w:top w:val="single" w:sz="4" w:space="0" w:color="auto"/>
              <w:left w:val="nil"/>
              <w:bottom w:val="single" w:sz="4" w:space="0" w:color="auto"/>
              <w:right w:val="nil"/>
            </w:tcBorders>
            <w:noWrap/>
            <w:vAlign w:val="bottom"/>
            <w:hideMark/>
          </w:tcPr>
          <w:p w14:paraId="0F9434A5" w14:textId="77777777" w:rsidR="003915DE" w:rsidRPr="003915DE" w:rsidRDefault="003915DE" w:rsidP="003915DE">
            <w:pPr>
              <w:spacing w:after="0" w:line="240" w:lineRule="auto"/>
              <w:jc w:val="center"/>
              <w:rPr>
                <w:rFonts w:ascii="Calibri" w:eastAsia="Times New Roman" w:hAnsi="Calibri" w:cs="Calibri"/>
                <w:color w:val="000000"/>
                <w:sz w:val="28"/>
                <w:szCs w:val="28"/>
              </w:rPr>
            </w:pPr>
            <w:r w:rsidRPr="003915DE">
              <w:rPr>
                <w:rFonts w:ascii="Calibri" w:eastAsia="Times New Roman" w:hAnsi="Calibri" w:cs="Calibri"/>
                <w:color w:val="000000"/>
                <w:sz w:val="28"/>
                <w:szCs w:val="28"/>
              </w:rPr>
              <w:t> </w:t>
            </w:r>
          </w:p>
        </w:tc>
        <w:tc>
          <w:tcPr>
            <w:tcW w:w="1180" w:type="dxa"/>
            <w:tcBorders>
              <w:top w:val="single" w:sz="4" w:space="0" w:color="auto"/>
              <w:left w:val="nil"/>
              <w:bottom w:val="single" w:sz="4" w:space="0" w:color="auto"/>
              <w:right w:val="nil"/>
            </w:tcBorders>
            <w:noWrap/>
            <w:vAlign w:val="bottom"/>
            <w:hideMark/>
          </w:tcPr>
          <w:p w14:paraId="43B46499" w14:textId="77777777" w:rsidR="003915DE" w:rsidRPr="003915DE" w:rsidRDefault="003915DE" w:rsidP="003915DE">
            <w:pPr>
              <w:spacing w:after="0" w:line="240" w:lineRule="auto"/>
              <w:rPr>
                <w:rFonts w:ascii="Calibri" w:eastAsia="Times New Roman" w:hAnsi="Calibri" w:cs="Calibri"/>
                <w:b/>
                <w:bCs/>
                <w:color w:val="000000"/>
                <w:sz w:val="28"/>
                <w:szCs w:val="28"/>
              </w:rPr>
            </w:pPr>
            <w:r w:rsidRPr="003915DE">
              <w:rPr>
                <w:rFonts w:ascii="Calibri" w:eastAsia="Times New Roman" w:hAnsi="Calibri" w:cs="Calibri"/>
                <w:b/>
                <w:bCs/>
                <w:color w:val="000000"/>
                <w:sz w:val="28"/>
                <w:szCs w:val="28"/>
              </w:rPr>
              <w:t>2026</w:t>
            </w:r>
          </w:p>
        </w:tc>
        <w:tc>
          <w:tcPr>
            <w:tcW w:w="1200" w:type="dxa"/>
            <w:tcBorders>
              <w:top w:val="single" w:sz="4" w:space="0" w:color="auto"/>
              <w:left w:val="nil"/>
              <w:bottom w:val="single" w:sz="4" w:space="0" w:color="auto"/>
              <w:right w:val="nil"/>
            </w:tcBorders>
            <w:noWrap/>
            <w:vAlign w:val="bottom"/>
            <w:hideMark/>
          </w:tcPr>
          <w:p w14:paraId="7A84266F"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220" w:type="dxa"/>
            <w:tcBorders>
              <w:top w:val="single" w:sz="4" w:space="0" w:color="auto"/>
              <w:left w:val="nil"/>
              <w:bottom w:val="single" w:sz="4" w:space="0" w:color="auto"/>
              <w:right w:val="nil"/>
            </w:tcBorders>
            <w:noWrap/>
            <w:vAlign w:val="bottom"/>
            <w:hideMark/>
          </w:tcPr>
          <w:p w14:paraId="3AC35CE5"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300" w:type="dxa"/>
            <w:tcBorders>
              <w:top w:val="single" w:sz="4" w:space="0" w:color="auto"/>
              <w:left w:val="nil"/>
              <w:bottom w:val="single" w:sz="4" w:space="0" w:color="auto"/>
              <w:right w:val="nil"/>
            </w:tcBorders>
            <w:noWrap/>
            <w:vAlign w:val="bottom"/>
            <w:hideMark/>
          </w:tcPr>
          <w:p w14:paraId="73CF9EAC"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 </w:t>
            </w:r>
          </w:p>
        </w:tc>
        <w:tc>
          <w:tcPr>
            <w:tcW w:w="80" w:type="dxa"/>
            <w:tcBorders>
              <w:top w:val="single" w:sz="4" w:space="0" w:color="auto"/>
              <w:left w:val="nil"/>
              <w:bottom w:val="single" w:sz="4" w:space="0" w:color="auto"/>
              <w:right w:val="nil"/>
            </w:tcBorders>
            <w:noWrap/>
            <w:vAlign w:val="bottom"/>
            <w:hideMark/>
          </w:tcPr>
          <w:p w14:paraId="7F071262"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 </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4D593B01" w14:textId="77777777" w:rsidR="003915DE" w:rsidRPr="003915DE" w:rsidRDefault="003915DE" w:rsidP="003915DE">
            <w:pPr>
              <w:spacing w:after="0" w:line="240" w:lineRule="auto"/>
              <w:jc w:val="center"/>
              <w:rPr>
                <w:rFonts w:ascii="Calibri" w:eastAsia="Times New Roman" w:hAnsi="Calibri" w:cs="Calibri"/>
                <w:b/>
                <w:bCs/>
                <w:color w:val="000000"/>
                <w:sz w:val="24"/>
                <w:szCs w:val="24"/>
              </w:rPr>
            </w:pPr>
            <w:r w:rsidRPr="003915DE">
              <w:rPr>
                <w:rFonts w:ascii="Calibri" w:eastAsia="Times New Roman" w:hAnsi="Calibri" w:cs="Calibri"/>
                <w:b/>
                <w:bCs/>
                <w:color w:val="000000"/>
                <w:sz w:val="24"/>
                <w:szCs w:val="24"/>
              </w:rPr>
              <w:t>TOTALS</w:t>
            </w:r>
          </w:p>
        </w:tc>
      </w:tr>
      <w:tr w:rsidR="003915DE" w:rsidRPr="003915DE" w14:paraId="677DD780" w14:textId="77777777" w:rsidTr="003915DE">
        <w:trPr>
          <w:trHeight w:val="375"/>
        </w:trPr>
        <w:tc>
          <w:tcPr>
            <w:tcW w:w="920" w:type="dxa"/>
            <w:tcBorders>
              <w:top w:val="nil"/>
              <w:left w:val="single" w:sz="4" w:space="0" w:color="auto"/>
              <w:bottom w:val="single" w:sz="4" w:space="0" w:color="auto"/>
              <w:right w:val="single" w:sz="4" w:space="0" w:color="auto"/>
            </w:tcBorders>
            <w:noWrap/>
            <w:vAlign w:val="bottom"/>
            <w:hideMark/>
          </w:tcPr>
          <w:p w14:paraId="7BAB83BC"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noWrap/>
            <w:vAlign w:val="bottom"/>
            <w:hideMark/>
          </w:tcPr>
          <w:p w14:paraId="7DE9B9E8"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January</w:t>
            </w:r>
          </w:p>
        </w:tc>
        <w:tc>
          <w:tcPr>
            <w:tcW w:w="1200" w:type="dxa"/>
            <w:tcBorders>
              <w:top w:val="nil"/>
              <w:left w:val="nil"/>
              <w:bottom w:val="single" w:sz="4" w:space="0" w:color="auto"/>
              <w:right w:val="single" w:sz="4" w:space="0" w:color="auto"/>
            </w:tcBorders>
            <w:noWrap/>
            <w:vAlign w:val="bottom"/>
            <w:hideMark/>
          </w:tcPr>
          <w:p w14:paraId="0A8DE7CE"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February</w:t>
            </w:r>
          </w:p>
        </w:tc>
        <w:tc>
          <w:tcPr>
            <w:tcW w:w="1180" w:type="dxa"/>
            <w:tcBorders>
              <w:top w:val="nil"/>
              <w:left w:val="nil"/>
              <w:bottom w:val="single" w:sz="4" w:space="0" w:color="auto"/>
              <w:right w:val="single" w:sz="4" w:space="0" w:color="auto"/>
            </w:tcBorders>
            <w:noWrap/>
            <w:vAlign w:val="bottom"/>
            <w:hideMark/>
          </w:tcPr>
          <w:p w14:paraId="01027A52"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March</w:t>
            </w:r>
          </w:p>
        </w:tc>
        <w:tc>
          <w:tcPr>
            <w:tcW w:w="1180" w:type="dxa"/>
            <w:tcBorders>
              <w:top w:val="nil"/>
              <w:left w:val="nil"/>
              <w:bottom w:val="single" w:sz="4" w:space="0" w:color="auto"/>
              <w:right w:val="single" w:sz="4" w:space="0" w:color="auto"/>
            </w:tcBorders>
            <w:noWrap/>
            <w:vAlign w:val="bottom"/>
            <w:hideMark/>
          </w:tcPr>
          <w:p w14:paraId="571B3CE8"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April</w:t>
            </w:r>
          </w:p>
        </w:tc>
        <w:tc>
          <w:tcPr>
            <w:tcW w:w="1200" w:type="dxa"/>
            <w:tcBorders>
              <w:top w:val="nil"/>
              <w:left w:val="nil"/>
              <w:bottom w:val="single" w:sz="4" w:space="0" w:color="auto"/>
              <w:right w:val="single" w:sz="4" w:space="0" w:color="auto"/>
            </w:tcBorders>
            <w:noWrap/>
            <w:vAlign w:val="bottom"/>
            <w:hideMark/>
          </w:tcPr>
          <w:p w14:paraId="4AFC7510"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May</w:t>
            </w:r>
          </w:p>
        </w:tc>
        <w:tc>
          <w:tcPr>
            <w:tcW w:w="1220" w:type="dxa"/>
            <w:tcBorders>
              <w:top w:val="nil"/>
              <w:left w:val="nil"/>
              <w:bottom w:val="single" w:sz="4" w:space="0" w:color="auto"/>
              <w:right w:val="single" w:sz="4" w:space="0" w:color="auto"/>
            </w:tcBorders>
            <w:noWrap/>
            <w:vAlign w:val="bottom"/>
            <w:hideMark/>
          </w:tcPr>
          <w:p w14:paraId="5223B184"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June</w:t>
            </w:r>
          </w:p>
        </w:tc>
        <w:tc>
          <w:tcPr>
            <w:tcW w:w="1300" w:type="dxa"/>
            <w:tcBorders>
              <w:top w:val="nil"/>
              <w:left w:val="nil"/>
              <w:bottom w:val="single" w:sz="4" w:space="0" w:color="auto"/>
              <w:right w:val="single" w:sz="4" w:space="0" w:color="auto"/>
            </w:tcBorders>
            <w:noWrap/>
            <w:vAlign w:val="bottom"/>
            <w:hideMark/>
          </w:tcPr>
          <w:p w14:paraId="3E5DF277"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July</w:t>
            </w:r>
          </w:p>
        </w:tc>
        <w:tc>
          <w:tcPr>
            <w:tcW w:w="80" w:type="dxa"/>
            <w:tcBorders>
              <w:top w:val="nil"/>
              <w:left w:val="nil"/>
              <w:bottom w:val="single" w:sz="4" w:space="0" w:color="auto"/>
              <w:right w:val="single" w:sz="4" w:space="0" w:color="auto"/>
            </w:tcBorders>
            <w:noWrap/>
            <w:vAlign w:val="bottom"/>
            <w:hideMark/>
          </w:tcPr>
          <w:p w14:paraId="352B8D15" w14:textId="77777777" w:rsidR="003915DE" w:rsidRPr="003915DE" w:rsidRDefault="003915DE" w:rsidP="003915DE">
            <w:pPr>
              <w:spacing w:after="0" w:line="240" w:lineRule="auto"/>
              <w:jc w:val="center"/>
              <w:rPr>
                <w:rFonts w:ascii="Calibri" w:eastAsia="Times New Roman" w:hAnsi="Calibri" w:cs="Calibri"/>
                <w:color w:val="000000"/>
              </w:rPr>
            </w:pPr>
            <w:r w:rsidRPr="003915DE">
              <w:rPr>
                <w:rFonts w:ascii="Calibri" w:eastAsia="Times New Roman" w:hAnsi="Calibri" w:cs="Calibri"/>
                <w:color w:val="000000"/>
              </w:rPr>
              <w:t> </w:t>
            </w:r>
          </w:p>
        </w:tc>
        <w:tc>
          <w:tcPr>
            <w:tcW w:w="1480" w:type="dxa"/>
            <w:tcBorders>
              <w:top w:val="nil"/>
              <w:left w:val="nil"/>
              <w:bottom w:val="single" w:sz="4" w:space="0" w:color="auto"/>
              <w:right w:val="single" w:sz="4" w:space="0" w:color="auto"/>
            </w:tcBorders>
            <w:noWrap/>
            <w:vAlign w:val="bottom"/>
            <w:hideMark/>
          </w:tcPr>
          <w:p w14:paraId="62D02DE7"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r>
      <w:tr w:rsidR="003915DE" w:rsidRPr="003915DE" w14:paraId="5E86EFE1" w14:textId="77777777" w:rsidTr="003915DE">
        <w:trPr>
          <w:trHeight w:val="1005"/>
        </w:trPr>
        <w:tc>
          <w:tcPr>
            <w:tcW w:w="920" w:type="dxa"/>
            <w:tcBorders>
              <w:top w:val="nil"/>
              <w:left w:val="single" w:sz="4" w:space="0" w:color="auto"/>
              <w:bottom w:val="single" w:sz="4" w:space="0" w:color="auto"/>
              <w:right w:val="single" w:sz="4" w:space="0" w:color="auto"/>
            </w:tcBorders>
            <w:vAlign w:val="bottom"/>
            <w:hideMark/>
          </w:tcPr>
          <w:p w14:paraId="61C12882"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Giving plus interest</w:t>
            </w:r>
          </w:p>
        </w:tc>
        <w:tc>
          <w:tcPr>
            <w:tcW w:w="1180" w:type="dxa"/>
            <w:tcBorders>
              <w:top w:val="nil"/>
              <w:left w:val="nil"/>
              <w:bottom w:val="single" w:sz="4" w:space="0" w:color="auto"/>
              <w:right w:val="single" w:sz="4" w:space="0" w:color="auto"/>
            </w:tcBorders>
            <w:noWrap/>
            <w:vAlign w:val="bottom"/>
            <w:hideMark/>
          </w:tcPr>
          <w:p w14:paraId="4A3BE95B"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$43,723.56</w:t>
            </w:r>
          </w:p>
        </w:tc>
        <w:tc>
          <w:tcPr>
            <w:tcW w:w="1200" w:type="dxa"/>
            <w:tcBorders>
              <w:top w:val="nil"/>
              <w:left w:val="nil"/>
              <w:bottom w:val="single" w:sz="4" w:space="0" w:color="auto"/>
              <w:right w:val="single" w:sz="4" w:space="0" w:color="auto"/>
            </w:tcBorders>
            <w:noWrap/>
            <w:vAlign w:val="bottom"/>
            <w:hideMark/>
          </w:tcPr>
          <w:p w14:paraId="777411A3"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$45,232.25</w:t>
            </w:r>
          </w:p>
        </w:tc>
        <w:tc>
          <w:tcPr>
            <w:tcW w:w="1180" w:type="dxa"/>
            <w:tcBorders>
              <w:top w:val="nil"/>
              <w:left w:val="nil"/>
              <w:bottom w:val="single" w:sz="4" w:space="0" w:color="auto"/>
              <w:right w:val="single" w:sz="4" w:space="0" w:color="auto"/>
            </w:tcBorders>
            <w:noWrap/>
            <w:vAlign w:val="bottom"/>
            <w:hideMark/>
          </w:tcPr>
          <w:p w14:paraId="3AD5824A"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$84,426.57</w:t>
            </w:r>
          </w:p>
        </w:tc>
        <w:tc>
          <w:tcPr>
            <w:tcW w:w="1180" w:type="dxa"/>
            <w:tcBorders>
              <w:top w:val="nil"/>
              <w:left w:val="nil"/>
              <w:bottom w:val="single" w:sz="4" w:space="0" w:color="auto"/>
              <w:right w:val="single" w:sz="4" w:space="0" w:color="auto"/>
            </w:tcBorders>
            <w:noWrap/>
            <w:vAlign w:val="bottom"/>
            <w:hideMark/>
          </w:tcPr>
          <w:p w14:paraId="2BF43643"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$56,324.12</w:t>
            </w:r>
          </w:p>
        </w:tc>
        <w:tc>
          <w:tcPr>
            <w:tcW w:w="1200" w:type="dxa"/>
            <w:tcBorders>
              <w:top w:val="nil"/>
              <w:left w:val="nil"/>
              <w:bottom w:val="single" w:sz="4" w:space="0" w:color="auto"/>
              <w:right w:val="single" w:sz="4" w:space="0" w:color="auto"/>
            </w:tcBorders>
            <w:noWrap/>
            <w:vAlign w:val="bottom"/>
            <w:hideMark/>
          </w:tcPr>
          <w:p w14:paraId="52D278F6"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$47,718.74</w:t>
            </w:r>
          </w:p>
        </w:tc>
        <w:tc>
          <w:tcPr>
            <w:tcW w:w="1220" w:type="dxa"/>
            <w:tcBorders>
              <w:top w:val="nil"/>
              <w:left w:val="nil"/>
              <w:bottom w:val="single" w:sz="4" w:space="0" w:color="auto"/>
              <w:right w:val="single" w:sz="4" w:space="0" w:color="auto"/>
            </w:tcBorders>
            <w:noWrap/>
            <w:vAlign w:val="bottom"/>
            <w:hideMark/>
          </w:tcPr>
          <w:p w14:paraId="6F77604A"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$57,122.00</w:t>
            </w:r>
          </w:p>
        </w:tc>
        <w:tc>
          <w:tcPr>
            <w:tcW w:w="1300" w:type="dxa"/>
            <w:tcBorders>
              <w:top w:val="nil"/>
              <w:left w:val="nil"/>
              <w:bottom w:val="single" w:sz="4" w:space="0" w:color="auto"/>
              <w:right w:val="single" w:sz="4" w:space="0" w:color="auto"/>
            </w:tcBorders>
            <w:noWrap/>
            <w:vAlign w:val="bottom"/>
            <w:hideMark/>
          </w:tcPr>
          <w:p w14:paraId="51B5D870"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$30,888.00</w:t>
            </w:r>
          </w:p>
        </w:tc>
        <w:tc>
          <w:tcPr>
            <w:tcW w:w="80" w:type="dxa"/>
            <w:tcBorders>
              <w:top w:val="nil"/>
              <w:left w:val="nil"/>
              <w:bottom w:val="single" w:sz="4" w:space="0" w:color="auto"/>
              <w:right w:val="single" w:sz="4" w:space="0" w:color="auto"/>
            </w:tcBorders>
            <w:noWrap/>
            <w:vAlign w:val="bottom"/>
            <w:hideMark/>
          </w:tcPr>
          <w:p w14:paraId="483D2DB5"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480" w:type="dxa"/>
            <w:tcBorders>
              <w:top w:val="nil"/>
              <w:left w:val="nil"/>
              <w:bottom w:val="single" w:sz="4" w:space="0" w:color="auto"/>
              <w:right w:val="single" w:sz="4" w:space="0" w:color="auto"/>
            </w:tcBorders>
            <w:noWrap/>
            <w:vAlign w:val="bottom"/>
            <w:hideMark/>
          </w:tcPr>
          <w:p w14:paraId="6E0F5D9B"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$365,435.24</w:t>
            </w:r>
          </w:p>
        </w:tc>
      </w:tr>
      <w:tr w:rsidR="003915DE" w:rsidRPr="003915DE" w14:paraId="7D8F7E2A" w14:textId="77777777" w:rsidTr="003915DE">
        <w:trPr>
          <w:trHeight w:val="450"/>
        </w:trPr>
        <w:tc>
          <w:tcPr>
            <w:tcW w:w="920" w:type="dxa"/>
            <w:tcBorders>
              <w:top w:val="nil"/>
              <w:left w:val="single" w:sz="4" w:space="0" w:color="auto"/>
              <w:bottom w:val="single" w:sz="4" w:space="0" w:color="auto"/>
              <w:right w:val="single" w:sz="4" w:space="0" w:color="auto"/>
            </w:tcBorders>
            <w:vAlign w:val="bottom"/>
            <w:hideMark/>
          </w:tcPr>
          <w:p w14:paraId="79AD6C37"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Giving</w:t>
            </w:r>
          </w:p>
        </w:tc>
        <w:tc>
          <w:tcPr>
            <w:tcW w:w="1180" w:type="dxa"/>
            <w:tcBorders>
              <w:top w:val="nil"/>
              <w:left w:val="nil"/>
              <w:bottom w:val="single" w:sz="4" w:space="0" w:color="auto"/>
              <w:right w:val="single" w:sz="4" w:space="0" w:color="auto"/>
            </w:tcBorders>
            <w:noWrap/>
            <w:vAlign w:val="bottom"/>
            <w:hideMark/>
          </w:tcPr>
          <w:p w14:paraId="0D1D8640"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$43,535.27</w:t>
            </w:r>
          </w:p>
        </w:tc>
        <w:tc>
          <w:tcPr>
            <w:tcW w:w="1200" w:type="dxa"/>
            <w:tcBorders>
              <w:top w:val="nil"/>
              <w:left w:val="nil"/>
              <w:bottom w:val="single" w:sz="4" w:space="0" w:color="auto"/>
              <w:right w:val="single" w:sz="4" w:space="0" w:color="auto"/>
            </w:tcBorders>
            <w:noWrap/>
            <w:vAlign w:val="bottom"/>
            <w:hideMark/>
          </w:tcPr>
          <w:p w14:paraId="40B3F9ED"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$44,909.31</w:t>
            </w:r>
          </w:p>
        </w:tc>
        <w:tc>
          <w:tcPr>
            <w:tcW w:w="1180" w:type="dxa"/>
            <w:tcBorders>
              <w:top w:val="nil"/>
              <w:left w:val="nil"/>
              <w:bottom w:val="single" w:sz="4" w:space="0" w:color="auto"/>
              <w:right w:val="single" w:sz="4" w:space="0" w:color="auto"/>
            </w:tcBorders>
            <w:noWrap/>
            <w:vAlign w:val="bottom"/>
            <w:hideMark/>
          </w:tcPr>
          <w:p w14:paraId="5387C72C"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$84,155.19</w:t>
            </w:r>
          </w:p>
        </w:tc>
        <w:tc>
          <w:tcPr>
            <w:tcW w:w="1180" w:type="dxa"/>
            <w:tcBorders>
              <w:top w:val="nil"/>
              <w:left w:val="nil"/>
              <w:bottom w:val="single" w:sz="4" w:space="0" w:color="auto"/>
              <w:right w:val="single" w:sz="4" w:space="0" w:color="auto"/>
            </w:tcBorders>
            <w:noWrap/>
            <w:vAlign w:val="bottom"/>
            <w:hideMark/>
          </w:tcPr>
          <w:p w14:paraId="1AF0C72B"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$52,098.19</w:t>
            </w:r>
          </w:p>
        </w:tc>
        <w:tc>
          <w:tcPr>
            <w:tcW w:w="1200" w:type="dxa"/>
            <w:tcBorders>
              <w:top w:val="nil"/>
              <w:left w:val="nil"/>
              <w:bottom w:val="single" w:sz="4" w:space="0" w:color="auto"/>
              <w:right w:val="single" w:sz="4" w:space="0" w:color="auto"/>
            </w:tcBorders>
            <w:noWrap/>
            <w:vAlign w:val="bottom"/>
            <w:hideMark/>
          </w:tcPr>
          <w:p w14:paraId="22156A7B"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$45,471.62</w:t>
            </w:r>
          </w:p>
        </w:tc>
        <w:tc>
          <w:tcPr>
            <w:tcW w:w="1220" w:type="dxa"/>
            <w:tcBorders>
              <w:top w:val="nil"/>
              <w:left w:val="nil"/>
              <w:bottom w:val="single" w:sz="4" w:space="0" w:color="auto"/>
              <w:right w:val="single" w:sz="4" w:space="0" w:color="auto"/>
            </w:tcBorders>
            <w:noWrap/>
            <w:vAlign w:val="bottom"/>
            <w:hideMark/>
          </w:tcPr>
          <w:p w14:paraId="2AA2AA74"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$54,565.27</w:t>
            </w:r>
          </w:p>
        </w:tc>
        <w:tc>
          <w:tcPr>
            <w:tcW w:w="1300" w:type="dxa"/>
            <w:tcBorders>
              <w:top w:val="nil"/>
              <w:left w:val="nil"/>
              <w:bottom w:val="single" w:sz="4" w:space="0" w:color="auto"/>
              <w:right w:val="single" w:sz="4" w:space="0" w:color="auto"/>
            </w:tcBorders>
            <w:noWrap/>
            <w:vAlign w:val="bottom"/>
            <w:hideMark/>
          </w:tcPr>
          <w:p w14:paraId="3D71FFB4"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$26,701.10</w:t>
            </w:r>
          </w:p>
        </w:tc>
        <w:tc>
          <w:tcPr>
            <w:tcW w:w="80" w:type="dxa"/>
            <w:tcBorders>
              <w:top w:val="nil"/>
              <w:left w:val="nil"/>
              <w:bottom w:val="single" w:sz="4" w:space="0" w:color="auto"/>
              <w:right w:val="single" w:sz="4" w:space="0" w:color="auto"/>
            </w:tcBorders>
            <w:noWrap/>
            <w:vAlign w:val="bottom"/>
            <w:hideMark/>
          </w:tcPr>
          <w:p w14:paraId="596B74E1"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480" w:type="dxa"/>
            <w:tcBorders>
              <w:top w:val="nil"/>
              <w:left w:val="nil"/>
              <w:bottom w:val="single" w:sz="4" w:space="0" w:color="auto"/>
              <w:right w:val="single" w:sz="4" w:space="0" w:color="auto"/>
            </w:tcBorders>
            <w:noWrap/>
            <w:vAlign w:val="bottom"/>
            <w:hideMark/>
          </w:tcPr>
          <w:p w14:paraId="0A6FC970"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$351,435.95</w:t>
            </w:r>
          </w:p>
        </w:tc>
      </w:tr>
      <w:tr w:rsidR="003915DE" w:rsidRPr="003915DE" w14:paraId="2AA1812A" w14:textId="77777777" w:rsidTr="003915DE">
        <w:trPr>
          <w:trHeight w:val="480"/>
        </w:trPr>
        <w:tc>
          <w:tcPr>
            <w:tcW w:w="920" w:type="dxa"/>
            <w:tcBorders>
              <w:top w:val="nil"/>
              <w:left w:val="single" w:sz="4" w:space="0" w:color="auto"/>
              <w:bottom w:val="single" w:sz="4" w:space="0" w:color="auto"/>
              <w:right w:val="single" w:sz="4" w:space="0" w:color="auto"/>
            </w:tcBorders>
            <w:noWrap/>
            <w:vAlign w:val="bottom"/>
            <w:hideMark/>
          </w:tcPr>
          <w:p w14:paraId="04E7FF1B"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Spending</w:t>
            </w:r>
          </w:p>
        </w:tc>
        <w:tc>
          <w:tcPr>
            <w:tcW w:w="1180" w:type="dxa"/>
            <w:tcBorders>
              <w:top w:val="nil"/>
              <w:left w:val="nil"/>
              <w:bottom w:val="single" w:sz="4" w:space="0" w:color="auto"/>
              <w:right w:val="single" w:sz="4" w:space="0" w:color="auto"/>
            </w:tcBorders>
            <w:noWrap/>
            <w:vAlign w:val="bottom"/>
            <w:hideMark/>
          </w:tcPr>
          <w:p w14:paraId="53326D5F"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$52,826.04</w:t>
            </w:r>
          </w:p>
        </w:tc>
        <w:tc>
          <w:tcPr>
            <w:tcW w:w="1200" w:type="dxa"/>
            <w:tcBorders>
              <w:top w:val="nil"/>
              <w:left w:val="nil"/>
              <w:bottom w:val="single" w:sz="4" w:space="0" w:color="auto"/>
              <w:right w:val="single" w:sz="4" w:space="0" w:color="auto"/>
            </w:tcBorders>
            <w:noWrap/>
            <w:vAlign w:val="bottom"/>
            <w:hideMark/>
          </w:tcPr>
          <w:p w14:paraId="509AC90D"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$51,055.69</w:t>
            </w:r>
          </w:p>
        </w:tc>
        <w:tc>
          <w:tcPr>
            <w:tcW w:w="1180" w:type="dxa"/>
            <w:tcBorders>
              <w:top w:val="nil"/>
              <w:left w:val="nil"/>
              <w:bottom w:val="single" w:sz="4" w:space="0" w:color="auto"/>
              <w:right w:val="single" w:sz="4" w:space="0" w:color="auto"/>
            </w:tcBorders>
            <w:noWrap/>
            <w:vAlign w:val="bottom"/>
            <w:hideMark/>
          </w:tcPr>
          <w:p w14:paraId="5D1FD502"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$56,724.02</w:t>
            </w:r>
          </w:p>
        </w:tc>
        <w:tc>
          <w:tcPr>
            <w:tcW w:w="1180" w:type="dxa"/>
            <w:tcBorders>
              <w:top w:val="nil"/>
              <w:left w:val="nil"/>
              <w:bottom w:val="single" w:sz="4" w:space="0" w:color="auto"/>
              <w:right w:val="single" w:sz="4" w:space="0" w:color="auto"/>
            </w:tcBorders>
            <w:noWrap/>
            <w:vAlign w:val="bottom"/>
            <w:hideMark/>
          </w:tcPr>
          <w:p w14:paraId="293B8D09"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$51,650.49</w:t>
            </w:r>
          </w:p>
        </w:tc>
        <w:tc>
          <w:tcPr>
            <w:tcW w:w="1200" w:type="dxa"/>
            <w:tcBorders>
              <w:top w:val="nil"/>
              <w:left w:val="nil"/>
              <w:bottom w:val="single" w:sz="4" w:space="0" w:color="auto"/>
              <w:right w:val="single" w:sz="4" w:space="0" w:color="auto"/>
            </w:tcBorders>
            <w:noWrap/>
            <w:vAlign w:val="bottom"/>
            <w:hideMark/>
          </w:tcPr>
          <w:p w14:paraId="6C9E6DE8"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$64,642.78</w:t>
            </w:r>
          </w:p>
        </w:tc>
        <w:tc>
          <w:tcPr>
            <w:tcW w:w="1220" w:type="dxa"/>
            <w:tcBorders>
              <w:top w:val="nil"/>
              <w:left w:val="nil"/>
              <w:bottom w:val="single" w:sz="4" w:space="0" w:color="auto"/>
              <w:right w:val="single" w:sz="4" w:space="0" w:color="auto"/>
            </w:tcBorders>
            <w:noWrap/>
            <w:vAlign w:val="bottom"/>
            <w:hideMark/>
          </w:tcPr>
          <w:p w14:paraId="14EB3CBE"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$53,357.16</w:t>
            </w:r>
          </w:p>
        </w:tc>
        <w:tc>
          <w:tcPr>
            <w:tcW w:w="1300" w:type="dxa"/>
            <w:tcBorders>
              <w:top w:val="nil"/>
              <w:left w:val="nil"/>
              <w:bottom w:val="single" w:sz="4" w:space="0" w:color="auto"/>
              <w:right w:val="single" w:sz="4" w:space="0" w:color="auto"/>
            </w:tcBorders>
            <w:noWrap/>
            <w:vAlign w:val="bottom"/>
            <w:hideMark/>
          </w:tcPr>
          <w:p w14:paraId="1F860863"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$53,421.11</w:t>
            </w:r>
          </w:p>
        </w:tc>
        <w:tc>
          <w:tcPr>
            <w:tcW w:w="80" w:type="dxa"/>
            <w:tcBorders>
              <w:top w:val="nil"/>
              <w:left w:val="nil"/>
              <w:bottom w:val="single" w:sz="4" w:space="0" w:color="auto"/>
              <w:right w:val="single" w:sz="4" w:space="0" w:color="auto"/>
            </w:tcBorders>
            <w:noWrap/>
            <w:vAlign w:val="bottom"/>
            <w:hideMark/>
          </w:tcPr>
          <w:p w14:paraId="73FC7CC0" w14:textId="77777777" w:rsidR="003915DE" w:rsidRPr="003915DE" w:rsidRDefault="003915DE" w:rsidP="003915DE">
            <w:pPr>
              <w:spacing w:after="0" w:line="240" w:lineRule="auto"/>
              <w:rPr>
                <w:rFonts w:ascii="Calibri" w:eastAsia="Times New Roman" w:hAnsi="Calibri" w:cs="Calibri"/>
                <w:color w:val="000000"/>
              </w:rPr>
            </w:pPr>
            <w:r w:rsidRPr="003915DE">
              <w:rPr>
                <w:rFonts w:ascii="Calibri" w:eastAsia="Times New Roman" w:hAnsi="Calibri" w:cs="Calibri"/>
                <w:color w:val="000000"/>
              </w:rPr>
              <w:t> </w:t>
            </w:r>
          </w:p>
        </w:tc>
        <w:tc>
          <w:tcPr>
            <w:tcW w:w="1480" w:type="dxa"/>
            <w:tcBorders>
              <w:top w:val="nil"/>
              <w:left w:val="nil"/>
              <w:bottom w:val="single" w:sz="4" w:space="0" w:color="auto"/>
              <w:right w:val="single" w:sz="4" w:space="0" w:color="auto"/>
            </w:tcBorders>
            <w:noWrap/>
            <w:vAlign w:val="bottom"/>
            <w:hideMark/>
          </w:tcPr>
          <w:p w14:paraId="384ADA32" w14:textId="77777777" w:rsidR="003915DE" w:rsidRPr="003915DE" w:rsidRDefault="003915DE" w:rsidP="003915DE">
            <w:pPr>
              <w:spacing w:after="0" w:line="240" w:lineRule="auto"/>
              <w:jc w:val="right"/>
              <w:rPr>
                <w:rFonts w:ascii="Calibri" w:eastAsia="Times New Roman" w:hAnsi="Calibri" w:cs="Calibri"/>
                <w:color w:val="000000"/>
              </w:rPr>
            </w:pPr>
            <w:r w:rsidRPr="003915DE">
              <w:rPr>
                <w:rFonts w:ascii="Calibri" w:eastAsia="Times New Roman" w:hAnsi="Calibri" w:cs="Calibri"/>
                <w:color w:val="000000"/>
              </w:rPr>
              <w:t>$383,291.22</w:t>
            </w:r>
          </w:p>
        </w:tc>
      </w:tr>
    </w:tbl>
    <w:p w14:paraId="61E0DE48" w14:textId="718E3041" w:rsidR="00A93AB0" w:rsidRDefault="00A93AB0" w:rsidP="00AD2FC5">
      <w:pPr>
        <w:pStyle w:val="ListParagraph"/>
        <w:rPr>
          <w:b/>
          <w:bCs/>
          <w:color w:val="EE0000"/>
          <w:sz w:val="28"/>
          <w:szCs w:val="28"/>
        </w:rPr>
      </w:pPr>
    </w:p>
    <w:p w14:paraId="14F1F81B" w14:textId="77777777" w:rsidR="003915DE" w:rsidRDefault="003915DE" w:rsidP="00AD2FC5">
      <w:pPr>
        <w:pStyle w:val="ListParagraph"/>
        <w:rPr>
          <w:b/>
          <w:bCs/>
          <w:color w:val="EE0000"/>
          <w:sz w:val="28"/>
          <w:szCs w:val="28"/>
        </w:rPr>
      </w:pPr>
    </w:p>
    <w:p w14:paraId="0A69FF65" w14:textId="3F492A05" w:rsidR="003915DE" w:rsidRDefault="003915DE" w:rsidP="00AD2FC5">
      <w:pPr>
        <w:pStyle w:val="ListParagraph"/>
        <w:rPr>
          <w:b/>
          <w:bCs/>
          <w:color w:val="EE0000"/>
          <w:sz w:val="28"/>
          <w:szCs w:val="28"/>
        </w:rPr>
      </w:pPr>
      <w:r>
        <w:rPr>
          <w:noProof/>
        </w:rPr>
        <w:drawing>
          <wp:inline distT="0" distB="0" distL="0" distR="0" wp14:anchorId="74DDD429" wp14:editId="7BE595A7">
            <wp:extent cx="6181725" cy="6819900"/>
            <wp:effectExtent l="0" t="0" r="9525" b="0"/>
            <wp:docPr id="459892779" name="Chart 1">
              <a:extLst xmlns:a="http://schemas.openxmlformats.org/drawingml/2006/main">
                <a:ext uri="{FF2B5EF4-FFF2-40B4-BE49-F238E27FC236}">
                  <a16:creationId xmlns:a16="http://schemas.microsoft.com/office/drawing/2014/main" id="{8D3B8997-9F4A-75AD-3ADA-606ABE6DA2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0125603" w14:textId="71A15106" w:rsidR="00012A91" w:rsidRDefault="00012A91" w:rsidP="00AD2FC5">
      <w:pPr>
        <w:pStyle w:val="ListParagraph"/>
        <w:rPr>
          <w:b/>
          <w:bCs/>
          <w:color w:val="EE0000"/>
          <w:sz w:val="28"/>
          <w:szCs w:val="28"/>
        </w:rPr>
      </w:pPr>
    </w:p>
    <w:p w14:paraId="0B8A96F4" w14:textId="04ABE69E" w:rsidR="005A6724" w:rsidRDefault="005A6724" w:rsidP="00AD2FC5">
      <w:pPr>
        <w:pStyle w:val="ListParagraph"/>
        <w:rPr>
          <w:b/>
          <w:bCs/>
          <w:color w:val="EE0000"/>
          <w:sz w:val="28"/>
          <w:szCs w:val="28"/>
        </w:rPr>
      </w:pPr>
    </w:p>
    <w:tbl>
      <w:tblPr>
        <w:tblW w:w="9060" w:type="dxa"/>
        <w:tblLook w:val="04A0" w:firstRow="1" w:lastRow="0" w:firstColumn="1" w:lastColumn="0" w:noHBand="0" w:noVBand="1"/>
      </w:tblPr>
      <w:tblGrid>
        <w:gridCol w:w="1347"/>
        <w:gridCol w:w="1785"/>
        <w:gridCol w:w="1594"/>
        <w:gridCol w:w="747"/>
        <w:gridCol w:w="1634"/>
        <w:gridCol w:w="1953"/>
      </w:tblGrid>
      <w:tr w:rsidR="00FD296C" w:rsidRPr="00FD296C" w14:paraId="70DC15E7" w14:textId="77777777" w:rsidTr="00FD296C">
        <w:trPr>
          <w:trHeight w:val="435"/>
        </w:trPr>
        <w:tc>
          <w:tcPr>
            <w:tcW w:w="9060" w:type="dxa"/>
            <w:gridSpan w:val="6"/>
            <w:tcBorders>
              <w:top w:val="nil"/>
              <w:left w:val="nil"/>
              <w:bottom w:val="nil"/>
              <w:right w:val="nil"/>
            </w:tcBorders>
            <w:noWrap/>
            <w:vAlign w:val="bottom"/>
            <w:hideMark/>
          </w:tcPr>
          <w:p w14:paraId="464C1C07" w14:textId="77777777" w:rsidR="00FD296C" w:rsidRPr="00FD296C" w:rsidRDefault="00FD296C" w:rsidP="00FD296C">
            <w:pPr>
              <w:spacing w:after="0" w:line="240" w:lineRule="auto"/>
              <w:jc w:val="center"/>
              <w:rPr>
                <w:rFonts w:ascii="Calibri" w:eastAsia="Times New Roman" w:hAnsi="Calibri" w:cs="Calibri"/>
                <w:b/>
                <w:bCs/>
                <w:color w:val="000000"/>
                <w:sz w:val="28"/>
                <w:szCs w:val="28"/>
              </w:rPr>
            </w:pPr>
            <w:r w:rsidRPr="00FD296C">
              <w:rPr>
                <w:rFonts w:ascii="Calibri" w:eastAsia="Times New Roman" w:hAnsi="Calibri" w:cs="Calibri"/>
                <w:b/>
                <w:bCs/>
                <w:color w:val="000000"/>
                <w:sz w:val="28"/>
                <w:szCs w:val="28"/>
              </w:rPr>
              <w:t>Spending Analysis Thru July, 2026</w:t>
            </w:r>
          </w:p>
        </w:tc>
      </w:tr>
      <w:tr w:rsidR="00FD296C" w:rsidRPr="00FD296C" w14:paraId="78F0EFBC" w14:textId="77777777" w:rsidTr="00FD296C">
        <w:trPr>
          <w:trHeight w:val="690"/>
        </w:trPr>
        <w:tc>
          <w:tcPr>
            <w:tcW w:w="1347" w:type="dxa"/>
            <w:tcBorders>
              <w:top w:val="single" w:sz="4" w:space="0" w:color="auto"/>
              <w:left w:val="single" w:sz="4" w:space="0" w:color="auto"/>
              <w:bottom w:val="single" w:sz="4" w:space="0" w:color="auto"/>
              <w:right w:val="single" w:sz="4" w:space="0" w:color="auto"/>
            </w:tcBorders>
            <w:noWrap/>
            <w:vAlign w:val="bottom"/>
            <w:hideMark/>
          </w:tcPr>
          <w:p w14:paraId="46412532"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Ministry</w:t>
            </w:r>
          </w:p>
        </w:tc>
        <w:tc>
          <w:tcPr>
            <w:tcW w:w="1785" w:type="dxa"/>
            <w:tcBorders>
              <w:top w:val="single" w:sz="4" w:space="0" w:color="auto"/>
              <w:left w:val="nil"/>
              <w:bottom w:val="single" w:sz="4" w:space="0" w:color="auto"/>
              <w:right w:val="single" w:sz="4" w:space="0" w:color="auto"/>
            </w:tcBorders>
            <w:vAlign w:val="bottom"/>
            <w:hideMark/>
          </w:tcPr>
          <w:p w14:paraId="4C3CC6C1"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Annual Budget</w:t>
            </w:r>
          </w:p>
        </w:tc>
        <w:tc>
          <w:tcPr>
            <w:tcW w:w="1594" w:type="dxa"/>
            <w:tcBorders>
              <w:top w:val="single" w:sz="4" w:space="0" w:color="auto"/>
              <w:left w:val="nil"/>
              <w:bottom w:val="single" w:sz="4" w:space="0" w:color="auto"/>
              <w:right w:val="nil"/>
            </w:tcBorders>
            <w:vAlign w:val="bottom"/>
            <w:hideMark/>
          </w:tcPr>
          <w:p w14:paraId="52A1C0EA"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Percent of KGPC Budget</w:t>
            </w:r>
          </w:p>
        </w:tc>
        <w:tc>
          <w:tcPr>
            <w:tcW w:w="747" w:type="dxa"/>
            <w:tcBorders>
              <w:top w:val="single" w:sz="4" w:space="0" w:color="auto"/>
              <w:left w:val="single" w:sz="4" w:space="0" w:color="auto"/>
              <w:bottom w:val="nil"/>
              <w:right w:val="single" w:sz="4" w:space="0" w:color="auto"/>
            </w:tcBorders>
            <w:vAlign w:val="bottom"/>
            <w:hideMark/>
          </w:tcPr>
          <w:p w14:paraId="2272B2F1"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 </w:t>
            </w:r>
          </w:p>
        </w:tc>
        <w:tc>
          <w:tcPr>
            <w:tcW w:w="1634" w:type="dxa"/>
            <w:tcBorders>
              <w:top w:val="single" w:sz="4" w:space="0" w:color="auto"/>
              <w:left w:val="nil"/>
              <w:bottom w:val="single" w:sz="4" w:space="0" w:color="auto"/>
              <w:right w:val="single" w:sz="4" w:space="0" w:color="auto"/>
            </w:tcBorders>
            <w:noWrap/>
            <w:vAlign w:val="bottom"/>
            <w:hideMark/>
          </w:tcPr>
          <w:p w14:paraId="25478A8A"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YTD Spent</w:t>
            </w:r>
          </w:p>
        </w:tc>
        <w:tc>
          <w:tcPr>
            <w:tcW w:w="1953" w:type="dxa"/>
            <w:tcBorders>
              <w:top w:val="single" w:sz="4" w:space="0" w:color="auto"/>
              <w:left w:val="nil"/>
              <w:bottom w:val="single" w:sz="4" w:space="0" w:color="auto"/>
              <w:right w:val="single" w:sz="4" w:space="0" w:color="auto"/>
            </w:tcBorders>
            <w:vAlign w:val="bottom"/>
            <w:hideMark/>
          </w:tcPr>
          <w:p w14:paraId="449A9272"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Percent of YTD Expenditures</w:t>
            </w:r>
          </w:p>
        </w:tc>
      </w:tr>
      <w:tr w:rsidR="00FD296C" w:rsidRPr="00FD296C" w14:paraId="37BF2869" w14:textId="77777777" w:rsidTr="00FD296C">
        <w:trPr>
          <w:trHeight w:val="375"/>
        </w:trPr>
        <w:tc>
          <w:tcPr>
            <w:tcW w:w="1347" w:type="dxa"/>
            <w:tcBorders>
              <w:top w:val="nil"/>
              <w:left w:val="single" w:sz="4" w:space="0" w:color="auto"/>
              <w:bottom w:val="single" w:sz="4" w:space="0" w:color="auto"/>
              <w:right w:val="single" w:sz="4" w:space="0" w:color="auto"/>
            </w:tcBorders>
            <w:noWrap/>
            <w:vAlign w:val="bottom"/>
            <w:hideMark/>
          </w:tcPr>
          <w:p w14:paraId="4E29F4B5"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Personnel</w:t>
            </w:r>
          </w:p>
        </w:tc>
        <w:tc>
          <w:tcPr>
            <w:tcW w:w="1785" w:type="dxa"/>
            <w:tcBorders>
              <w:top w:val="nil"/>
              <w:left w:val="nil"/>
              <w:bottom w:val="single" w:sz="4" w:space="0" w:color="auto"/>
              <w:right w:val="single" w:sz="4" w:space="0" w:color="auto"/>
            </w:tcBorders>
            <w:noWrap/>
            <w:vAlign w:val="bottom"/>
            <w:hideMark/>
          </w:tcPr>
          <w:p w14:paraId="3A9DB5DF"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$434,016</w:t>
            </w:r>
          </w:p>
        </w:tc>
        <w:tc>
          <w:tcPr>
            <w:tcW w:w="1594" w:type="dxa"/>
            <w:tcBorders>
              <w:top w:val="nil"/>
              <w:left w:val="nil"/>
              <w:bottom w:val="single" w:sz="4" w:space="0" w:color="auto"/>
              <w:right w:val="nil"/>
            </w:tcBorders>
            <w:noWrap/>
            <w:vAlign w:val="bottom"/>
            <w:hideMark/>
          </w:tcPr>
          <w:p w14:paraId="4F56F7FD"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66.00%</w:t>
            </w:r>
          </w:p>
        </w:tc>
        <w:tc>
          <w:tcPr>
            <w:tcW w:w="747" w:type="dxa"/>
            <w:tcBorders>
              <w:top w:val="nil"/>
              <w:left w:val="single" w:sz="4" w:space="0" w:color="auto"/>
              <w:bottom w:val="nil"/>
              <w:right w:val="single" w:sz="4" w:space="0" w:color="auto"/>
            </w:tcBorders>
            <w:noWrap/>
            <w:vAlign w:val="bottom"/>
            <w:hideMark/>
          </w:tcPr>
          <w:p w14:paraId="567485CB"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4F3D9144"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$253,849.00</w:t>
            </w:r>
          </w:p>
        </w:tc>
        <w:tc>
          <w:tcPr>
            <w:tcW w:w="1953" w:type="dxa"/>
            <w:tcBorders>
              <w:top w:val="nil"/>
              <w:left w:val="nil"/>
              <w:bottom w:val="single" w:sz="4" w:space="0" w:color="auto"/>
              <w:right w:val="single" w:sz="4" w:space="0" w:color="auto"/>
            </w:tcBorders>
            <w:noWrap/>
            <w:vAlign w:val="bottom"/>
            <w:hideMark/>
          </w:tcPr>
          <w:p w14:paraId="07FAB35A"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66.23%</w:t>
            </w:r>
          </w:p>
        </w:tc>
      </w:tr>
      <w:tr w:rsidR="00FD296C" w:rsidRPr="00FD296C" w14:paraId="50E2865E" w14:textId="77777777" w:rsidTr="00FD296C">
        <w:trPr>
          <w:trHeight w:val="375"/>
        </w:trPr>
        <w:tc>
          <w:tcPr>
            <w:tcW w:w="1347" w:type="dxa"/>
            <w:tcBorders>
              <w:top w:val="nil"/>
              <w:left w:val="single" w:sz="4" w:space="0" w:color="auto"/>
              <w:bottom w:val="single" w:sz="4" w:space="0" w:color="auto"/>
              <w:right w:val="single" w:sz="4" w:space="0" w:color="auto"/>
            </w:tcBorders>
            <w:noWrap/>
            <w:vAlign w:val="bottom"/>
            <w:hideMark/>
          </w:tcPr>
          <w:p w14:paraId="3B7E1E22"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Property</w:t>
            </w:r>
          </w:p>
        </w:tc>
        <w:tc>
          <w:tcPr>
            <w:tcW w:w="1785" w:type="dxa"/>
            <w:tcBorders>
              <w:top w:val="nil"/>
              <w:left w:val="nil"/>
              <w:bottom w:val="single" w:sz="4" w:space="0" w:color="auto"/>
              <w:right w:val="single" w:sz="4" w:space="0" w:color="auto"/>
            </w:tcBorders>
            <w:noWrap/>
            <w:vAlign w:val="bottom"/>
            <w:hideMark/>
          </w:tcPr>
          <w:p w14:paraId="7056DDF5"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$80,100</w:t>
            </w:r>
          </w:p>
        </w:tc>
        <w:tc>
          <w:tcPr>
            <w:tcW w:w="1594" w:type="dxa"/>
            <w:tcBorders>
              <w:top w:val="nil"/>
              <w:left w:val="nil"/>
              <w:bottom w:val="single" w:sz="4" w:space="0" w:color="auto"/>
              <w:right w:val="nil"/>
            </w:tcBorders>
            <w:noWrap/>
            <w:vAlign w:val="bottom"/>
            <w:hideMark/>
          </w:tcPr>
          <w:p w14:paraId="4F8DF784"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12.18%</w:t>
            </w:r>
          </w:p>
        </w:tc>
        <w:tc>
          <w:tcPr>
            <w:tcW w:w="747" w:type="dxa"/>
            <w:tcBorders>
              <w:top w:val="nil"/>
              <w:left w:val="single" w:sz="4" w:space="0" w:color="auto"/>
              <w:bottom w:val="nil"/>
              <w:right w:val="single" w:sz="4" w:space="0" w:color="auto"/>
            </w:tcBorders>
            <w:noWrap/>
            <w:vAlign w:val="bottom"/>
            <w:hideMark/>
          </w:tcPr>
          <w:p w14:paraId="145D5201"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5B1FBC0A"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$51,976.49</w:t>
            </w:r>
          </w:p>
        </w:tc>
        <w:tc>
          <w:tcPr>
            <w:tcW w:w="1953" w:type="dxa"/>
            <w:tcBorders>
              <w:top w:val="nil"/>
              <w:left w:val="nil"/>
              <w:bottom w:val="single" w:sz="4" w:space="0" w:color="auto"/>
              <w:right w:val="single" w:sz="4" w:space="0" w:color="auto"/>
            </w:tcBorders>
            <w:noWrap/>
            <w:vAlign w:val="bottom"/>
            <w:hideMark/>
          </w:tcPr>
          <w:p w14:paraId="6B7DB701"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13.56%</w:t>
            </w:r>
          </w:p>
        </w:tc>
      </w:tr>
      <w:tr w:rsidR="00FD296C" w:rsidRPr="00FD296C" w14:paraId="7EA8FA36" w14:textId="77777777" w:rsidTr="00FD296C">
        <w:trPr>
          <w:trHeight w:val="1005"/>
        </w:trPr>
        <w:tc>
          <w:tcPr>
            <w:tcW w:w="1347" w:type="dxa"/>
            <w:tcBorders>
              <w:top w:val="nil"/>
              <w:left w:val="single" w:sz="4" w:space="0" w:color="auto"/>
              <w:bottom w:val="single" w:sz="4" w:space="0" w:color="auto"/>
              <w:right w:val="single" w:sz="4" w:space="0" w:color="auto"/>
            </w:tcBorders>
            <w:noWrap/>
            <w:vAlign w:val="bottom"/>
            <w:hideMark/>
          </w:tcPr>
          <w:p w14:paraId="1D49984C"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PEVA</w:t>
            </w:r>
          </w:p>
        </w:tc>
        <w:tc>
          <w:tcPr>
            <w:tcW w:w="1785" w:type="dxa"/>
            <w:tcBorders>
              <w:top w:val="nil"/>
              <w:left w:val="nil"/>
              <w:bottom w:val="single" w:sz="4" w:space="0" w:color="auto"/>
              <w:right w:val="single" w:sz="4" w:space="0" w:color="auto"/>
            </w:tcBorders>
            <w:noWrap/>
            <w:vAlign w:val="bottom"/>
            <w:hideMark/>
          </w:tcPr>
          <w:p w14:paraId="2B644E6A"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$32,373</w:t>
            </w:r>
          </w:p>
        </w:tc>
        <w:tc>
          <w:tcPr>
            <w:tcW w:w="1594" w:type="dxa"/>
            <w:tcBorders>
              <w:top w:val="nil"/>
              <w:left w:val="nil"/>
              <w:bottom w:val="single" w:sz="4" w:space="0" w:color="auto"/>
              <w:right w:val="nil"/>
            </w:tcBorders>
            <w:noWrap/>
            <w:vAlign w:val="bottom"/>
            <w:hideMark/>
          </w:tcPr>
          <w:p w14:paraId="4220F1D4"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4.92%</w:t>
            </w:r>
          </w:p>
        </w:tc>
        <w:tc>
          <w:tcPr>
            <w:tcW w:w="747" w:type="dxa"/>
            <w:tcBorders>
              <w:top w:val="nil"/>
              <w:left w:val="single" w:sz="4" w:space="0" w:color="auto"/>
              <w:bottom w:val="nil"/>
              <w:right w:val="single" w:sz="4" w:space="0" w:color="auto"/>
            </w:tcBorders>
            <w:noWrap/>
            <w:vAlign w:val="bottom"/>
            <w:hideMark/>
          </w:tcPr>
          <w:p w14:paraId="04EA2A23"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265F2535"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$18,884.25</w:t>
            </w:r>
          </w:p>
        </w:tc>
        <w:tc>
          <w:tcPr>
            <w:tcW w:w="1953" w:type="dxa"/>
            <w:tcBorders>
              <w:top w:val="nil"/>
              <w:left w:val="nil"/>
              <w:bottom w:val="single" w:sz="4" w:space="0" w:color="auto"/>
              <w:right w:val="single" w:sz="4" w:space="0" w:color="auto"/>
            </w:tcBorders>
            <w:noWrap/>
            <w:vAlign w:val="bottom"/>
            <w:hideMark/>
          </w:tcPr>
          <w:p w14:paraId="2B232757"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4.93%</w:t>
            </w:r>
          </w:p>
        </w:tc>
      </w:tr>
      <w:tr w:rsidR="00FD296C" w:rsidRPr="00FD296C" w14:paraId="39BB2985" w14:textId="77777777" w:rsidTr="00FD296C">
        <w:trPr>
          <w:trHeight w:val="450"/>
        </w:trPr>
        <w:tc>
          <w:tcPr>
            <w:tcW w:w="1347" w:type="dxa"/>
            <w:tcBorders>
              <w:top w:val="nil"/>
              <w:left w:val="single" w:sz="4" w:space="0" w:color="auto"/>
              <w:bottom w:val="single" w:sz="4" w:space="0" w:color="auto"/>
              <w:right w:val="single" w:sz="4" w:space="0" w:color="auto"/>
            </w:tcBorders>
            <w:noWrap/>
            <w:vAlign w:val="bottom"/>
            <w:hideMark/>
          </w:tcPr>
          <w:p w14:paraId="3393E001"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Finance</w:t>
            </w:r>
          </w:p>
        </w:tc>
        <w:tc>
          <w:tcPr>
            <w:tcW w:w="1785" w:type="dxa"/>
            <w:tcBorders>
              <w:top w:val="nil"/>
              <w:left w:val="nil"/>
              <w:bottom w:val="single" w:sz="4" w:space="0" w:color="auto"/>
              <w:right w:val="single" w:sz="4" w:space="0" w:color="auto"/>
            </w:tcBorders>
            <w:noWrap/>
            <w:vAlign w:val="bottom"/>
            <w:hideMark/>
          </w:tcPr>
          <w:p w14:paraId="4B055FE7"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$26,250</w:t>
            </w:r>
          </w:p>
        </w:tc>
        <w:tc>
          <w:tcPr>
            <w:tcW w:w="1594" w:type="dxa"/>
            <w:tcBorders>
              <w:top w:val="nil"/>
              <w:left w:val="nil"/>
              <w:bottom w:val="single" w:sz="4" w:space="0" w:color="auto"/>
              <w:right w:val="nil"/>
            </w:tcBorders>
            <w:noWrap/>
            <w:vAlign w:val="bottom"/>
            <w:hideMark/>
          </w:tcPr>
          <w:p w14:paraId="283CFD15"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3.99%</w:t>
            </w:r>
          </w:p>
        </w:tc>
        <w:tc>
          <w:tcPr>
            <w:tcW w:w="747" w:type="dxa"/>
            <w:tcBorders>
              <w:top w:val="nil"/>
              <w:left w:val="single" w:sz="4" w:space="0" w:color="auto"/>
              <w:bottom w:val="nil"/>
              <w:right w:val="single" w:sz="4" w:space="0" w:color="auto"/>
            </w:tcBorders>
            <w:noWrap/>
            <w:vAlign w:val="bottom"/>
            <w:hideMark/>
          </w:tcPr>
          <w:p w14:paraId="46C5D224"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2E1B7BCE"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$17,875.62</w:t>
            </w:r>
          </w:p>
        </w:tc>
        <w:tc>
          <w:tcPr>
            <w:tcW w:w="1953" w:type="dxa"/>
            <w:tcBorders>
              <w:top w:val="nil"/>
              <w:left w:val="nil"/>
              <w:bottom w:val="single" w:sz="4" w:space="0" w:color="auto"/>
              <w:right w:val="single" w:sz="4" w:space="0" w:color="auto"/>
            </w:tcBorders>
            <w:noWrap/>
            <w:vAlign w:val="bottom"/>
            <w:hideMark/>
          </w:tcPr>
          <w:p w14:paraId="6F6967AC"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4.66%</w:t>
            </w:r>
          </w:p>
        </w:tc>
      </w:tr>
      <w:tr w:rsidR="00FD296C" w:rsidRPr="00FD296C" w14:paraId="6669C0CF" w14:textId="77777777" w:rsidTr="00FD296C">
        <w:trPr>
          <w:trHeight w:val="480"/>
        </w:trPr>
        <w:tc>
          <w:tcPr>
            <w:tcW w:w="1347" w:type="dxa"/>
            <w:tcBorders>
              <w:top w:val="nil"/>
              <w:left w:val="single" w:sz="4" w:space="0" w:color="auto"/>
              <w:bottom w:val="single" w:sz="4" w:space="0" w:color="auto"/>
              <w:right w:val="single" w:sz="4" w:space="0" w:color="auto"/>
            </w:tcBorders>
            <w:noWrap/>
            <w:vAlign w:val="bottom"/>
            <w:hideMark/>
          </w:tcPr>
          <w:p w14:paraId="5C34ACDB"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Worship</w:t>
            </w:r>
          </w:p>
        </w:tc>
        <w:tc>
          <w:tcPr>
            <w:tcW w:w="1785" w:type="dxa"/>
            <w:tcBorders>
              <w:top w:val="nil"/>
              <w:left w:val="nil"/>
              <w:bottom w:val="single" w:sz="4" w:space="0" w:color="auto"/>
              <w:right w:val="single" w:sz="4" w:space="0" w:color="auto"/>
            </w:tcBorders>
            <w:noWrap/>
            <w:vAlign w:val="bottom"/>
            <w:hideMark/>
          </w:tcPr>
          <w:p w14:paraId="6BD829B8"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$29,300</w:t>
            </w:r>
          </w:p>
        </w:tc>
        <w:tc>
          <w:tcPr>
            <w:tcW w:w="1594" w:type="dxa"/>
            <w:tcBorders>
              <w:top w:val="nil"/>
              <w:left w:val="nil"/>
              <w:bottom w:val="single" w:sz="4" w:space="0" w:color="auto"/>
              <w:right w:val="nil"/>
            </w:tcBorders>
            <w:noWrap/>
            <w:vAlign w:val="bottom"/>
            <w:hideMark/>
          </w:tcPr>
          <w:p w14:paraId="5EC561B7"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4.46%</w:t>
            </w:r>
          </w:p>
        </w:tc>
        <w:tc>
          <w:tcPr>
            <w:tcW w:w="747" w:type="dxa"/>
            <w:tcBorders>
              <w:top w:val="nil"/>
              <w:left w:val="single" w:sz="4" w:space="0" w:color="auto"/>
              <w:bottom w:val="nil"/>
              <w:right w:val="single" w:sz="4" w:space="0" w:color="auto"/>
            </w:tcBorders>
            <w:noWrap/>
            <w:vAlign w:val="bottom"/>
            <w:hideMark/>
          </w:tcPr>
          <w:p w14:paraId="55429CA5"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778046BF"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$18,002.73</w:t>
            </w:r>
          </w:p>
        </w:tc>
        <w:tc>
          <w:tcPr>
            <w:tcW w:w="1953" w:type="dxa"/>
            <w:tcBorders>
              <w:top w:val="nil"/>
              <w:left w:val="nil"/>
              <w:bottom w:val="single" w:sz="4" w:space="0" w:color="auto"/>
              <w:right w:val="single" w:sz="4" w:space="0" w:color="auto"/>
            </w:tcBorders>
            <w:noWrap/>
            <w:vAlign w:val="bottom"/>
            <w:hideMark/>
          </w:tcPr>
          <w:p w14:paraId="0F27014E"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4.70%</w:t>
            </w:r>
          </w:p>
        </w:tc>
      </w:tr>
      <w:tr w:rsidR="00FD296C" w:rsidRPr="00FD296C" w14:paraId="0FA15CB9" w14:textId="77777777" w:rsidTr="00FD296C">
        <w:trPr>
          <w:trHeight w:val="315"/>
        </w:trPr>
        <w:tc>
          <w:tcPr>
            <w:tcW w:w="1347" w:type="dxa"/>
            <w:tcBorders>
              <w:top w:val="nil"/>
              <w:left w:val="single" w:sz="4" w:space="0" w:color="auto"/>
              <w:bottom w:val="single" w:sz="4" w:space="0" w:color="auto"/>
              <w:right w:val="single" w:sz="4" w:space="0" w:color="auto"/>
            </w:tcBorders>
            <w:noWrap/>
            <w:vAlign w:val="bottom"/>
            <w:hideMark/>
          </w:tcPr>
          <w:p w14:paraId="0216BD3D"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Serve</w:t>
            </w:r>
          </w:p>
        </w:tc>
        <w:tc>
          <w:tcPr>
            <w:tcW w:w="1785" w:type="dxa"/>
            <w:tcBorders>
              <w:top w:val="nil"/>
              <w:left w:val="nil"/>
              <w:bottom w:val="single" w:sz="4" w:space="0" w:color="auto"/>
              <w:right w:val="single" w:sz="4" w:space="0" w:color="auto"/>
            </w:tcBorders>
            <w:noWrap/>
            <w:vAlign w:val="bottom"/>
            <w:hideMark/>
          </w:tcPr>
          <w:p w14:paraId="3D668030"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$23,700</w:t>
            </w:r>
          </w:p>
        </w:tc>
        <w:tc>
          <w:tcPr>
            <w:tcW w:w="1594" w:type="dxa"/>
            <w:tcBorders>
              <w:top w:val="nil"/>
              <w:left w:val="nil"/>
              <w:bottom w:val="single" w:sz="4" w:space="0" w:color="auto"/>
              <w:right w:val="nil"/>
            </w:tcBorders>
            <w:noWrap/>
            <w:vAlign w:val="bottom"/>
            <w:hideMark/>
          </w:tcPr>
          <w:p w14:paraId="20507FAB"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3.60%</w:t>
            </w:r>
          </w:p>
        </w:tc>
        <w:tc>
          <w:tcPr>
            <w:tcW w:w="747" w:type="dxa"/>
            <w:tcBorders>
              <w:top w:val="nil"/>
              <w:left w:val="single" w:sz="4" w:space="0" w:color="auto"/>
              <w:bottom w:val="nil"/>
              <w:right w:val="single" w:sz="4" w:space="0" w:color="auto"/>
            </w:tcBorders>
            <w:noWrap/>
            <w:vAlign w:val="bottom"/>
            <w:hideMark/>
          </w:tcPr>
          <w:p w14:paraId="4B3E7F83"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37AEADDD"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$8,554.25</w:t>
            </w:r>
          </w:p>
        </w:tc>
        <w:tc>
          <w:tcPr>
            <w:tcW w:w="1953" w:type="dxa"/>
            <w:tcBorders>
              <w:top w:val="nil"/>
              <w:left w:val="nil"/>
              <w:bottom w:val="single" w:sz="4" w:space="0" w:color="auto"/>
              <w:right w:val="single" w:sz="4" w:space="0" w:color="auto"/>
            </w:tcBorders>
            <w:noWrap/>
            <w:vAlign w:val="bottom"/>
            <w:hideMark/>
          </w:tcPr>
          <w:p w14:paraId="4350D8FE"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2.23%</w:t>
            </w:r>
          </w:p>
        </w:tc>
      </w:tr>
      <w:tr w:rsidR="00FD296C" w:rsidRPr="00FD296C" w14:paraId="37358570" w14:textId="77777777" w:rsidTr="00FD296C">
        <w:trPr>
          <w:trHeight w:val="615"/>
        </w:trPr>
        <w:tc>
          <w:tcPr>
            <w:tcW w:w="1347" w:type="dxa"/>
            <w:tcBorders>
              <w:top w:val="nil"/>
              <w:left w:val="single" w:sz="4" w:space="0" w:color="auto"/>
              <w:bottom w:val="single" w:sz="4" w:space="0" w:color="auto"/>
              <w:right w:val="single" w:sz="4" w:space="0" w:color="auto"/>
            </w:tcBorders>
            <w:noWrap/>
            <w:vAlign w:val="bottom"/>
            <w:hideMark/>
          </w:tcPr>
          <w:p w14:paraId="3C6ECD85"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Grow</w:t>
            </w:r>
          </w:p>
        </w:tc>
        <w:tc>
          <w:tcPr>
            <w:tcW w:w="1785" w:type="dxa"/>
            <w:tcBorders>
              <w:top w:val="nil"/>
              <w:left w:val="nil"/>
              <w:bottom w:val="single" w:sz="4" w:space="0" w:color="auto"/>
              <w:right w:val="single" w:sz="4" w:space="0" w:color="auto"/>
            </w:tcBorders>
            <w:noWrap/>
            <w:vAlign w:val="bottom"/>
            <w:hideMark/>
          </w:tcPr>
          <w:p w14:paraId="01CF3685"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$15,300</w:t>
            </w:r>
          </w:p>
        </w:tc>
        <w:tc>
          <w:tcPr>
            <w:tcW w:w="1594" w:type="dxa"/>
            <w:tcBorders>
              <w:top w:val="nil"/>
              <w:left w:val="nil"/>
              <w:bottom w:val="single" w:sz="4" w:space="0" w:color="auto"/>
              <w:right w:val="nil"/>
            </w:tcBorders>
            <w:noWrap/>
            <w:vAlign w:val="bottom"/>
            <w:hideMark/>
          </w:tcPr>
          <w:p w14:paraId="056B3F92"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2.33%</w:t>
            </w:r>
          </w:p>
        </w:tc>
        <w:tc>
          <w:tcPr>
            <w:tcW w:w="747" w:type="dxa"/>
            <w:tcBorders>
              <w:top w:val="nil"/>
              <w:left w:val="single" w:sz="4" w:space="0" w:color="auto"/>
              <w:bottom w:val="nil"/>
              <w:right w:val="single" w:sz="4" w:space="0" w:color="auto"/>
            </w:tcBorders>
            <w:noWrap/>
            <w:vAlign w:val="bottom"/>
            <w:hideMark/>
          </w:tcPr>
          <w:p w14:paraId="7E7280CE"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09C45B96"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$8,312.66</w:t>
            </w:r>
          </w:p>
        </w:tc>
        <w:tc>
          <w:tcPr>
            <w:tcW w:w="1953" w:type="dxa"/>
            <w:tcBorders>
              <w:top w:val="nil"/>
              <w:left w:val="nil"/>
              <w:bottom w:val="single" w:sz="4" w:space="0" w:color="auto"/>
              <w:right w:val="single" w:sz="4" w:space="0" w:color="auto"/>
            </w:tcBorders>
            <w:noWrap/>
            <w:vAlign w:val="bottom"/>
            <w:hideMark/>
          </w:tcPr>
          <w:p w14:paraId="4CFA3E51"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2.17%</w:t>
            </w:r>
          </w:p>
        </w:tc>
      </w:tr>
      <w:tr w:rsidR="00FD296C" w:rsidRPr="00FD296C" w14:paraId="5D2F3ED9" w14:textId="77777777" w:rsidTr="00FD296C">
        <w:trPr>
          <w:trHeight w:val="315"/>
        </w:trPr>
        <w:tc>
          <w:tcPr>
            <w:tcW w:w="1347" w:type="dxa"/>
            <w:tcBorders>
              <w:top w:val="nil"/>
              <w:left w:val="single" w:sz="4" w:space="0" w:color="auto"/>
              <w:bottom w:val="single" w:sz="4" w:space="0" w:color="auto"/>
              <w:right w:val="single" w:sz="4" w:space="0" w:color="auto"/>
            </w:tcBorders>
            <w:noWrap/>
            <w:vAlign w:val="bottom"/>
            <w:hideMark/>
          </w:tcPr>
          <w:p w14:paraId="1B4CF5A1"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Connect</w:t>
            </w:r>
          </w:p>
        </w:tc>
        <w:tc>
          <w:tcPr>
            <w:tcW w:w="1785" w:type="dxa"/>
            <w:tcBorders>
              <w:top w:val="nil"/>
              <w:left w:val="nil"/>
              <w:bottom w:val="single" w:sz="4" w:space="0" w:color="auto"/>
              <w:right w:val="single" w:sz="4" w:space="0" w:color="auto"/>
            </w:tcBorders>
            <w:noWrap/>
            <w:vAlign w:val="bottom"/>
            <w:hideMark/>
          </w:tcPr>
          <w:p w14:paraId="7277D017"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$9,650</w:t>
            </w:r>
          </w:p>
        </w:tc>
        <w:tc>
          <w:tcPr>
            <w:tcW w:w="1594" w:type="dxa"/>
            <w:tcBorders>
              <w:top w:val="nil"/>
              <w:left w:val="nil"/>
              <w:bottom w:val="single" w:sz="4" w:space="0" w:color="auto"/>
              <w:right w:val="nil"/>
            </w:tcBorders>
            <w:noWrap/>
            <w:vAlign w:val="bottom"/>
            <w:hideMark/>
          </w:tcPr>
          <w:p w14:paraId="797701CE"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1.47%</w:t>
            </w:r>
          </w:p>
        </w:tc>
        <w:tc>
          <w:tcPr>
            <w:tcW w:w="747" w:type="dxa"/>
            <w:tcBorders>
              <w:top w:val="nil"/>
              <w:left w:val="single" w:sz="4" w:space="0" w:color="auto"/>
              <w:bottom w:val="nil"/>
              <w:right w:val="single" w:sz="4" w:space="0" w:color="auto"/>
            </w:tcBorders>
            <w:noWrap/>
            <w:vAlign w:val="bottom"/>
            <w:hideMark/>
          </w:tcPr>
          <w:p w14:paraId="658D3AFD"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761CDF30"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$2,093.36</w:t>
            </w:r>
          </w:p>
        </w:tc>
        <w:tc>
          <w:tcPr>
            <w:tcW w:w="1953" w:type="dxa"/>
            <w:tcBorders>
              <w:top w:val="nil"/>
              <w:left w:val="nil"/>
              <w:bottom w:val="single" w:sz="4" w:space="0" w:color="auto"/>
              <w:right w:val="single" w:sz="4" w:space="0" w:color="auto"/>
            </w:tcBorders>
            <w:noWrap/>
            <w:vAlign w:val="bottom"/>
            <w:hideMark/>
          </w:tcPr>
          <w:p w14:paraId="4CAB2820"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0.55%</w:t>
            </w:r>
          </w:p>
        </w:tc>
      </w:tr>
      <w:tr w:rsidR="00FD296C" w:rsidRPr="00FD296C" w14:paraId="239D2B35" w14:textId="77777777" w:rsidTr="00FD296C">
        <w:trPr>
          <w:trHeight w:val="375"/>
        </w:trPr>
        <w:tc>
          <w:tcPr>
            <w:tcW w:w="1347" w:type="dxa"/>
            <w:tcBorders>
              <w:top w:val="nil"/>
              <w:left w:val="single" w:sz="4" w:space="0" w:color="auto"/>
              <w:bottom w:val="single" w:sz="4" w:space="0" w:color="auto"/>
              <w:right w:val="single" w:sz="4" w:space="0" w:color="auto"/>
            </w:tcBorders>
            <w:noWrap/>
            <w:vAlign w:val="bottom"/>
            <w:hideMark/>
          </w:tcPr>
          <w:p w14:paraId="788AE1E5" w14:textId="77777777" w:rsidR="00FD296C" w:rsidRPr="00FD296C" w:rsidRDefault="00FD296C" w:rsidP="00FD296C">
            <w:pPr>
              <w:spacing w:after="0" w:line="240" w:lineRule="auto"/>
              <w:jc w:val="center"/>
              <w:rPr>
                <w:rFonts w:ascii="Calibri" w:eastAsia="Times New Roman" w:hAnsi="Calibri" w:cs="Calibri"/>
                <w:b/>
                <w:bCs/>
                <w:color w:val="000000"/>
                <w:sz w:val="24"/>
                <w:szCs w:val="24"/>
              </w:rPr>
            </w:pPr>
            <w:r w:rsidRPr="00FD296C">
              <w:rPr>
                <w:rFonts w:ascii="Calibri" w:eastAsia="Times New Roman" w:hAnsi="Calibri" w:cs="Calibri"/>
                <w:b/>
                <w:bCs/>
                <w:color w:val="000000"/>
                <w:sz w:val="24"/>
                <w:szCs w:val="24"/>
              </w:rPr>
              <w:t>Care</w:t>
            </w:r>
          </w:p>
        </w:tc>
        <w:tc>
          <w:tcPr>
            <w:tcW w:w="1785" w:type="dxa"/>
            <w:tcBorders>
              <w:top w:val="nil"/>
              <w:left w:val="nil"/>
              <w:bottom w:val="single" w:sz="4" w:space="0" w:color="auto"/>
              <w:right w:val="single" w:sz="4" w:space="0" w:color="auto"/>
            </w:tcBorders>
            <w:noWrap/>
            <w:vAlign w:val="bottom"/>
            <w:hideMark/>
          </w:tcPr>
          <w:p w14:paraId="030910F2"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$6,950</w:t>
            </w:r>
          </w:p>
        </w:tc>
        <w:tc>
          <w:tcPr>
            <w:tcW w:w="1594" w:type="dxa"/>
            <w:tcBorders>
              <w:top w:val="nil"/>
              <w:left w:val="nil"/>
              <w:bottom w:val="single" w:sz="4" w:space="0" w:color="auto"/>
              <w:right w:val="nil"/>
            </w:tcBorders>
            <w:noWrap/>
            <w:vAlign w:val="bottom"/>
            <w:hideMark/>
          </w:tcPr>
          <w:p w14:paraId="0DDBC60B"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1.06%</w:t>
            </w:r>
          </w:p>
        </w:tc>
        <w:tc>
          <w:tcPr>
            <w:tcW w:w="747" w:type="dxa"/>
            <w:tcBorders>
              <w:top w:val="nil"/>
              <w:left w:val="single" w:sz="4" w:space="0" w:color="auto"/>
              <w:bottom w:val="single" w:sz="4" w:space="0" w:color="auto"/>
              <w:right w:val="single" w:sz="4" w:space="0" w:color="auto"/>
            </w:tcBorders>
            <w:noWrap/>
            <w:vAlign w:val="bottom"/>
            <w:hideMark/>
          </w:tcPr>
          <w:p w14:paraId="43495B55"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7041935C"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$3,742.86</w:t>
            </w:r>
          </w:p>
        </w:tc>
        <w:tc>
          <w:tcPr>
            <w:tcW w:w="1953" w:type="dxa"/>
            <w:tcBorders>
              <w:top w:val="nil"/>
              <w:left w:val="nil"/>
              <w:bottom w:val="single" w:sz="4" w:space="0" w:color="auto"/>
              <w:right w:val="single" w:sz="4" w:space="0" w:color="auto"/>
            </w:tcBorders>
            <w:noWrap/>
            <w:vAlign w:val="bottom"/>
            <w:hideMark/>
          </w:tcPr>
          <w:p w14:paraId="1EBF1534"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0.98%</w:t>
            </w:r>
          </w:p>
        </w:tc>
      </w:tr>
      <w:tr w:rsidR="00FD296C" w:rsidRPr="00FD296C" w14:paraId="532E7BF7" w14:textId="77777777" w:rsidTr="00FD296C">
        <w:trPr>
          <w:trHeight w:val="375"/>
        </w:trPr>
        <w:tc>
          <w:tcPr>
            <w:tcW w:w="1347" w:type="dxa"/>
            <w:tcBorders>
              <w:top w:val="nil"/>
              <w:left w:val="nil"/>
              <w:bottom w:val="nil"/>
              <w:right w:val="nil"/>
            </w:tcBorders>
            <w:noWrap/>
            <w:vAlign w:val="bottom"/>
            <w:hideMark/>
          </w:tcPr>
          <w:p w14:paraId="5F8F5663" w14:textId="77777777" w:rsidR="00FD296C" w:rsidRPr="00FD296C" w:rsidRDefault="00FD296C" w:rsidP="00FD296C">
            <w:pPr>
              <w:spacing w:after="0" w:line="240" w:lineRule="auto"/>
              <w:jc w:val="right"/>
              <w:rPr>
                <w:rFonts w:ascii="Calibri" w:eastAsia="Times New Roman" w:hAnsi="Calibri" w:cs="Calibri"/>
                <w:color w:val="000000"/>
                <w:sz w:val="24"/>
                <w:szCs w:val="24"/>
              </w:rPr>
            </w:pPr>
          </w:p>
        </w:tc>
        <w:tc>
          <w:tcPr>
            <w:tcW w:w="1785" w:type="dxa"/>
            <w:tcBorders>
              <w:top w:val="nil"/>
              <w:left w:val="nil"/>
              <w:bottom w:val="nil"/>
              <w:right w:val="nil"/>
            </w:tcBorders>
            <w:noWrap/>
            <w:vAlign w:val="bottom"/>
            <w:hideMark/>
          </w:tcPr>
          <w:p w14:paraId="18F1EE68"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$657,639</w:t>
            </w:r>
          </w:p>
        </w:tc>
        <w:tc>
          <w:tcPr>
            <w:tcW w:w="1594" w:type="dxa"/>
            <w:tcBorders>
              <w:top w:val="nil"/>
              <w:left w:val="nil"/>
              <w:bottom w:val="nil"/>
              <w:right w:val="nil"/>
            </w:tcBorders>
            <w:noWrap/>
            <w:vAlign w:val="bottom"/>
            <w:hideMark/>
          </w:tcPr>
          <w:p w14:paraId="1453C87A"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100.00%</w:t>
            </w:r>
          </w:p>
        </w:tc>
        <w:tc>
          <w:tcPr>
            <w:tcW w:w="747" w:type="dxa"/>
            <w:tcBorders>
              <w:top w:val="nil"/>
              <w:left w:val="nil"/>
              <w:bottom w:val="nil"/>
              <w:right w:val="nil"/>
            </w:tcBorders>
            <w:noWrap/>
            <w:vAlign w:val="bottom"/>
            <w:hideMark/>
          </w:tcPr>
          <w:p w14:paraId="6D3EA8BD" w14:textId="77777777" w:rsidR="00FD296C" w:rsidRPr="00FD296C" w:rsidRDefault="00FD296C" w:rsidP="00FD296C">
            <w:pPr>
              <w:spacing w:after="0" w:line="240" w:lineRule="auto"/>
              <w:rPr>
                <w:rFonts w:ascii="Calibri" w:eastAsia="Times New Roman" w:hAnsi="Calibri" w:cs="Calibri"/>
                <w:color w:val="000000"/>
                <w:sz w:val="24"/>
                <w:szCs w:val="24"/>
              </w:rPr>
            </w:pPr>
            <w:r w:rsidRPr="00FD296C">
              <w:rPr>
                <w:rFonts w:ascii="Calibri" w:eastAsia="Times New Roman" w:hAnsi="Calibri" w:cs="Calibri"/>
                <w:color w:val="000000"/>
                <w:sz w:val="24"/>
                <w:szCs w:val="24"/>
              </w:rPr>
              <w:t>Sum</w:t>
            </w:r>
          </w:p>
        </w:tc>
        <w:tc>
          <w:tcPr>
            <w:tcW w:w="1634" w:type="dxa"/>
            <w:tcBorders>
              <w:top w:val="nil"/>
              <w:left w:val="nil"/>
              <w:bottom w:val="nil"/>
              <w:right w:val="nil"/>
            </w:tcBorders>
            <w:noWrap/>
            <w:vAlign w:val="bottom"/>
            <w:hideMark/>
          </w:tcPr>
          <w:p w14:paraId="17DC5240" w14:textId="77777777" w:rsidR="00FD296C" w:rsidRPr="00FD296C" w:rsidRDefault="00FD296C" w:rsidP="00FD296C">
            <w:pPr>
              <w:spacing w:after="0" w:line="240" w:lineRule="auto"/>
              <w:rPr>
                <w:rFonts w:ascii="Calibri" w:eastAsia="Times New Roman" w:hAnsi="Calibri" w:cs="Calibri"/>
                <w:color w:val="000000"/>
                <w:sz w:val="24"/>
                <w:szCs w:val="24"/>
              </w:rPr>
            </w:pPr>
          </w:p>
        </w:tc>
        <w:tc>
          <w:tcPr>
            <w:tcW w:w="1953" w:type="dxa"/>
            <w:tcBorders>
              <w:top w:val="nil"/>
              <w:left w:val="nil"/>
              <w:bottom w:val="nil"/>
              <w:right w:val="nil"/>
            </w:tcBorders>
            <w:noWrap/>
            <w:vAlign w:val="bottom"/>
            <w:hideMark/>
          </w:tcPr>
          <w:p w14:paraId="7A4C10D4"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100.00%</w:t>
            </w:r>
          </w:p>
        </w:tc>
      </w:tr>
      <w:tr w:rsidR="00FD296C" w:rsidRPr="00FD296C" w14:paraId="77C4D51D" w14:textId="77777777" w:rsidTr="00FD296C">
        <w:trPr>
          <w:trHeight w:val="360"/>
        </w:trPr>
        <w:tc>
          <w:tcPr>
            <w:tcW w:w="1347" w:type="dxa"/>
            <w:tcBorders>
              <w:top w:val="nil"/>
              <w:left w:val="nil"/>
              <w:bottom w:val="nil"/>
              <w:right w:val="nil"/>
            </w:tcBorders>
            <w:noWrap/>
            <w:vAlign w:val="center"/>
            <w:hideMark/>
          </w:tcPr>
          <w:p w14:paraId="3956A2C0" w14:textId="77777777" w:rsidR="00FD296C" w:rsidRPr="00FD296C" w:rsidRDefault="00FD296C" w:rsidP="00FD296C">
            <w:pPr>
              <w:spacing w:after="0" w:line="240" w:lineRule="auto"/>
              <w:jc w:val="right"/>
              <w:rPr>
                <w:rFonts w:ascii="Calibri" w:eastAsia="Times New Roman" w:hAnsi="Calibri" w:cs="Calibri"/>
                <w:color w:val="000000"/>
                <w:sz w:val="24"/>
                <w:szCs w:val="24"/>
              </w:rPr>
            </w:pPr>
          </w:p>
        </w:tc>
        <w:tc>
          <w:tcPr>
            <w:tcW w:w="4126" w:type="dxa"/>
            <w:gridSpan w:val="3"/>
            <w:tcBorders>
              <w:top w:val="nil"/>
              <w:left w:val="nil"/>
              <w:bottom w:val="nil"/>
              <w:right w:val="nil"/>
            </w:tcBorders>
            <w:noWrap/>
            <w:vAlign w:val="center"/>
            <w:hideMark/>
          </w:tcPr>
          <w:p w14:paraId="4BAE686E" w14:textId="77777777" w:rsidR="00FD296C" w:rsidRPr="00FD296C" w:rsidRDefault="00FD296C" w:rsidP="00FD296C">
            <w:pPr>
              <w:spacing w:after="0" w:line="240" w:lineRule="auto"/>
              <w:jc w:val="center"/>
              <w:rPr>
                <w:rFonts w:ascii="Calibri" w:eastAsia="Times New Roman" w:hAnsi="Calibri" w:cs="Calibri"/>
                <w:color w:val="000000"/>
                <w:sz w:val="24"/>
                <w:szCs w:val="24"/>
              </w:rPr>
            </w:pPr>
            <w:r w:rsidRPr="00FD296C">
              <w:rPr>
                <w:rFonts w:ascii="Calibri" w:eastAsia="Times New Roman" w:hAnsi="Calibri" w:cs="Calibri"/>
                <w:color w:val="000000"/>
                <w:sz w:val="24"/>
                <w:szCs w:val="24"/>
              </w:rPr>
              <w:t xml:space="preserve">        YTD KGPC Expenditures</w:t>
            </w:r>
          </w:p>
        </w:tc>
        <w:tc>
          <w:tcPr>
            <w:tcW w:w="1634" w:type="dxa"/>
            <w:tcBorders>
              <w:top w:val="nil"/>
              <w:left w:val="nil"/>
              <w:bottom w:val="nil"/>
              <w:right w:val="nil"/>
            </w:tcBorders>
            <w:noWrap/>
            <w:vAlign w:val="bottom"/>
            <w:hideMark/>
          </w:tcPr>
          <w:p w14:paraId="7CE92524" w14:textId="77777777" w:rsidR="00FD296C" w:rsidRPr="00FD296C" w:rsidRDefault="00FD296C" w:rsidP="00FD296C">
            <w:pPr>
              <w:spacing w:after="0" w:line="240" w:lineRule="auto"/>
              <w:jc w:val="center"/>
              <w:rPr>
                <w:rFonts w:ascii="Calibri" w:eastAsia="Times New Roman" w:hAnsi="Calibri" w:cs="Calibri"/>
                <w:color w:val="000000"/>
                <w:sz w:val="24"/>
                <w:szCs w:val="24"/>
              </w:rPr>
            </w:pPr>
          </w:p>
        </w:tc>
        <w:tc>
          <w:tcPr>
            <w:tcW w:w="1953" w:type="dxa"/>
            <w:tcBorders>
              <w:top w:val="nil"/>
              <w:left w:val="nil"/>
              <w:bottom w:val="nil"/>
              <w:right w:val="nil"/>
            </w:tcBorders>
            <w:noWrap/>
            <w:vAlign w:val="bottom"/>
            <w:hideMark/>
          </w:tcPr>
          <w:p w14:paraId="1742C679" w14:textId="77777777" w:rsidR="00FD296C" w:rsidRPr="00FD296C" w:rsidRDefault="00FD296C" w:rsidP="00FD296C">
            <w:pPr>
              <w:spacing w:after="0" w:line="240" w:lineRule="auto"/>
              <w:jc w:val="right"/>
              <w:rPr>
                <w:rFonts w:ascii="Calibri" w:eastAsia="Times New Roman" w:hAnsi="Calibri" w:cs="Calibri"/>
                <w:color w:val="000000"/>
                <w:sz w:val="24"/>
                <w:szCs w:val="24"/>
              </w:rPr>
            </w:pPr>
            <w:r w:rsidRPr="00FD296C">
              <w:rPr>
                <w:rFonts w:ascii="Calibri" w:eastAsia="Times New Roman" w:hAnsi="Calibri" w:cs="Calibri"/>
                <w:color w:val="000000"/>
                <w:sz w:val="24"/>
                <w:szCs w:val="24"/>
              </w:rPr>
              <w:t>$383,291.22</w:t>
            </w:r>
          </w:p>
        </w:tc>
      </w:tr>
      <w:tr w:rsidR="000A7AA4" w:rsidRPr="00FD296C" w14:paraId="30856752" w14:textId="77777777" w:rsidTr="00FD296C">
        <w:trPr>
          <w:trHeight w:val="360"/>
        </w:trPr>
        <w:tc>
          <w:tcPr>
            <w:tcW w:w="1347" w:type="dxa"/>
            <w:tcBorders>
              <w:top w:val="nil"/>
              <w:left w:val="nil"/>
              <w:bottom w:val="nil"/>
              <w:right w:val="nil"/>
            </w:tcBorders>
            <w:noWrap/>
            <w:vAlign w:val="center"/>
          </w:tcPr>
          <w:p w14:paraId="09E320D7" w14:textId="77777777" w:rsidR="000A7AA4" w:rsidRPr="00FD296C" w:rsidRDefault="000A7AA4" w:rsidP="00FD296C">
            <w:pPr>
              <w:spacing w:after="0" w:line="240" w:lineRule="auto"/>
              <w:jc w:val="right"/>
              <w:rPr>
                <w:rFonts w:ascii="Calibri" w:eastAsia="Times New Roman" w:hAnsi="Calibri" w:cs="Calibri"/>
                <w:color w:val="000000"/>
                <w:sz w:val="24"/>
                <w:szCs w:val="24"/>
              </w:rPr>
            </w:pPr>
          </w:p>
        </w:tc>
        <w:tc>
          <w:tcPr>
            <w:tcW w:w="4126" w:type="dxa"/>
            <w:gridSpan w:val="3"/>
            <w:tcBorders>
              <w:top w:val="nil"/>
              <w:left w:val="nil"/>
              <w:bottom w:val="nil"/>
              <w:right w:val="nil"/>
            </w:tcBorders>
            <w:noWrap/>
            <w:vAlign w:val="center"/>
          </w:tcPr>
          <w:p w14:paraId="696F8F2D" w14:textId="77777777" w:rsidR="000A7AA4" w:rsidRPr="00FD296C" w:rsidRDefault="000A7AA4" w:rsidP="00FD296C">
            <w:pPr>
              <w:spacing w:after="0" w:line="240" w:lineRule="auto"/>
              <w:jc w:val="center"/>
              <w:rPr>
                <w:rFonts w:ascii="Calibri" w:eastAsia="Times New Roman" w:hAnsi="Calibri" w:cs="Calibri"/>
                <w:color w:val="000000"/>
                <w:sz w:val="24"/>
                <w:szCs w:val="24"/>
              </w:rPr>
            </w:pPr>
          </w:p>
        </w:tc>
        <w:tc>
          <w:tcPr>
            <w:tcW w:w="1634" w:type="dxa"/>
            <w:tcBorders>
              <w:top w:val="nil"/>
              <w:left w:val="nil"/>
              <w:bottom w:val="nil"/>
              <w:right w:val="nil"/>
            </w:tcBorders>
            <w:noWrap/>
            <w:vAlign w:val="bottom"/>
          </w:tcPr>
          <w:p w14:paraId="77D49E97" w14:textId="77777777" w:rsidR="000A7AA4" w:rsidRPr="00FD296C" w:rsidRDefault="000A7AA4" w:rsidP="00FD296C">
            <w:pPr>
              <w:spacing w:after="0" w:line="240" w:lineRule="auto"/>
              <w:jc w:val="center"/>
              <w:rPr>
                <w:rFonts w:ascii="Calibri" w:eastAsia="Times New Roman" w:hAnsi="Calibri" w:cs="Calibri"/>
                <w:color w:val="000000"/>
                <w:sz w:val="24"/>
                <w:szCs w:val="24"/>
              </w:rPr>
            </w:pPr>
          </w:p>
        </w:tc>
        <w:tc>
          <w:tcPr>
            <w:tcW w:w="1953" w:type="dxa"/>
            <w:tcBorders>
              <w:top w:val="nil"/>
              <w:left w:val="nil"/>
              <w:bottom w:val="nil"/>
              <w:right w:val="nil"/>
            </w:tcBorders>
            <w:noWrap/>
            <w:vAlign w:val="bottom"/>
          </w:tcPr>
          <w:p w14:paraId="32D5009D" w14:textId="77777777" w:rsidR="000A7AA4" w:rsidRPr="00FD296C" w:rsidRDefault="000A7AA4" w:rsidP="00FD296C">
            <w:pPr>
              <w:spacing w:after="0" w:line="240" w:lineRule="auto"/>
              <w:jc w:val="right"/>
              <w:rPr>
                <w:rFonts w:ascii="Calibri" w:eastAsia="Times New Roman" w:hAnsi="Calibri" w:cs="Calibri"/>
                <w:color w:val="000000"/>
                <w:sz w:val="24"/>
                <w:szCs w:val="24"/>
              </w:rPr>
            </w:pPr>
          </w:p>
        </w:tc>
      </w:tr>
    </w:tbl>
    <w:p w14:paraId="12147440" w14:textId="36E45711" w:rsidR="0086326C" w:rsidRDefault="00FD296C" w:rsidP="00655FA5">
      <w:pPr>
        <w:rPr>
          <w:noProof/>
        </w:rPr>
      </w:pPr>
      <w:r>
        <w:rPr>
          <w:noProof/>
        </w:rPr>
        <w:lastRenderedPageBreak/>
        <w:drawing>
          <wp:inline distT="0" distB="0" distL="0" distR="0" wp14:anchorId="70ECFD44" wp14:editId="05171884">
            <wp:extent cx="6353175" cy="8039100"/>
            <wp:effectExtent l="0" t="0" r="9525" b="0"/>
            <wp:docPr id="1149109241" name="Chart 1">
              <a:extLst xmlns:a="http://schemas.openxmlformats.org/drawingml/2006/main">
                <a:ext uri="{FF2B5EF4-FFF2-40B4-BE49-F238E27FC236}">
                  <a16:creationId xmlns:a16="http://schemas.microsoft.com/office/drawing/2014/main" id="{40EDC8D3-B799-8B49-FDAB-32043971E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86326C" w:rsidSect="00FC7F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F81"/>
    <w:multiLevelType w:val="hybridMultilevel"/>
    <w:tmpl w:val="3556B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445CF"/>
    <w:multiLevelType w:val="hybridMultilevel"/>
    <w:tmpl w:val="E40AEAE6"/>
    <w:lvl w:ilvl="0" w:tplc="69E4BD90">
      <w:numFmt w:val="bullet"/>
      <w:lvlText w:val=""/>
      <w:lvlJc w:val="left"/>
      <w:pPr>
        <w:ind w:left="1080" w:hanging="360"/>
      </w:pPr>
      <w:rPr>
        <w:rFonts w:ascii="Symbol" w:eastAsiaTheme="minorHAnsi" w:hAnsi="Symbol" w:cstheme="minorBidi"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F47A10"/>
    <w:multiLevelType w:val="hybridMultilevel"/>
    <w:tmpl w:val="0D9A1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84825"/>
    <w:multiLevelType w:val="hybridMultilevel"/>
    <w:tmpl w:val="E9D4F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C05508"/>
    <w:multiLevelType w:val="hybridMultilevel"/>
    <w:tmpl w:val="B4968E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0D2541"/>
    <w:multiLevelType w:val="multilevel"/>
    <w:tmpl w:val="D3BC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93BA3"/>
    <w:multiLevelType w:val="hybridMultilevel"/>
    <w:tmpl w:val="240A0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F07BD1"/>
    <w:multiLevelType w:val="hybridMultilevel"/>
    <w:tmpl w:val="B78C0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60299"/>
    <w:multiLevelType w:val="hybridMultilevel"/>
    <w:tmpl w:val="8796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6D2629"/>
    <w:multiLevelType w:val="hybridMultilevel"/>
    <w:tmpl w:val="335CA9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63815ED"/>
    <w:multiLevelType w:val="hybridMultilevel"/>
    <w:tmpl w:val="D3C0E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E4FAE"/>
    <w:multiLevelType w:val="hybridMultilevel"/>
    <w:tmpl w:val="FA8C7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F49D6"/>
    <w:multiLevelType w:val="hybridMultilevel"/>
    <w:tmpl w:val="AB2E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297FA2"/>
    <w:multiLevelType w:val="hybridMultilevel"/>
    <w:tmpl w:val="373ED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747C61"/>
    <w:multiLevelType w:val="hybridMultilevel"/>
    <w:tmpl w:val="B2EA2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4130AFC"/>
    <w:multiLevelType w:val="hybridMultilevel"/>
    <w:tmpl w:val="5C885DE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9E0269"/>
    <w:multiLevelType w:val="hybridMultilevel"/>
    <w:tmpl w:val="4E0CB2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114FB2"/>
    <w:multiLevelType w:val="hybridMultilevel"/>
    <w:tmpl w:val="3FB8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043397">
    <w:abstractNumId w:val="5"/>
  </w:num>
  <w:num w:numId="2" w16cid:durableId="918903489">
    <w:abstractNumId w:val="13"/>
  </w:num>
  <w:num w:numId="3" w16cid:durableId="1926304029">
    <w:abstractNumId w:val="17"/>
  </w:num>
  <w:num w:numId="4" w16cid:durableId="777407804">
    <w:abstractNumId w:val="15"/>
  </w:num>
  <w:num w:numId="5" w16cid:durableId="662195682">
    <w:abstractNumId w:val="7"/>
  </w:num>
  <w:num w:numId="6" w16cid:durableId="1951468174">
    <w:abstractNumId w:val="4"/>
  </w:num>
  <w:num w:numId="7" w16cid:durableId="1764565439">
    <w:abstractNumId w:val="9"/>
  </w:num>
  <w:num w:numId="8" w16cid:durableId="2106000563">
    <w:abstractNumId w:val="0"/>
  </w:num>
  <w:num w:numId="9" w16cid:durableId="1639798262">
    <w:abstractNumId w:val="2"/>
  </w:num>
  <w:num w:numId="10" w16cid:durableId="984437100">
    <w:abstractNumId w:val="12"/>
  </w:num>
  <w:num w:numId="11" w16cid:durableId="54817759">
    <w:abstractNumId w:val="3"/>
  </w:num>
  <w:num w:numId="12" w16cid:durableId="347216628">
    <w:abstractNumId w:val="10"/>
  </w:num>
  <w:num w:numId="13" w16cid:durableId="1343819627">
    <w:abstractNumId w:val="8"/>
  </w:num>
  <w:num w:numId="14" w16cid:durableId="123620603">
    <w:abstractNumId w:val="16"/>
  </w:num>
  <w:num w:numId="15" w16cid:durableId="62026471">
    <w:abstractNumId w:val="14"/>
  </w:num>
  <w:num w:numId="16" w16cid:durableId="1692099669">
    <w:abstractNumId w:val="11"/>
  </w:num>
  <w:num w:numId="17" w16cid:durableId="1057780674">
    <w:abstractNumId w:val="6"/>
  </w:num>
  <w:num w:numId="18" w16cid:durableId="76915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75"/>
    <w:rsid w:val="00000CC7"/>
    <w:rsid w:val="00002757"/>
    <w:rsid w:val="00004EB5"/>
    <w:rsid w:val="000062A3"/>
    <w:rsid w:val="0001016E"/>
    <w:rsid w:val="00012A91"/>
    <w:rsid w:val="00012DC8"/>
    <w:rsid w:val="000159D0"/>
    <w:rsid w:val="000200B6"/>
    <w:rsid w:val="00020D1F"/>
    <w:rsid w:val="00023274"/>
    <w:rsid w:val="00023B94"/>
    <w:rsid w:val="00025BFA"/>
    <w:rsid w:val="0002633F"/>
    <w:rsid w:val="00035BBD"/>
    <w:rsid w:val="00036372"/>
    <w:rsid w:val="0003679D"/>
    <w:rsid w:val="00037A0F"/>
    <w:rsid w:val="000450A3"/>
    <w:rsid w:val="0004691E"/>
    <w:rsid w:val="00046CA9"/>
    <w:rsid w:val="000507A9"/>
    <w:rsid w:val="00060E77"/>
    <w:rsid w:val="00062AAF"/>
    <w:rsid w:val="00064BB0"/>
    <w:rsid w:val="0006511F"/>
    <w:rsid w:val="000661F3"/>
    <w:rsid w:val="00071229"/>
    <w:rsid w:val="00080A62"/>
    <w:rsid w:val="00082EF6"/>
    <w:rsid w:val="000857CE"/>
    <w:rsid w:val="00085C1F"/>
    <w:rsid w:val="000A2860"/>
    <w:rsid w:val="000A5F8B"/>
    <w:rsid w:val="000A7AA4"/>
    <w:rsid w:val="000B17C1"/>
    <w:rsid w:val="000B4ADF"/>
    <w:rsid w:val="000B53EA"/>
    <w:rsid w:val="000B5AB4"/>
    <w:rsid w:val="000B5DC4"/>
    <w:rsid w:val="000B7B73"/>
    <w:rsid w:val="000C0353"/>
    <w:rsid w:val="000C0596"/>
    <w:rsid w:val="000C3B84"/>
    <w:rsid w:val="000C56E7"/>
    <w:rsid w:val="000C774B"/>
    <w:rsid w:val="000D6285"/>
    <w:rsid w:val="000E0702"/>
    <w:rsid w:val="000E32A2"/>
    <w:rsid w:val="000E40D1"/>
    <w:rsid w:val="000E4633"/>
    <w:rsid w:val="000E464E"/>
    <w:rsid w:val="000E5118"/>
    <w:rsid w:val="000E70D2"/>
    <w:rsid w:val="000F2B06"/>
    <w:rsid w:val="000F467E"/>
    <w:rsid w:val="000F49CC"/>
    <w:rsid w:val="000F5DC8"/>
    <w:rsid w:val="000F7760"/>
    <w:rsid w:val="0010080F"/>
    <w:rsid w:val="001045AD"/>
    <w:rsid w:val="0011399C"/>
    <w:rsid w:val="00122910"/>
    <w:rsid w:val="001245F7"/>
    <w:rsid w:val="0013284E"/>
    <w:rsid w:val="001349A2"/>
    <w:rsid w:val="00137400"/>
    <w:rsid w:val="00140A0E"/>
    <w:rsid w:val="00141C66"/>
    <w:rsid w:val="00142C59"/>
    <w:rsid w:val="00143AC7"/>
    <w:rsid w:val="00143B7C"/>
    <w:rsid w:val="00144575"/>
    <w:rsid w:val="00144A6F"/>
    <w:rsid w:val="00146761"/>
    <w:rsid w:val="0015246C"/>
    <w:rsid w:val="00157E18"/>
    <w:rsid w:val="00157E69"/>
    <w:rsid w:val="00162210"/>
    <w:rsid w:val="00162D58"/>
    <w:rsid w:val="001635E8"/>
    <w:rsid w:val="00165CF2"/>
    <w:rsid w:val="001660D7"/>
    <w:rsid w:val="00167C92"/>
    <w:rsid w:val="0017126C"/>
    <w:rsid w:val="001842C0"/>
    <w:rsid w:val="00184BBA"/>
    <w:rsid w:val="00184C5C"/>
    <w:rsid w:val="00184E28"/>
    <w:rsid w:val="00185AE2"/>
    <w:rsid w:val="00192A78"/>
    <w:rsid w:val="001A0602"/>
    <w:rsid w:val="001A0FF8"/>
    <w:rsid w:val="001A4CBF"/>
    <w:rsid w:val="001A6534"/>
    <w:rsid w:val="001A67F8"/>
    <w:rsid w:val="001B0C04"/>
    <w:rsid w:val="001B3BCD"/>
    <w:rsid w:val="001B3D21"/>
    <w:rsid w:val="001B77F9"/>
    <w:rsid w:val="001C3212"/>
    <w:rsid w:val="001C3566"/>
    <w:rsid w:val="001C773D"/>
    <w:rsid w:val="001D5654"/>
    <w:rsid w:val="001D6D16"/>
    <w:rsid w:val="001D72AA"/>
    <w:rsid w:val="001E21A1"/>
    <w:rsid w:val="001E296B"/>
    <w:rsid w:val="001F0F93"/>
    <w:rsid w:val="001F4210"/>
    <w:rsid w:val="001F5252"/>
    <w:rsid w:val="001F5BBF"/>
    <w:rsid w:val="00201008"/>
    <w:rsid w:val="00203B3D"/>
    <w:rsid w:val="00203EA9"/>
    <w:rsid w:val="00210E88"/>
    <w:rsid w:val="00216F1F"/>
    <w:rsid w:val="0022248B"/>
    <w:rsid w:val="00224C9C"/>
    <w:rsid w:val="0022703F"/>
    <w:rsid w:val="00240A98"/>
    <w:rsid w:val="0024247F"/>
    <w:rsid w:val="00242A52"/>
    <w:rsid w:val="00251111"/>
    <w:rsid w:val="00252547"/>
    <w:rsid w:val="0025326B"/>
    <w:rsid w:val="002560C4"/>
    <w:rsid w:val="002607E1"/>
    <w:rsid w:val="002640AA"/>
    <w:rsid w:val="00265BE0"/>
    <w:rsid w:val="00265E21"/>
    <w:rsid w:val="0027260D"/>
    <w:rsid w:val="00276F0C"/>
    <w:rsid w:val="0027763F"/>
    <w:rsid w:val="002823B9"/>
    <w:rsid w:val="00282FBD"/>
    <w:rsid w:val="002834B9"/>
    <w:rsid w:val="00284676"/>
    <w:rsid w:val="00285412"/>
    <w:rsid w:val="00286166"/>
    <w:rsid w:val="00287F82"/>
    <w:rsid w:val="002906E1"/>
    <w:rsid w:val="0029232B"/>
    <w:rsid w:val="00295028"/>
    <w:rsid w:val="00296C43"/>
    <w:rsid w:val="002A02F8"/>
    <w:rsid w:val="002A1EED"/>
    <w:rsid w:val="002A2026"/>
    <w:rsid w:val="002A23F2"/>
    <w:rsid w:val="002A7F14"/>
    <w:rsid w:val="002B0B9A"/>
    <w:rsid w:val="002B15BF"/>
    <w:rsid w:val="002C5C3A"/>
    <w:rsid w:val="002C7221"/>
    <w:rsid w:val="002D2680"/>
    <w:rsid w:val="002D34DF"/>
    <w:rsid w:val="002D3CB6"/>
    <w:rsid w:val="002D6F6D"/>
    <w:rsid w:val="002E05FC"/>
    <w:rsid w:val="002E4BE5"/>
    <w:rsid w:val="002E5214"/>
    <w:rsid w:val="002F1012"/>
    <w:rsid w:val="002F1E3B"/>
    <w:rsid w:val="002F2302"/>
    <w:rsid w:val="002F2F22"/>
    <w:rsid w:val="00300618"/>
    <w:rsid w:val="00300A2A"/>
    <w:rsid w:val="0030592E"/>
    <w:rsid w:val="00305B85"/>
    <w:rsid w:val="00310854"/>
    <w:rsid w:val="00311643"/>
    <w:rsid w:val="0031566A"/>
    <w:rsid w:val="0032398B"/>
    <w:rsid w:val="00326B83"/>
    <w:rsid w:val="00332481"/>
    <w:rsid w:val="00332BCF"/>
    <w:rsid w:val="00341A5F"/>
    <w:rsid w:val="00341B04"/>
    <w:rsid w:val="00343947"/>
    <w:rsid w:val="00344DE7"/>
    <w:rsid w:val="003478ED"/>
    <w:rsid w:val="00350EF0"/>
    <w:rsid w:val="00352EA8"/>
    <w:rsid w:val="00355C4D"/>
    <w:rsid w:val="00357C47"/>
    <w:rsid w:val="0036139B"/>
    <w:rsid w:val="003730D7"/>
    <w:rsid w:val="00377A6A"/>
    <w:rsid w:val="00380F71"/>
    <w:rsid w:val="00381FAC"/>
    <w:rsid w:val="00382529"/>
    <w:rsid w:val="00382991"/>
    <w:rsid w:val="00383B36"/>
    <w:rsid w:val="00390C9B"/>
    <w:rsid w:val="003915DE"/>
    <w:rsid w:val="00391639"/>
    <w:rsid w:val="00392087"/>
    <w:rsid w:val="00397B70"/>
    <w:rsid w:val="003A20CC"/>
    <w:rsid w:val="003A421E"/>
    <w:rsid w:val="003A4B89"/>
    <w:rsid w:val="003B0CD5"/>
    <w:rsid w:val="003B0E7C"/>
    <w:rsid w:val="003B748E"/>
    <w:rsid w:val="003C1060"/>
    <w:rsid w:val="003C1BD6"/>
    <w:rsid w:val="003C34AC"/>
    <w:rsid w:val="003C72E0"/>
    <w:rsid w:val="003C7ADA"/>
    <w:rsid w:val="003D314B"/>
    <w:rsid w:val="003D38CF"/>
    <w:rsid w:val="003E016D"/>
    <w:rsid w:val="003E17AD"/>
    <w:rsid w:val="003E36A8"/>
    <w:rsid w:val="003E36BF"/>
    <w:rsid w:val="003E3C6D"/>
    <w:rsid w:val="003E6177"/>
    <w:rsid w:val="003F28C1"/>
    <w:rsid w:val="003F2E41"/>
    <w:rsid w:val="004006AC"/>
    <w:rsid w:val="004058EC"/>
    <w:rsid w:val="00405A58"/>
    <w:rsid w:val="00411409"/>
    <w:rsid w:val="00415556"/>
    <w:rsid w:val="00415A94"/>
    <w:rsid w:val="00416A05"/>
    <w:rsid w:val="00416EB2"/>
    <w:rsid w:val="00422125"/>
    <w:rsid w:val="00423422"/>
    <w:rsid w:val="00424073"/>
    <w:rsid w:val="004246E9"/>
    <w:rsid w:val="00424ACD"/>
    <w:rsid w:val="0042565E"/>
    <w:rsid w:val="00432A78"/>
    <w:rsid w:val="004367E9"/>
    <w:rsid w:val="004434E0"/>
    <w:rsid w:val="00443E5F"/>
    <w:rsid w:val="00445AD9"/>
    <w:rsid w:val="00447FB3"/>
    <w:rsid w:val="00451889"/>
    <w:rsid w:val="00452164"/>
    <w:rsid w:val="0045363E"/>
    <w:rsid w:val="0045616B"/>
    <w:rsid w:val="00456EB6"/>
    <w:rsid w:val="004615B3"/>
    <w:rsid w:val="00462CB9"/>
    <w:rsid w:val="00463C45"/>
    <w:rsid w:val="00465448"/>
    <w:rsid w:val="00466818"/>
    <w:rsid w:val="004730D7"/>
    <w:rsid w:val="004735EA"/>
    <w:rsid w:val="00475F70"/>
    <w:rsid w:val="0047641F"/>
    <w:rsid w:val="00477E2E"/>
    <w:rsid w:val="004812F0"/>
    <w:rsid w:val="00485842"/>
    <w:rsid w:val="00485D8D"/>
    <w:rsid w:val="004860CE"/>
    <w:rsid w:val="004A3E04"/>
    <w:rsid w:val="004A5003"/>
    <w:rsid w:val="004A5C80"/>
    <w:rsid w:val="004A709C"/>
    <w:rsid w:val="004A7D09"/>
    <w:rsid w:val="004B0149"/>
    <w:rsid w:val="004B33C0"/>
    <w:rsid w:val="004B65C9"/>
    <w:rsid w:val="004B68BA"/>
    <w:rsid w:val="004B6F91"/>
    <w:rsid w:val="004C2B7D"/>
    <w:rsid w:val="004D41FB"/>
    <w:rsid w:val="004E0AF5"/>
    <w:rsid w:val="004E10F7"/>
    <w:rsid w:val="004E2278"/>
    <w:rsid w:val="004E51BA"/>
    <w:rsid w:val="004E7536"/>
    <w:rsid w:val="004F15C7"/>
    <w:rsid w:val="004F3C52"/>
    <w:rsid w:val="004F6164"/>
    <w:rsid w:val="005033AD"/>
    <w:rsid w:val="00504964"/>
    <w:rsid w:val="00510177"/>
    <w:rsid w:val="005117D0"/>
    <w:rsid w:val="00512764"/>
    <w:rsid w:val="00514736"/>
    <w:rsid w:val="005152B4"/>
    <w:rsid w:val="00521386"/>
    <w:rsid w:val="0052196A"/>
    <w:rsid w:val="005220BE"/>
    <w:rsid w:val="0052321D"/>
    <w:rsid w:val="005237FC"/>
    <w:rsid w:val="00523DC6"/>
    <w:rsid w:val="005244D0"/>
    <w:rsid w:val="00527512"/>
    <w:rsid w:val="00531C36"/>
    <w:rsid w:val="00532C6D"/>
    <w:rsid w:val="00535036"/>
    <w:rsid w:val="00537B60"/>
    <w:rsid w:val="005439D4"/>
    <w:rsid w:val="00544BBB"/>
    <w:rsid w:val="00550D69"/>
    <w:rsid w:val="005528CA"/>
    <w:rsid w:val="00555EA0"/>
    <w:rsid w:val="00556883"/>
    <w:rsid w:val="00560696"/>
    <w:rsid w:val="00560C49"/>
    <w:rsid w:val="00560F1A"/>
    <w:rsid w:val="005630F8"/>
    <w:rsid w:val="0056791D"/>
    <w:rsid w:val="00570638"/>
    <w:rsid w:val="005728D1"/>
    <w:rsid w:val="005767B1"/>
    <w:rsid w:val="0057734B"/>
    <w:rsid w:val="00580542"/>
    <w:rsid w:val="00582988"/>
    <w:rsid w:val="00583FA1"/>
    <w:rsid w:val="005913CA"/>
    <w:rsid w:val="00591E4B"/>
    <w:rsid w:val="00592F2A"/>
    <w:rsid w:val="00595A99"/>
    <w:rsid w:val="005A0E73"/>
    <w:rsid w:val="005A3AB0"/>
    <w:rsid w:val="005A4104"/>
    <w:rsid w:val="005A5A32"/>
    <w:rsid w:val="005A6724"/>
    <w:rsid w:val="005B2CD5"/>
    <w:rsid w:val="005B443C"/>
    <w:rsid w:val="005B4B37"/>
    <w:rsid w:val="005B58CF"/>
    <w:rsid w:val="005C1724"/>
    <w:rsid w:val="005C1A8A"/>
    <w:rsid w:val="005C1C42"/>
    <w:rsid w:val="005C1D7C"/>
    <w:rsid w:val="005C55C8"/>
    <w:rsid w:val="005D0511"/>
    <w:rsid w:val="005D35BD"/>
    <w:rsid w:val="005E4AE7"/>
    <w:rsid w:val="005E752E"/>
    <w:rsid w:val="005F044E"/>
    <w:rsid w:val="005F0A07"/>
    <w:rsid w:val="005F0B56"/>
    <w:rsid w:val="005F2D66"/>
    <w:rsid w:val="005F3B81"/>
    <w:rsid w:val="005F5E88"/>
    <w:rsid w:val="00600D43"/>
    <w:rsid w:val="00603BB1"/>
    <w:rsid w:val="006041BD"/>
    <w:rsid w:val="006068BA"/>
    <w:rsid w:val="00606B8C"/>
    <w:rsid w:val="00610167"/>
    <w:rsid w:val="00613021"/>
    <w:rsid w:val="006202C2"/>
    <w:rsid w:val="0062052C"/>
    <w:rsid w:val="00625C19"/>
    <w:rsid w:val="00625D80"/>
    <w:rsid w:val="006342E6"/>
    <w:rsid w:val="0063479E"/>
    <w:rsid w:val="006350F3"/>
    <w:rsid w:val="006354F2"/>
    <w:rsid w:val="00636AC5"/>
    <w:rsid w:val="0064468F"/>
    <w:rsid w:val="0064565F"/>
    <w:rsid w:val="00646544"/>
    <w:rsid w:val="00653EC4"/>
    <w:rsid w:val="00655FA5"/>
    <w:rsid w:val="006561EA"/>
    <w:rsid w:val="0065671A"/>
    <w:rsid w:val="00657B11"/>
    <w:rsid w:val="0066017A"/>
    <w:rsid w:val="00661B16"/>
    <w:rsid w:val="00662415"/>
    <w:rsid w:val="006657C5"/>
    <w:rsid w:val="00666B23"/>
    <w:rsid w:val="00666BE0"/>
    <w:rsid w:val="00667037"/>
    <w:rsid w:val="00667DE6"/>
    <w:rsid w:val="00671B7D"/>
    <w:rsid w:val="00673E88"/>
    <w:rsid w:val="00674CC9"/>
    <w:rsid w:val="00676D6D"/>
    <w:rsid w:val="00680614"/>
    <w:rsid w:val="0068275D"/>
    <w:rsid w:val="00685032"/>
    <w:rsid w:val="00686064"/>
    <w:rsid w:val="006915CD"/>
    <w:rsid w:val="00693352"/>
    <w:rsid w:val="00693EDE"/>
    <w:rsid w:val="00696D6C"/>
    <w:rsid w:val="00696EC1"/>
    <w:rsid w:val="006A1B9E"/>
    <w:rsid w:val="006A2FAB"/>
    <w:rsid w:val="006A3A42"/>
    <w:rsid w:val="006A49B9"/>
    <w:rsid w:val="006A6C67"/>
    <w:rsid w:val="006A72EE"/>
    <w:rsid w:val="006B17C9"/>
    <w:rsid w:val="006B1810"/>
    <w:rsid w:val="006B2610"/>
    <w:rsid w:val="006B4873"/>
    <w:rsid w:val="006B6A3E"/>
    <w:rsid w:val="006B7F89"/>
    <w:rsid w:val="006C18FD"/>
    <w:rsid w:val="006C1B80"/>
    <w:rsid w:val="006C28C7"/>
    <w:rsid w:val="006C73BE"/>
    <w:rsid w:val="006C7B81"/>
    <w:rsid w:val="006D20B1"/>
    <w:rsid w:val="006D414D"/>
    <w:rsid w:val="006D550D"/>
    <w:rsid w:val="006D5E15"/>
    <w:rsid w:val="006E0FBC"/>
    <w:rsid w:val="006E1D5E"/>
    <w:rsid w:val="006E2F9A"/>
    <w:rsid w:val="006F086C"/>
    <w:rsid w:val="006F14BB"/>
    <w:rsid w:val="006F3D6B"/>
    <w:rsid w:val="006F6C13"/>
    <w:rsid w:val="006F6E7E"/>
    <w:rsid w:val="00703D08"/>
    <w:rsid w:val="0070621C"/>
    <w:rsid w:val="00713C36"/>
    <w:rsid w:val="00714BFE"/>
    <w:rsid w:val="0071618F"/>
    <w:rsid w:val="007161CD"/>
    <w:rsid w:val="00721D72"/>
    <w:rsid w:val="007243D9"/>
    <w:rsid w:val="007270AC"/>
    <w:rsid w:val="00727E50"/>
    <w:rsid w:val="00732597"/>
    <w:rsid w:val="00735750"/>
    <w:rsid w:val="00740F29"/>
    <w:rsid w:val="007412A2"/>
    <w:rsid w:val="00745D56"/>
    <w:rsid w:val="007471DC"/>
    <w:rsid w:val="00747B3D"/>
    <w:rsid w:val="00763307"/>
    <w:rsid w:val="007639FE"/>
    <w:rsid w:val="00763D63"/>
    <w:rsid w:val="00772789"/>
    <w:rsid w:val="00773A9D"/>
    <w:rsid w:val="0078633D"/>
    <w:rsid w:val="007866DD"/>
    <w:rsid w:val="00790836"/>
    <w:rsid w:val="007941F4"/>
    <w:rsid w:val="007A1705"/>
    <w:rsid w:val="007A1D27"/>
    <w:rsid w:val="007B0602"/>
    <w:rsid w:val="007B0934"/>
    <w:rsid w:val="007B0F8D"/>
    <w:rsid w:val="007B1BB1"/>
    <w:rsid w:val="007C1CF1"/>
    <w:rsid w:val="007C6A96"/>
    <w:rsid w:val="007C7EE2"/>
    <w:rsid w:val="007D4F31"/>
    <w:rsid w:val="007D502B"/>
    <w:rsid w:val="007D7B88"/>
    <w:rsid w:val="007E5271"/>
    <w:rsid w:val="007E6868"/>
    <w:rsid w:val="007F0A1D"/>
    <w:rsid w:val="007F47A0"/>
    <w:rsid w:val="007F4A51"/>
    <w:rsid w:val="00801420"/>
    <w:rsid w:val="00801664"/>
    <w:rsid w:val="0080174F"/>
    <w:rsid w:val="0080292B"/>
    <w:rsid w:val="00802AE2"/>
    <w:rsid w:val="00803C26"/>
    <w:rsid w:val="0080537A"/>
    <w:rsid w:val="00811054"/>
    <w:rsid w:val="008116AF"/>
    <w:rsid w:val="00812D2C"/>
    <w:rsid w:val="00813CF9"/>
    <w:rsid w:val="00816F15"/>
    <w:rsid w:val="00820BA5"/>
    <w:rsid w:val="00824771"/>
    <w:rsid w:val="008260C8"/>
    <w:rsid w:val="008270DB"/>
    <w:rsid w:val="00833902"/>
    <w:rsid w:val="0083499D"/>
    <w:rsid w:val="008353DB"/>
    <w:rsid w:val="00840144"/>
    <w:rsid w:val="0084081B"/>
    <w:rsid w:val="00840FAA"/>
    <w:rsid w:val="00843550"/>
    <w:rsid w:val="008564F1"/>
    <w:rsid w:val="0085668B"/>
    <w:rsid w:val="00861075"/>
    <w:rsid w:val="00861543"/>
    <w:rsid w:val="0086326C"/>
    <w:rsid w:val="008637AA"/>
    <w:rsid w:val="00863DE7"/>
    <w:rsid w:val="008642A6"/>
    <w:rsid w:val="0086505A"/>
    <w:rsid w:val="00872C9E"/>
    <w:rsid w:val="00875E9D"/>
    <w:rsid w:val="00883E7F"/>
    <w:rsid w:val="008905AD"/>
    <w:rsid w:val="008906A5"/>
    <w:rsid w:val="00890B6F"/>
    <w:rsid w:val="008915F0"/>
    <w:rsid w:val="00891EED"/>
    <w:rsid w:val="00892A8F"/>
    <w:rsid w:val="00893423"/>
    <w:rsid w:val="00895F89"/>
    <w:rsid w:val="00896597"/>
    <w:rsid w:val="00896FDD"/>
    <w:rsid w:val="008A4E4C"/>
    <w:rsid w:val="008A5A73"/>
    <w:rsid w:val="008A6056"/>
    <w:rsid w:val="008B021B"/>
    <w:rsid w:val="008B4CC4"/>
    <w:rsid w:val="008B72EE"/>
    <w:rsid w:val="008B7EC7"/>
    <w:rsid w:val="008C1195"/>
    <w:rsid w:val="008C2D0B"/>
    <w:rsid w:val="008C2E93"/>
    <w:rsid w:val="008C3974"/>
    <w:rsid w:val="008C534E"/>
    <w:rsid w:val="008D35C6"/>
    <w:rsid w:val="008D4549"/>
    <w:rsid w:val="008D6F26"/>
    <w:rsid w:val="008D7A5D"/>
    <w:rsid w:val="008E2B55"/>
    <w:rsid w:val="008E3663"/>
    <w:rsid w:val="008F0CE2"/>
    <w:rsid w:val="008F11F9"/>
    <w:rsid w:val="008F3E08"/>
    <w:rsid w:val="00902C7B"/>
    <w:rsid w:val="00903FE1"/>
    <w:rsid w:val="00904ADA"/>
    <w:rsid w:val="0091014B"/>
    <w:rsid w:val="00912B98"/>
    <w:rsid w:val="00913601"/>
    <w:rsid w:val="009316B7"/>
    <w:rsid w:val="00942D17"/>
    <w:rsid w:val="00945A47"/>
    <w:rsid w:val="00953F56"/>
    <w:rsid w:val="00954E69"/>
    <w:rsid w:val="0095586B"/>
    <w:rsid w:val="0096260D"/>
    <w:rsid w:val="00962729"/>
    <w:rsid w:val="00964647"/>
    <w:rsid w:val="00965806"/>
    <w:rsid w:val="00971CDC"/>
    <w:rsid w:val="00976C83"/>
    <w:rsid w:val="00983DB8"/>
    <w:rsid w:val="009849AA"/>
    <w:rsid w:val="00985126"/>
    <w:rsid w:val="0098526C"/>
    <w:rsid w:val="00987A57"/>
    <w:rsid w:val="00990B94"/>
    <w:rsid w:val="00991557"/>
    <w:rsid w:val="0099234C"/>
    <w:rsid w:val="00992F41"/>
    <w:rsid w:val="009A2FCF"/>
    <w:rsid w:val="009A3490"/>
    <w:rsid w:val="009B151F"/>
    <w:rsid w:val="009B18F5"/>
    <w:rsid w:val="009B33BD"/>
    <w:rsid w:val="009B5D1A"/>
    <w:rsid w:val="009B74A2"/>
    <w:rsid w:val="009C1154"/>
    <w:rsid w:val="009C3B75"/>
    <w:rsid w:val="009C45C5"/>
    <w:rsid w:val="009C4E94"/>
    <w:rsid w:val="009C5F42"/>
    <w:rsid w:val="009D16A0"/>
    <w:rsid w:val="009D6E66"/>
    <w:rsid w:val="009E0B54"/>
    <w:rsid w:val="009E12E4"/>
    <w:rsid w:val="009E22C5"/>
    <w:rsid w:val="009E4AC8"/>
    <w:rsid w:val="009E6D75"/>
    <w:rsid w:val="009F1FF8"/>
    <w:rsid w:val="009F4B2B"/>
    <w:rsid w:val="00A00CAE"/>
    <w:rsid w:val="00A02F78"/>
    <w:rsid w:val="00A02FC7"/>
    <w:rsid w:val="00A06A44"/>
    <w:rsid w:val="00A0710B"/>
    <w:rsid w:val="00A07575"/>
    <w:rsid w:val="00A10956"/>
    <w:rsid w:val="00A124EF"/>
    <w:rsid w:val="00A12B4C"/>
    <w:rsid w:val="00A16374"/>
    <w:rsid w:val="00A17B39"/>
    <w:rsid w:val="00A259E4"/>
    <w:rsid w:val="00A279A1"/>
    <w:rsid w:val="00A31ABD"/>
    <w:rsid w:val="00A31DCE"/>
    <w:rsid w:val="00A346F0"/>
    <w:rsid w:val="00A35E21"/>
    <w:rsid w:val="00A440BC"/>
    <w:rsid w:val="00A446F9"/>
    <w:rsid w:val="00A46998"/>
    <w:rsid w:val="00A46A9B"/>
    <w:rsid w:val="00A518D7"/>
    <w:rsid w:val="00A52BA6"/>
    <w:rsid w:val="00A55790"/>
    <w:rsid w:val="00A5625B"/>
    <w:rsid w:val="00A576DF"/>
    <w:rsid w:val="00A61832"/>
    <w:rsid w:val="00A61A20"/>
    <w:rsid w:val="00A62A83"/>
    <w:rsid w:val="00A729A5"/>
    <w:rsid w:val="00A739FF"/>
    <w:rsid w:val="00A750EF"/>
    <w:rsid w:val="00A77993"/>
    <w:rsid w:val="00A8072E"/>
    <w:rsid w:val="00A807A9"/>
    <w:rsid w:val="00A84B80"/>
    <w:rsid w:val="00A86719"/>
    <w:rsid w:val="00A87E57"/>
    <w:rsid w:val="00A93AB0"/>
    <w:rsid w:val="00A9455E"/>
    <w:rsid w:val="00AA0B2A"/>
    <w:rsid w:val="00AA2926"/>
    <w:rsid w:val="00AA3CFC"/>
    <w:rsid w:val="00AA4523"/>
    <w:rsid w:val="00AA6CDB"/>
    <w:rsid w:val="00AA7C5F"/>
    <w:rsid w:val="00AB04A2"/>
    <w:rsid w:val="00AB3E77"/>
    <w:rsid w:val="00AB705D"/>
    <w:rsid w:val="00AC0AFE"/>
    <w:rsid w:val="00AC6C75"/>
    <w:rsid w:val="00AC6FA0"/>
    <w:rsid w:val="00AD2890"/>
    <w:rsid w:val="00AD2FC5"/>
    <w:rsid w:val="00AD3409"/>
    <w:rsid w:val="00AE0EFC"/>
    <w:rsid w:val="00AE15C0"/>
    <w:rsid w:val="00AE72A9"/>
    <w:rsid w:val="00AE7FAD"/>
    <w:rsid w:val="00AF0DD9"/>
    <w:rsid w:val="00AF3A15"/>
    <w:rsid w:val="00AF3F04"/>
    <w:rsid w:val="00AF5520"/>
    <w:rsid w:val="00AF5B18"/>
    <w:rsid w:val="00AF739D"/>
    <w:rsid w:val="00B02E41"/>
    <w:rsid w:val="00B04C44"/>
    <w:rsid w:val="00B0799E"/>
    <w:rsid w:val="00B07A11"/>
    <w:rsid w:val="00B11E97"/>
    <w:rsid w:val="00B12661"/>
    <w:rsid w:val="00B231CB"/>
    <w:rsid w:val="00B251E0"/>
    <w:rsid w:val="00B3019C"/>
    <w:rsid w:val="00B3060F"/>
    <w:rsid w:val="00B30C11"/>
    <w:rsid w:val="00B34D00"/>
    <w:rsid w:val="00B35353"/>
    <w:rsid w:val="00B3566E"/>
    <w:rsid w:val="00B36AA6"/>
    <w:rsid w:val="00B4054E"/>
    <w:rsid w:val="00B456D4"/>
    <w:rsid w:val="00B459ED"/>
    <w:rsid w:val="00B47506"/>
    <w:rsid w:val="00B51F3F"/>
    <w:rsid w:val="00B559BB"/>
    <w:rsid w:val="00B56537"/>
    <w:rsid w:val="00B606C6"/>
    <w:rsid w:val="00B628D6"/>
    <w:rsid w:val="00B6468B"/>
    <w:rsid w:val="00B64F48"/>
    <w:rsid w:val="00B751BF"/>
    <w:rsid w:val="00B8174A"/>
    <w:rsid w:val="00B83F14"/>
    <w:rsid w:val="00B84E41"/>
    <w:rsid w:val="00B8574A"/>
    <w:rsid w:val="00B90859"/>
    <w:rsid w:val="00B92909"/>
    <w:rsid w:val="00B92D08"/>
    <w:rsid w:val="00B95A89"/>
    <w:rsid w:val="00BA4CC5"/>
    <w:rsid w:val="00BA69B1"/>
    <w:rsid w:val="00BB5F4C"/>
    <w:rsid w:val="00BB7FC5"/>
    <w:rsid w:val="00BC0857"/>
    <w:rsid w:val="00BC37A1"/>
    <w:rsid w:val="00BC37DB"/>
    <w:rsid w:val="00BC4255"/>
    <w:rsid w:val="00BC64B1"/>
    <w:rsid w:val="00BC7083"/>
    <w:rsid w:val="00BD0D6C"/>
    <w:rsid w:val="00BD2911"/>
    <w:rsid w:val="00BD3435"/>
    <w:rsid w:val="00BD5E04"/>
    <w:rsid w:val="00BD7403"/>
    <w:rsid w:val="00BE1476"/>
    <w:rsid w:val="00BE1B9B"/>
    <w:rsid w:val="00BF030E"/>
    <w:rsid w:val="00BF0D29"/>
    <w:rsid w:val="00BF2132"/>
    <w:rsid w:val="00BF3195"/>
    <w:rsid w:val="00BF499E"/>
    <w:rsid w:val="00BF680C"/>
    <w:rsid w:val="00BF7A23"/>
    <w:rsid w:val="00C01307"/>
    <w:rsid w:val="00C04901"/>
    <w:rsid w:val="00C06D63"/>
    <w:rsid w:val="00C12250"/>
    <w:rsid w:val="00C15418"/>
    <w:rsid w:val="00C15E05"/>
    <w:rsid w:val="00C231E2"/>
    <w:rsid w:val="00C239D2"/>
    <w:rsid w:val="00C23DC5"/>
    <w:rsid w:val="00C249DE"/>
    <w:rsid w:val="00C25ADA"/>
    <w:rsid w:val="00C25E39"/>
    <w:rsid w:val="00C275FC"/>
    <w:rsid w:val="00C27BE4"/>
    <w:rsid w:val="00C3067D"/>
    <w:rsid w:val="00C341B6"/>
    <w:rsid w:val="00C3546F"/>
    <w:rsid w:val="00C36481"/>
    <w:rsid w:val="00C40F77"/>
    <w:rsid w:val="00C4344E"/>
    <w:rsid w:val="00C4378C"/>
    <w:rsid w:val="00C44308"/>
    <w:rsid w:val="00C4582B"/>
    <w:rsid w:val="00C45A45"/>
    <w:rsid w:val="00C45ADD"/>
    <w:rsid w:val="00C468B3"/>
    <w:rsid w:val="00C57315"/>
    <w:rsid w:val="00C60D51"/>
    <w:rsid w:val="00C625EA"/>
    <w:rsid w:val="00C646E0"/>
    <w:rsid w:val="00C67A19"/>
    <w:rsid w:val="00C705C2"/>
    <w:rsid w:val="00C76465"/>
    <w:rsid w:val="00C7718A"/>
    <w:rsid w:val="00C77199"/>
    <w:rsid w:val="00C80F19"/>
    <w:rsid w:val="00C80FDC"/>
    <w:rsid w:val="00C83203"/>
    <w:rsid w:val="00C9093B"/>
    <w:rsid w:val="00C9275E"/>
    <w:rsid w:val="00C96B00"/>
    <w:rsid w:val="00C96EDF"/>
    <w:rsid w:val="00CA044A"/>
    <w:rsid w:val="00CA380C"/>
    <w:rsid w:val="00CA4D72"/>
    <w:rsid w:val="00CA6CFF"/>
    <w:rsid w:val="00CA7DFE"/>
    <w:rsid w:val="00CB41D2"/>
    <w:rsid w:val="00CB486F"/>
    <w:rsid w:val="00CB7D4C"/>
    <w:rsid w:val="00CC14D1"/>
    <w:rsid w:val="00CC18FA"/>
    <w:rsid w:val="00CC360E"/>
    <w:rsid w:val="00CC6799"/>
    <w:rsid w:val="00CC7B4B"/>
    <w:rsid w:val="00CD09ED"/>
    <w:rsid w:val="00CD21EF"/>
    <w:rsid w:val="00CD4983"/>
    <w:rsid w:val="00CD66A0"/>
    <w:rsid w:val="00CD714C"/>
    <w:rsid w:val="00CE0017"/>
    <w:rsid w:val="00CE068E"/>
    <w:rsid w:val="00CE0FA6"/>
    <w:rsid w:val="00CE7545"/>
    <w:rsid w:val="00CF5CF2"/>
    <w:rsid w:val="00CF6A7C"/>
    <w:rsid w:val="00D02B29"/>
    <w:rsid w:val="00D06629"/>
    <w:rsid w:val="00D1309F"/>
    <w:rsid w:val="00D16C46"/>
    <w:rsid w:val="00D228B1"/>
    <w:rsid w:val="00D2544C"/>
    <w:rsid w:val="00D3218D"/>
    <w:rsid w:val="00D3412F"/>
    <w:rsid w:val="00D346DD"/>
    <w:rsid w:val="00D351BD"/>
    <w:rsid w:val="00D371EE"/>
    <w:rsid w:val="00D41205"/>
    <w:rsid w:val="00D44F06"/>
    <w:rsid w:val="00D45C7F"/>
    <w:rsid w:val="00D51B77"/>
    <w:rsid w:val="00D52D93"/>
    <w:rsid w:val="00D70A78"/>
    <w:rsid w:val="00D720D3"/>
    <w:rsid w:val="00D84C0C"/>
    <w:rsid w:val="00D866B1"/>
    <w:rsid w:val="00D87010"/>
    <w:rsid w:val="00D91094"/>
    <w:rsid w:val="00D92F90"/>
    <w:rsid w:val="00D9450E"/>
    <w:rsid w:val="00D96720"/>
    <w:rsid w:val="00D97E83"/>
    <w:rsid w:val="00DA2125"/>
    <w:rsid w:val="00DA4DFA"/>
    <w:rsid w:val="00DA5800"/>
    <w:rsid w:val="00DB1905"/>
    <w:rsid w:val="00DB4224"/>
    <w:rsid w:val="00DB4DBC"/>
    <w:rsid w:val="00DB7914"/>
    <w:rsid w:val="00DC1D21"/>
    <w:rsid w:val="00DD108D"/>
    <w:rsid w:val="00DD3549"/>
    <w:rsid w:val="00DD4461"/>
    <w:rsid w:val="00DD466B"/>
    <w:rsid w:val="00DD6EBC"/>
    <w:rsid w:val="00DD7866"/>
    <w:rsid w:val="00DE1826"/>
    <w:rsid w:val="00DE5DCF"/>
    <w:rsid w:val="00DE6C97"/>
    <w:rsid w:val="00DF2CC3"/>
    <w:rsid w:val="00DF6B9D"/>
    <w:rsid w:val="00E00B7F"/>
    <w:rsid w:val="00E05284"/>
    <w:rsid w:val="00E10248"/>
    <w:rsid w:val="00E14DF4"/>
    <w:rsid w:val="00E17B79"/>
    <w:rsid w:val="00E2014D"/>
    <w:rsid w:val="00E22914"/>
    <w:rsid w:val="00E255F1"/>
    <w:rsid w:val="00E3064D"/>
    <w:rsid w:val="00E30AC6"/>
    <w:rsid w:val="00E3625D"/>
    <w:rsid w:val="00E376B4"/>
    <w:rsid w:val="00E41705"/>
    <w:rsid w:val="00E42B7D"/>
    <w:rsid w:val="00E4301E"/>
    <w:rsid w:val="00E43F71"/>
    <w:rsid w:val="00E51037"/>
    <w:rsid w:val="00E5536A"/>
    <w:rsid w:val="00E563F9"/>
    <w:rsid w:val="00E616EB"/>
    <w:rsid w:val="00E67081"/>
    <w:rsid w:val="00E67C1F"/>
    <w:rsid w:val="00E72193"/>
    <w:rsid w:val="00E7737F"/>
    <w:rsid w:val="00E856EC"/>
    <w:rsid w:val="00E86917"/>
    <w:rsid w:val="00E94DF7"/>
    <w:rsid w:val="00E97597"/>
    <w:rsid w:val="00E97F91"/>
    <w:rsid w:val="00EA03DD"/>
    <w:rsid w:val="00EA1ED4"/>
    <w:rsid w:val="00EA5A5D"/>
    <w:rsid w:val="00EA6501"/>
    <w:rsid w:val="00EB3266"/>
    <w:rsid w:val="00EB3CE6"/>
    <w:rsid w:val="00EB586A"/>
    <w:rsid w:val="00EC0A39"/>
    <w:rsid w:val="00ED1754"/>
    <w:rsid w:val="00ED4523"/>
    <w:rsid w:val="00ED5B40"/>
    <w:rsid w:val="00ED754E"/>
    <w:rsid w:val="00EE184A"/>
    <w:rsid w:val="00EE1A69"/>
    <w:rsid w:val="00EE2769"/>
    <w:rsid w:val="00EE366F"/>
    <w:rsid w:val="00EE3B79"/>
    <w:rsid w:val="00EE706E"/>
    <w:rsid w:val="00EE769F"/>
    <w:rsid w:val="00EF257C"/>
    <w:rsid w:val="00EF43CA"/>
    <w:rsid w:val="00F00204"/>
    <w:rsid w:val="00F00477"/>
    <w:rsid w:val="00F015D0"/>
    <w:rsid w:val="00F02599"/>
    <w:rsid w:val="00F04CF9"/>
    <w:rsid w:val="00F101CF"/>
    <w:rsid w:val="00F101EC"/>
    <w:rsid w:val="00F10286"/>
    <w:rsid w:val="00F202FE"/>
    <w:rsid w:val="00F23828"/>
    <w:rsid w:val="00F23ADB"/>
    <w:rsid w:val="00F23CB3"/>
    <w:rsid w:val="00F25BB8"/>
    <w:rsid w:val="00F27F1A"/>
    <w:rsid w:val="00F31B91"/>
    <w:rsid w:val="00F36C1C"/>
    <w:rsid w:val="00F37924"/>
    <w:rsid w:val="00F4514B"/>
    <w:rsid w:val="00F46DCC"/>
    <w:rsid w:val="00F5032D"/>
    <w:rsid w:val="00F54BDB"/>
    <w:rsid w:val="00F560AE"/>
    <w:rsid w:val="00F56927"/>
    <w:rsid w:val="00F61192"/>
    <w:rsid w:val="00F674F9"/>
    <w:rsid w:val="00F67D32"/>
    <w:rsid w:val="00F70094"/>
    <w:rsid w:val="00F707F2"/>
    <w:rsid w:val="00F802BB"/>
    <w:rsid w:val="00F80A55"/>
    <w:rsid w:val="00F85EC9"/>
    <w:rsid w:val="00F9072B"/>
    <w:rsid w:val="00F9274C"/>
    <w:rsid w:val="00F949F7"/>
    <w:rsid w:val="00F94B89"/>
    <w:rsid w:val="00F96172"/>
    <w:rsid w:val="00FA12CA"/>
    <w:rsid w:val="00FA3373"/>
    <w:rsid w:val="00FA3489"/>
    <w:rsid w:val="00FA3C30"/>
    <w:rsid w:val="00FA7B34"/>
    <w:rsid w:val="00FB0484"/>
    <w:rsid w:val="00FB092F"/>
    <w:rsid w:val="00FB4993"/>
    <w:rsid w:val="00FB7FF9"/>
    <w:rsid w:val="00FC13E4"/>
    <w:rsid w:val="00FC1FC5"/>
    <w:rsid w:val="00FC6A11"/>
    <w:rsid w:val="00FC6F40"/>
    <w:rsid w:val="00FC7FAB"/>
    <w:rsid w:val="00FD139A"/>
    <w:rsid w:val="00FD296C"/>
    <w:rsid w:val="00FD4BAF"/>
    <w:rsid w:val="00FD5F6C"/>
    <w:rsid w:val="00FD702E"/>
    <w:rsid w:val="00FF0BC3"/>
    <w:rsid w:val="00FF4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2453"/>
  <w15:docId w15:val="{6CAB3D05-DDAE-4A39-A491-57852D43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8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7575"/>
    <w:rPr>
      <w:b/>
      <w:bCs/>
    </w:rPr>
  </w:style>
  <w:style w:type="paragraph" w:styleId="NormalWeb">
    <w:name w:val="Normal (Web)"/>
    <w:basedOn w:val="Normal"/>
    <w:uiPriority w:val="99"/>
    <w:semiHidden/>
    <w:unhideWhenUsed/>
    <w:rsid w:val="00A075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7FAD"/>
    <w:rPr>
      <w:color w:val="0000FF"/>
      <w:u w:val="single"/>
    </w:rPr>
  </w:style>
  <w:style w:type="paragraph" w:styleId="ListParagraph">
    <w:name w:val="List Paragraph"/>
    <w:basedOn w:val="Normal"/>
    <w:uiPriority w:val="34"/>
    <w:qFormat/>
    <w:rsid w:val="00E00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0942">
      <w:bodyDiv w:val="1"/>
      <w:marLeft w:val="0"/>
      <w:marRight w:val="0"/>
      <w:marTop w:val="0"/>
      <w:marBottom w:val="0"/>
      <w:divBdr>
        <w:top w:val="none" w:sz="0" w:space="0" w:color="auto"/>
        <w:left w:val="none" w:sz="0" w:space="0" w:color="auto"/>
        <w:bottom w:val="none" w:sz="0" w:space="0" w:color="auto"/>
        <w:right w:val="none" w:sz="0" w:space="0" w:color="auto"/>
      </w:divBdr>
    </w:div>
    <w:div w:id="73624424">
      <w:bodyDiv w:val="1"/>
      <w:marLeft w:val="0"/>
      <w:marRight w:val="0"/>
      <w:marTop w:val="0"/>
      <w:marBottom w:val="0"/>
      <w:divBdr>
        <w:top w:val="none" w:sz="0" w:space="0" w:color="auto"/>
        <w:left w:val="none" w:sz="0" w:space="0" w:color="auto"/>
        <w:bottom w:val="none" w:sz="0" w:space="0" w:color="auto"/>
        <w:right w:val="none" w:sz="0" w:space="0" w:color="auto"/>
      </w:divBdr>
    </w:div>
    <w:div w:id="77217084">
      <w:bodyDiv w:val="1"/>
      <w:marLeft w:val="0"/>
      <w:marRight w:val="0"/>
      <w:marTop w:val="0"/>
      <w:marBottom w:val="0"/>
      <w:divBdr>
        <w:top w:val="none" w:sz="0" w:space="0" w:color="auto"/>
        <w:left w:val="none" w:sz="0" w:space="0" w:color="auto"/>
        <w:bottom w:val="none" w:sz="0" w:space="0" w:color="auto"/>
        <w:right w:val="none" w:sz="0" w:space="0" w:color="auto"/>
      </w:divBdr>
    </w:div>
    <w:div w:id="114255590">
      <w:bodyDiv w:val="1"/>
      <w:marLeft w:val="0"/>
      <w:marRight w:val="0"/>
      <w:marTop w:val="0"/>
      <w:marBottom w:val="0"/>
      <w:divBdr>
        <w:top w:val="none" w:sz="0" w:space="0" w:color="auto"/>
        <w:left w:val="none" w:sz="0" w:space="0" w:color="auto"/>
        <w:bottom w:val="none" w:sz="0" w:space="0" w:color="auto"/>
        <w:right w:val="none" w:sz="0" w:space="0" w:color="auto"/>
      </w:divBdr>
    </w:div>
    <w:div w:id="115368674">
      <w:bodyDiv w:val="1"/>
      <w:marLeft w:val="0"/>
      <w:marRight w:val="0"/>
      <w:marTop w:val="0"/>
      <w:marBottom w:val="0"/>
      <w:divBdr>
        <w:top w:val="none" w:sz="0" w:space="0" w:color="auto"/>
        <w:left w:val="none" w:sz="0" w:space="0" w:color="auto"/>
        <w:bottom w:val="none" w:sz="0" w:space="0" w:color="auto"/>
        <w:right w:val="none" w:sz="0" w:space="0" w:color="auto"/>
      </w:divBdr>
    </w:div>
    <w:div w:id="118845672">
      <w:bodyDiv w:val="1"/>
      <w:marLeft w:val="0"/>
      <w:marRight w:val="0"/>
      <w:marTop w:val="0"/>
      <w:marBottom w:val="0"/>
      <w:divBdr>
        <w:top w:val="none" w:sz="0" w:space="0" w:color="auto"/>
        <w:left w:val="none" w:sz="0" w:space="0" w:color="auto"/>
        <w:bottom w:val="none" w:sz="0" w:space="0" w:color="auto"/>
        <w:right w:val="none" w:sz="0" w:space="0" w:color="auto"/>
      </w:divBdr>
    </w:div>
    <w:div w:id="139420308">
      <w:bodyDiv w:val="1"/>
      <w:marLeft w:val="0"/>
      <w:marRight w:val="0"/>
      <w:marTop w:val="0"/>
      <w:marBottom w:val="0"/>
      <w:divBdr>
        <w:top w:val="none" w:sz="0" w:space="0" w:color="auto"/>
        <w:left w:val="none" w:sz="0" w:space="0" w:color="auto"/>
        <w:bottom w:val="none" w:sz="0" w:space="0" w:color="auto"/>
        <w:right w:val="none" w:sz="0" w:space="0" w:color="auto"/>
      </w:divBdr>
    </w:div>
    <w:div w:id="215355288">
      <w:bodyDiv w:val="1"/>
      <w:marLeft w:val="0"/>
      <w:marRight w:val="0"/>
      <w:marTop w:val="0"/>
      <w:marBottom w:val="0"/>
      <w:divBdr>
        <w:top w:val="none" w:sz="0" w:space="0" w:color="auto"/>
        <w:left w:val="none" w:sz="0" w:space="0" w:color="auto"/>
        <w:bottom w:val="none" w:sz="0" w:space="0" w:color="auto"/>
        <w:right w:val="none" w:sz="0" w:space="0" w:color="auto"/>
      </w:divBdr>
    </w:div>
    <w:div w:id="300617341">
      <w:bodyDiv w:val="1"/>
      <w:marLeft w:val="0"/>
      <w:marRight w:val="0"/>
      <w:marTop w:val="0"/>
      <w:marBottom w:val="0"/>
      <w:divBdr>
        <w:top w:val="none" w:sz="0" w:space="0" w:color="auto"/>
        <w:left w:val="none" w:sz="0" w:space="0" w:color="auto"/>
        <w:bottom w:val="none" w:sz="0" w:space="0" w:color="auto"/>
        <w:right w:val="none" w:sz="0" w:space="0" w:color="auto"/>
      </w:divBdr>
    </w:div>
    <w:div w:id="322437310">
      <w:bodyDiv w:val="1"/>
      <w:marLeft w:val="0"/>
      <w:marRight w:val="0"/>
      <w:marTop w:val="0"/>
      <w:marBottom w:val="0"/>
      <w:divBdr>
        <w:top w:val="none" w:sz="0" w:space="0" w:color="auto"/>
        <w:left w:val="none" w:sz="0" w:space="0" w:color="auto"/>
        <w:bottom w:val="none" w:sz="0" w:space="0" w:color="auto"/>
        <w:right w:val="none" w:sz="0" w:space="0" w:color="auto"/>
      </w:divBdr>
    </w:div>
    <w:div w:id="356543484">
      <w:bodyDiv w:val="1"/>
      <w:marLeft w:val="0"/>
      <w:marRight w:val="0"/>
      <w:marTop w:val="0"/>
      <w:marBottom w:val="0"/>
      <w:divBdr>
        <w:top w:val="none" w:sz="0" w:space="0" w:color="auto"/>
        <w:left w:val="none" w:sz="0" w:space="0" w:color="auto"/>
        <w:bottom w:val="none" w:sz="0" w:space="0" w:color="auto"/>
        <w:right w:val="none" w:sz="0" w:space="0" w:color="auto"/>
      </w:divBdr>
    </w:div>
    <w:div w:id="367410448">
      <w:bodyDiv w:val="1"/>
      <w:marLeft w:val="0"/>
      <w:marRight w:val="0"/>
      <w:marTop w:val="0"/>
      <w:marBottom w:val="0"/>
      <w:divBdr>
        <w:top w:val="none" w:sz="0" w:space="0" w:color="auto"/>
        <w:left w:val="none" w:sz="0" w:space="0" w:color="auto"/>
        <w:bottom w:val="none" w:sz="0" w:space="0" w:color="auto"/>
        <w:right w:val="none" w:sz="0" w:space="0" w:color="auto"/>
      </w:divBdr>
    </w:div>
    <w:div w:id="419302653">
      <w:bodyDiv w:val="1"/>
      <w:marLeft w:val="0"/>
      <w:marRight w:val="0"/>
      <w:marTop w:val="0"/>
      <w:marBottom w:val="0"/>
      <w:divBdr>
        <w:top w:val="none" w:sz="0" w:space="0" w:color="auto"/>
        <w:left w:val="none" w:sz="0" w:space="0" w:color="auto"/>
        <w:bottom w:val="none" w:sz="0" w:space="0" w:color="auto"/>
        <w:right w:val="none" w:sz="0" w:space="0" w:color="auto"/>
      </w:divBdr>
    </w:div>
    <w:div w:id="463231401">
      <w:bodyDiv w:val="1"/>
      <w:marLeft w:val="0"/>
      <w:marRight w:val="0"/>
      <w:marTop w:val="0"/>
      <w:marBottom w:val="0"/>
      <w:divBdr>
        <w:top w:val="none" w:sz="0" w:space="0" w:color="auto"/>
        <w:left w:val="none" w:sz="0" w:space="0" w:color="auto"/>
        <w:bottom w:val="none" w:sz="0" w:space="0" w:color="auto"/>
        <w:right w:val="none" w:sz="0" w:space="0" w:color="auto"/>
      </w:divBdr>
    </w:div>
    <w:div w:id="504125626">
      <w:bodyDiv w:val="1"/>
      <w:marLeft w:val="0"/>
      <w:marRight w:val="0"/>
      <w:marTop w:val="0"/>
      <w:marBottom w:val="0"/>
      <w:divBdr>
        <w:top w:val="none" w:sz="0" w:space="0" w:color="auto"/>
        <w:left w:val="none" w:sz="0" w:space="0" w:color="auto"/>
        <w:bottom w:val="none" w:sz="0" w:space="0" w:color="auto"/>
        <w:right w:val="none" w:sz="0" w:space="0" w:color="auto"/>
      </w:divBdr>
    </w:div>
    <w:div w:id="533427683">
      <w:bodyDiv w:val="1"/>
      <w:marLeft w:val="0"/>
      <w:marRight w:val="0"/>
      <w:marTop w:val="0"/>
      <w:marBottom w:val="0"/>
      <w:divBdr>
        <w:top w:val="none" w:sz="0" w:space="0" w:color="auto"/>
        <w:left w:val="none" w:sz="0" w:space="0" w:color="auto"/>
        <w:bottom w:val="none" w:sz="0" w:space="0" w:color="auto"/>
        <w:right w:val="none" w:sz="0" w:space="0" w:color="auto"/>
      </w:divBdr>
    </w:div>
    <w:div w:id="535510723">
      <w:bodyDiv w:val="1"/>
      <w:marLeft w:val="0"/>
      <w:marRight w:val="0"/>
      <w:marTop w:val="0"/>
      <w:marBottom w:val="0"/>
      <w:divBdr>
        <w:top w:val="none" w:sz="0" w:space="0" w:color="auto"/>
        <w:left w:val="none" w:sz="0" w:space="0" w:color="auto"/>
        <w:bottom w:val="none" w:sz="0" w:space="0" w:color="auto"/>
        <w:right w:val="none" w:sz="0" w:space="0" w:color="auto"/>
      </w:divBdr>
    </w:div>
    <w:div w:id="539047948">
      <w:bodyDiv w:val="1"/>
      <w:marLeft w:val="0"/>
      <w:marRight w:val="0"/>
      <w:marTop w:val="0"/>
      <w:marBottom w:val="0"/>
      <w:divBdr>
        <w:top w:val="none" w:sz="0" w:space="0" w:color="auto"/>
        <w:left w:val="none" w:sz="0" w:space="0" w:color="auto"/>
        <w:bottom w:val="none" w:sz="0" w:space="0" w:color="auto"/>
        <w:right w:val="none" w:sz="0" w:space="0" w:color="auto"/>
      </w:divBdr>
    </w:div>
    <w:div w:id="558172462">
      <w:bodyDiv w:val="1"/>
      <w:marLeft w:val="0"/>
      <w:marRight w:val="0"/>
      <w:marTop w:val="0"/>
      <w:marBottom w:val="0"/>
      <w:divBdr>
        <w:top w:val="none" w:sz="0" w:space="0" w:color="auto"/>
        <w:left w:val="none" w:sz="0" w:space="0" w:color="auto"/>
        <w:bottom w:val="none" w:sz="0" w:space="0" w:color="auto"/>
        <w:right w:val="none" w:sz="0" w:space="0" w:color="auto"/>
      </w:divBdr>
    </w:div>
    <w:div w:id="562449467">
      <w:bodyDiv w:val="1"/>
      <w:marLeft w:val="0"/>
      <w:marRight w:val="0"/>
      <w:marTop w:val="0"/>
      <w:marBottom w:val="0"/>
      <w:divBdr>
        <w:top w:val="none" w:sz="0" w:space="0" w:color="auto"/>
        <w:left w:val="none" w:sz="0" w:space="0" w:color="auto"/>
        <w:bottom w:val="none" w:sz="0" w:space="0" w:color="auto"/>
        <w:right w:val="none" w:sz="0" w:space="0" w:color="auto"/>
      </w:divBdr>
    </w:div>
    <w:div w:id="625551696">
      <w:bodyDiv w:val="1"/>
      <w:marLeft w:val="0"/>
      <w:marRight w:val="0"/>
      <w:marTop w:val="0"/>
      <w:marBottom w:val="0"/>
      <w:divBdr>
        <w:top w:val="none" w:sz="0" w:space="0" w:color="auto"/>
        <w:left w:val="none" w:sz="0" w:space="0" w:color="auto"/>
        <w:bottom w:val="none" w:sz="0" w:space="0" w:color="auto"/>
        <w:right w:val="none" w:sz="0" w:space="0" w:color="auto"/>
      </w:divBdr>
    </w:div>
    <w:div w:id="675156295">
      <w:bodyDiv w:val="1"/>
      <w:marLeft w:val="0"/>
      <w:marRight w:val="0"/>
      <w:marTop w:val="0"/>
      <w:marBottom w:val="0"/>
      <w:divBdr>
        <w:top w:val="none" w:sz="0" w:space="0" w:color="auto"/>
        <w:left w:val="none" w:sz="0" w:space="0" w:color="auto"/>
        <w:bottom w:val="none" w:sz="0" w:space="0" w:color="auto"/>
        <w:right w:val="none" w:sz="0" w:space="0" w:color="auto"/>
      </w:divBdr>
    </w:div>
    <w:div w:id="694384459">
      <w:bodyDiv w:val="1"/>
      <w:marLeft w:val="0"/>
      <w:marRight w:val="0"/>
      <w:marTop w:val="0"/>
      <w:marBottom w:val="0"/>
      <w:divBdr>
        <w:top w:val="none" w:sz="0" w:space="0" w:color="auto"/>
        <w:left w:val="none" w:sz="0" w:space="0" w:color="auto"/>
        <w:bottom w:val="none" w:sz="0" w:space="0" w:color="auto"/>
        <w:right w:val="none" w:sz="0" w:space="0" w:color="auto"/>
      </w:divBdr>
    </w:div>
    <w:div w:id="775826289">
      <w:bodyDiv w:val="1"/>
      <w:marLeft w:val="0"/>
      <w:marRight w:val="0"/>
      <w:marTop w:val="0"/>
      <w:marBottom w:val="0"/>
      <w:divBdr>
        <w:top w:val="none" w:sz="0" w:space="0" w:color="auto"/>
        <w:left w:val="none" w:sz="0" w:space="0" w:color="auto"/>
        <w:bottom w:val="none" w:sz="0" w:space="0" w:color="auto"/>
        <w:right w:val="none" w:sz="0" w:space="0" w:color="auto"/>
      </w:divBdr>
    </w:div>
    <w:div w:id="801574926">
      <w:bodyDiv w:val="1"/>
      <w:marLeft w:val="0"/>
      <w:marRight w:val="0"/>
      <w:marTop w:val="0"/>
      <w:marBottom w:val="0"/>
      <w:divBdr>
        <w:top w:val="none" w:sz="0" w:space="0" w:color="auto"/>
        <w:left w:val="none" w:sz="0" w:space="0" w:color="auto"/>
        <w:bottom w:val="none" w:sz="0" w:space="0" w:color="auto"/>
        <w:right w:val="none" w:sz="0" w:space="0" w:color="auto"/>
      </w:divBdr>
    </w:div>
    <w:div w:id="803887368">
      <w:bodyDiv w:val="1"/>
      <w:marLeft w:val="0"/>
      <w:marRight w:val="0"/>
      <w:marTop w:val="0"/>
      <w:marBottom w:val="0"/>
      <w:divBdr>
        <w:top w:val="none" w:sz="0" w:space="0" w:color="auto"/>
        <w:left w:val="none" w:sz="0" w:space="0" w:color="auto"/>
        <w:bottom w:val="none" w:sz="0" w:space="0" w:color="auto"/>
        <w:right w:val="none" w:sz="0" w:space="0" w:color="auto"/>
      </w:divBdr>
    </w:div>
    <w:div w:id="815150418">
      <w:bodyDiv w:val="1"/>
      <w:marLeft w:val="0"/>
      <w:marRight w:val="0"/>
      <w:marTop w:val="0"/>
      <w:marBottom w:val="0"/>
      <w:divBdr>
        <w:top w:val="none" w:sz="0" w:space="0" w:color="auto"/>
        <w:left w:val="none" w:sz="0" w:space="0" w:color="auto"/>
        <w:bottom w:val="none" w:sz="0" w:space="0" w:color="auto"/>
        <w:right w:val="none" w:sz="0" w:space="0" w:color="auto"/>
      </w:divBdr>
    </w:div>
    <w:div w:id="836850045">
      <w:bodyDiv w:val="1"/>
      <w:marLeft w:val="0"/>
      <w:marRight w:val="0"/>
      <w:marTop w:val="0"/>
      <w:marBottom w:val="0"/>
      <w:divBdr>
        <w:top w:val="none" w:sz="0" w:space="0" w:color="auto"/>
        <w:left w:val="none" w:sz="0" w:space="0" w:color="auto"/>
        <w:bottom w:val="none" w:sz="0" w:space="0" w:color="auto"/>
        <w:right w:val="none" w:sz="0" w:space="0" w:color="auto"/>
      </w:divBdr>
    </w:div>
    <w:div w:id="838932511">
      <w:bodyDiv w:val="1"/>
      <w:marLeft w:val="0"/>
      <w:marRight w:val="0"/>
      <w:marTop w:val="0"/>
      <w:marBottom w:val="0"/>
      <w:divBdr>
        <w:top w:val="none" w:sz="0" w:space="0" w:color="auto"/>
        <w:left w:val="none" w:sz="0" w:space="0" w:color="auto"/>
        <w:bottom w:val="none" w:sz="0" w:space="0" w:color="auto"/>
        <w:right w:val="none" w:sz="0" w:space="0" w:color="auto"/>
      </w:divBdr>
    </w:div>
    <w:div w:id="845562293">
      <w:bodyDiv w:val="1"/>
      <w:marLeft w:val="0"/>
      <w:marRight w:val="0"/>
      <w:marTop w:val="0"/>
      <w:marBottom w:val="0"/>
      <w:divBdr>
        <w:top w:val="none" w:sz="0" w:space="0" w:color="auto"/>
        <w:left w:val="none" w:sz="0" w:space="0" w:color="auto"/>
        <w:bottom w:val="none" w:sz="0" w:space="0" w:color="auto"/>
        <w:right w:val="none" w:sz="0" w:space="0" w:color="auto"/>
      </w:divBdr>
    </w:div>
    <w:div w:id="851332638">
      <w:bodyDiv w:val="1"/>
      <w:marLeft w:val="0"/>
      <w:marRight w:val="0"/>
      <w:marTop w:val="0"/>
      <w:marBottom w:val="0"/>
      <w:divBdr>
        <w:top w:val="none" w:sz="0" w:space="0" w:color="auto"/>
        <w:left w:val="none" w:sz="0" w:space="0" w:color="auto"/>
        <w:bottom w:val="none" w:sz="0" w:space="0" w:color="auto"/>
        <w:right w:val="none" w:sz="0" w:space="0" w:color="auto"/>
      </w:divBdr>
    </w:div>
    <w:div w:id="910231531">
      <w:bodyDiv w:val="1"/>
      <w:marLeft w:val="0"/>
      <w:marRight w:val="0"/>
      <w:marTop w:val="0"/>
      <w:marBottom w:val="0"/>
      <w:divBdr>
        <w:top w:val="none" w:sz="0" w:space="0" w:color="auto"/>
        <w:left w:val="none" w:sz="0" w:space="0" w:color="auto"/>
        <w:bottom w:val="none" w:sz="0" w:space="0" w:color="auto"/>
        <w:right w:val="none" w:sz="0" w:space="0" w:color="auto"/>
      </w:divBdr>
    </w:div>
    <w:div w:id="946736147">
      <w:bodyDiv w:val="1"/>
      <w:marLeft w:val="0"/>
      <w:marRight w:val="0"/>
      <w:marTop w:val="0"/>
      <w:marBottom w:val="0"/>
      <w:divBdr>
        <w:top w:val="none" w:sz="0" w:space="0" w:color="auto"/>
        <w:left w:val="none" w:sz="0" w:space="0" w:color="auto"/>
        <w:bottom w:val="none" w:sz="0" w:space="0" w:color="auto"/>
        <w:right w:val="none" w:sz="0" w:space="0" w:color="auto"/>
      </w:divBdr>
    </w:div>
    <w:div w:id="983899424">
      <w:bodyDiv w:val="1"/>
      <w:marLeft w:val="0"/>
      <w:marRight w:val="0"/>
      <w:marTop w:val="0"/>
      <w:marBottom w:val="0"/>
      <w:divBdr>
        <w:top w:val="none" w:sz="0" w:space="0" w:color="auto"/>
        <w:left w:val="none" w:sz="0" w:space="0" w:color="auto"/>
        <w:bottom w:val="none" w:sz="0" w:space="0" w:color="auto"/>
        <w:right w:val="none" w:sz="0" w:space="0" w:color="auto"/>
      </w:divBdr>
    </w:div>
    <w:div w:id="1081293739">
      <w:bodyDiv w:val="1"/>
      <w:marLeft w:val="0"/>
      <w:marRight w:val="0"/>
      <w:marTop w:val="0"/>
      <w:marBottom w:val="0"/>
      <w:divBdr>
        <w:top w:val="none" w:sz="0" w:space="0" w:color="auto"/>
        <w:left w:val="none" w:sz="0" w:space="0" w:color="auto"/>
        <w:bottom w:val="none" w:sz="0" w:space="0" w:color="auto"/>
        <w:right w:val="none" w:sz="0" w:space="0" w:color="auto"/>
      </w:divBdr>
    </w:div>
    <w:div w:id="1134912998">
      <w:bodyDiv w:val="1"/>
      <w:marLeft w:val="0"/>
      <w:marRight w:val="0"/>
      <w:marTop w:val="0"/>
      <w:marBottom w:val="0"/>
      <w:divBdr>
        <w:top w:val="none" w:sz="0" w:space="0" w:color="auto"/>
        <w:left w:val="none" w:sz="0" w:space="0" w:color="auto"/>
        <w:bottom w:val="none" w:sz="0" w:space="0" w:color="auto"/>
        <w:right w:val="none" w:sz="0" w:space="0" w:color="auto"/>
      </w:divBdr>
    </w:div>
    <w:div w:id="1150556512">
      <w:bodyDiv w:val="1"/>
      <w:marLeft w:val="0"/>
      <w:marRight w:val="0"/>
      <w:marTop w:val="0"/>
      <w:marBottom w:val="0"/>
      <w:divBdr>
        <w:top w:val="none" w:sz="0" w:space="0" w:color="auto"/>
        <w:left w:val="none" w:sz="0" w:space="0" w:color="auto"/>
        <w:bottom w:val="none" w:sz="0" w:space="0" w:color="auto"/>
        <w:right w:val="none" w:sz="0" w:space="0" w:color="auto"/>
      </w:divBdr>
    </w:div>
    <w:div w:id="1175339271">
      <w:bodyDiv w:val="1"/>
      <w:marLeft w:val="0"/>
      <w:marRight w:val="0"/>
      <w:marTop w:val="0"/>
      <w:marBottom w:val="0"/>
      <w:divBdr>
        <w:top w:val="none" w:sz="0" w:space="0" w:color="auto"/>
        <w:left w:val="none" w:sz="0" w:space="0" w:color="auto"/>
        <w:bottom w:val="none" w:sz="0" w:space="0" w:color="auto"/>
        <w:right w:val="none" w:sz="0" w:space="0" w:color="auto"/>
      </w:divBdr>
    </w:div>
    <w:div w:id="1192261206">
      <w:bodyDiv w:val="1"/>
      <w:marLeft w:val="0"/>
      <w:marRight w:val="0"/>
      <w:marTop w:val="0"/>
      <w:marBottom w:val="0"/>
      <w:divBdr>
        <w:top w:val="none" w:sz="0" w:space="0" w:color="auto"/>
        <w:left w:val="none" w:sz="0" w:space="0" w:color="auto"/>
        <w:bottom w:val="none" w:sz="0" w:space="0" w:color="auto"/>
        <w:right w:val="none" w:sz="0" w:space="0" w:color="auto"/>
      </w:divBdr>
    </w:div>
    <w:div w:id="1192380465">
      <w:bodyDiv w:val="1"/>
      <w:marLeft w:val="0"/>
      <w:marRight w:val="0"/>
      <w:marTop w:val="0"/>
      <w:marBottom w:val="0"/>
      <w:divBdr>
        <w:top w:val="none" w:sz="0" w:space="0" w:color="auto"/>
        <w:left w:val="none" w:sz="0" w:space="0" w:color="auto"/>
        <w:bottom w:val="none" w:sz="0" w:space="0" w:color="auto"/>
        <w:right w:val="none" w:sz="0" w:space="0" w:color="auto"/>
      </w:divBdr>
    </w:div>
    <w:div w:id="1194030059">
      <w:bodyDiv w:val="1"/>
      <w:marLeft w:val="0"/>
      <w:marRight w:val="0"/>
      <w:marTop w:val="0"/>
      <w:marBottom w:val="0"/>
      <w:divBdr>
        <w:top w:val="none" w:sz="0" w:space="0" w:color="auto"/>
        <w:left w:val="none" w:sz="0" w:space="0" w:color="auto"/>
        <w:bottom w:val="none" w:sz="0" w:space="0" w:color="auto"/>
        <w:right w:val="none" w:sz="0" w:space="0" w:color="auto"/>
      </w:divBdr>
    </w:div>
    <w:div w:id="1211192889">
      <w:bodyDiv w:val="1"/>
      <w:marLeft w:val="0"/>
      <w:marRight w:val="0"/>
      <w:marTop w:val="0"/>
      <w:marBottom w:val="0"/>
      <w:divBdr>
        <w:top w:val="none" w:sz="0" w:space="0" w:color="auto"/>
        <w:left w:val="none" w:sz="0" w:space="0" w:color="auto"/>
        <w:bottom w:val="none" w:sz="0" w:space="0" w:color="auto"/>
        <w:right w:val="none" w:sz="0" w:space="0" w:color="auto"/>
      </w:divBdr>
    </w:div>
    <w:div w:id="1283876235">
      <w:bodyDiv w:val="1"/>
      <w:marLeft w:val="0"/>
      <w:marRight w:val="0"/>
      <w:marTop w:val="0"/>
      <w:marBottom w:val="0"/>
      <w:divBdr>
        <w:top w:val="none" w:sz="0" w:space="0" w:color="auto"/>
        <w:left w:val="none" w:sz="0" w:space="0" w:color="auto"/>
        <w:bottom w:val="none" w:sz="0" w:space="0" w:color="auto"/>
        <w:right w:val="none" w:sz="0" w:space="0" w:color="auto"/>
      </w:divBdr>
    </w:div>
    <w:div w:id="1297832090">
      <w:bodyDiv w:val="1"/>
      <w:marLeft w:val="0"/>
      <w:marRight w:val="0"/>
      <w:marTop w:val="0"/>
      <w:marBottom w:val="0"/>
      <w:divBdr>
        <w:top w:val="none" w:sz="0" w:space="0" w:color="auto"/>
        <w:left w:val="none" w:sz="0" w:space="0" w:color="auto"/>
        <w:bottom w:val="none" w:sz="0" w:space="0" w:color="auto"/>
        <w:right w:val="none" w:sz="0" w:space="0" w:color="auto"/>
      </w:divBdr>
    </w:div>
    <w:div w:id="1311134848">
      <w:bodyDiv w:val="1"/>
      <w:marLeft w:val="0"/>
      <w:marRight w:val="0"/>
      <w:marTop w:val="0"/>
      <w:marBottom w:val="0"/>
      <w:divBdr>
        <w:top w:val="none" w:sz="0" w:space="0" w:color="auto"/>
        <w:left w:val="none" w:sz="0" w:space="0" w:color="auto"/>
        <w:bottom w:val="none" w:sz="0" w:space="0" w:color="auto"/>
        <w:right w:val="none" w:sz="0" w:space="0" w:color="auto"/>
      </w:divBdr>
    </w:div>
    <w:div w:id="1314144506">
      <w:bodyDiv w:val="1"/>
      <w:marLeft w:val="0"/>
      <w:marRight w:val="0"/>
      <w:marTop w:val="0"/>
      <w:marBottom w:val="0"/>
      <w:divBdr>
        <w:top w:val="none" w:sz="0" w:space="0" w:color="auto"/>
        <w:left w:val="none" w:sz="0" w:space="0" w:color="auto"/>
        <w:bottom w:val="none" w:sz="0" w:space="0" w:color="auto"/>
        <w:right w:val="none" w:sz="0" w:space="0" w:color="auto"/>
      </w:divBdr>
    </w:div>
    <w:div w:id="1387921732">
      <w:bodyDiv w:val="1"/>
      <w:marLeft w:val="0"/>
      <w:marRight w:val="0"/>
      <w:marTop w:val="0"/>
      <w:marBottom w:val="0"/>
      <w:divBdr>
        <w:top w:val="none" w:sz="0" w:space="0" w:color="auto"/>
        <w:left w:val="none" w:sz="0" w:space="0" w:color="auto"/>
        <w:bottom w:val="none" w:sz="0" w:space="0" w:color="auto"/>
        <w:right w:val="none" w:sz="0" w:space="0" w:color="auto"/>
      </w:divBdr>
    </w:div>
    <w:div w:id="1443108923">
      <w:bodyDiv w:val="1"/>
      <w:marLeft w:val="0"/>
      <w:marRight w:val="0"/>
      <w:marTop w:val="0"/>
      <w:marBottom w:val="0"/>
      <w:divBdr>
        <w:top w:val="none" w:sz="0" w:space="0" w:color="auto"/>
        <w:left w:val="none" w:sz="0" w:space="0" w:color="auto"/>
        <w:bottom w:val="none" w:sz="0" w:space="0" w:color="auto"/>
        <w:right w:val="none" w:sz="0" w:space="0" w:color="auto"/>
      </w:divBdr>
    </w:div>
    <w:div w:id="1465780296">
      <w:bodyDiv w:val="1"/>
      <w:marLeft w:val="0"/>
      <w:marRight w:val="0"/>
      <w:marTop w:val="0"/>
      <w:marBottom w:val="0"/>
      <w:divBdr>
        <w:top w:val="none" w:sz="0" w:space="0" w:color="auto"/>
        <w:left w:val="none" w:sz="0" w:space="0" w:color="auto"/>
        <w:bottom w:val="none" w:sz="0" w:space="0" w:color="auto"/>
        <w:right w:val="none" w:sz="0" w:space="0" w:color="auto"/>
      </w:divBdr>
    </w:div>
    <w:div w:id="1468090967">
      <w:bodyDiv w:val="1"/>
      <w:marLeft w:val="0"/>
      <w:marRight w:val="0"/>
      <w:marTop w:val="0"/>
      <w:marBottom w:val="0"/>
      <w:divBdr>
        <w:top w:val="none" w:sz="0" w:space="0" w:color="auto"/>
        <w:left w:val="none" w:sz="0" w:space="0" w:color="auto"/>
        <w:bottom w:val="none" w:sz="0" w:space="0" w:color="auto"/>
        <w:right w:val="none" w:sz="0" w:space="0" w:color="auto"/>
      </w:divBdr>
    </w:div>
    <w:div w:id="1541161842">
      <w:bodyDiv w:val="1"/>
      <w:marLeft w:val="0"/>
      <w:marRight w:val="0"/>
      <w:marTop w:val="0"/>
      <w:marBottom w:val="0"/>
      <w:divBdr>
        <w:top w:val="none" w:sz="0" w:space="0" w:color="auto"/>
        <w:left w:val="none" w:sz="0" w:space="0" w:color="auto"/>
        <w:bottom w:val="none" w:sz="0" w:space="0" w:color="auto"/>
        <w:right w:val="none" w:sz="0" w:space="0" w:color="auto"/>
      </w:divBdr>
    </w:div>
    <w:div w:id="1547907243">
      <w:bodyDiv w:val="1"/>
      <w:marLeft w:val="0"/>
      <w:marRight w:val="0"/>
      <w:marTop w:val="0"/>
      <w:marBottom w:val="0"/>
      <w:divBdr>
        <w:top w:val="none" w:sz="0" w:space="0" w:color="auto"/>
        <w:left w:val="none" w:sz="0" w:space="0" w:color="auto"/>
        <w:bottom w:val="none" w:sz="0" w:space="0" w:color="auto"/>
        <w:right w:val="none" w:sz="0" w:space="0" w:color="auto"/>
      </w:divBdr>
    </w:div>
    <w:div w:id="1559824291">
      <w:bodyDiv w:val="1"/>
      <w:marLeft w:val="0"/>
      <w:marRight w:val="0"/>
      <w:marTop w:val="0"/>
      <w:marBottom w:val="0"/>
      <w:divBdr>
        <w:top w:val="none" w:sz="0" w:space="0" w:color="auto"/>
        <w:left w:val="none" w:sz="0" w:space="0" w:color="auto"/>
        <w:bottom w:val="none" w:sz="0" w:space="0" w:color="auto"/>
        <w:right w:val="none" w:sz="0" w:space="0" w:color="auto"/>
      </w:divBdr>
    </w:div>
    <w:div w:id="1566800897">
      <w:bodyDiv w:val="1"/>
      <w:marLeft w:val="0"/>
      <w:marRight w:val="0"/>
      <w:marTop w:val="0"/>
      <w:marBottom w:val="0"/>
      <w:divBdr>
        <w:top w:val="none" w:sz="0" w:space="0" w:color="auto"/>
        <w:left w:val="none" w:sz="0" w:space="0" w:color="auto"/>
        <w:bottom w:val="none" w:sz="0" w:space="0" w:color="auto"/>
        <w:right w:val="none" w:sz="0" w:space="0" w:color="auto"/>
      </w:divBdr>
    </w:div>
    <w:div w:id="1567372675">
      <w:bodyDiv w:val="1"/>
      <w:marLeft w:val="0"/>
      <w:marRight w:val="0"/>
      <w:marTop w:val="0"/>
      <w:marBottom w:val="0"/>
      <w:divBdr>
        <w:top w:val="none" w:sz="0" w:space="0" w:color="auto"/>
        <w:left w:val="none" w:sz="0" w:space="0" w:color="auto"/>
        <w:bottom w:val="none" w:sz="0" w:space="0" w:color="auto"/>
        <w:right w:val="none" w:sz="0" w:space="0" w:color="auto"/>
      </w:divBdr>
    </w:div>
    <w:div w:id="1577013273">
      <w:bodyDiv w:val="1"/>
      <w:marLeft w:val="0"/>
      <w:marRight w:val="0"/>
      <w:marTop w:val="0"/>
      <w:marBottom w:val="0"/>
      <w:divBdr>
        <w:top w:val="none" w:sz="0" w:space="0" w:color="auto"/>
        <w:left w:val="none" w:sz="0" w:space="0" w:color="auto"/>
        <w:bottom w:val="none" w:sz="0" w:space="0" w:color="auto"/>
        <w:right w:val="none" w:sz="0" w:space="0" w:color="auto"/>
      </w:divBdr>
    </w:div>
    <w:div w:id="1584533063">
      <w:bodyDiv w:val="1"/>
      <w:marLeft w:val="0"/>
      <w:marRight w:val="0"/>
      <w:marTop w:val="0"/>
      <w:marBottom w:val="0"/>
      <w:divBdr>
        <w:top w:val="none" w:sz="0" w:space="0" w:color="auto"/>
        <w:left w:val="none" w:sz="0" w:space="0" w:color="auto"/>
        <w:bottom w:val="none" w:sz="0" w:space="0" w:color="auto"/>
        <w:right w:val="none" w:sz="0" w:space="0" w:color="auto"/>
      </w:divBdr>
    </w:div>
    <w:div w:id="1618681572">
      <w:bodyDiv w:val="1"/>
      <w:marLeft w:val="0"/>
      <w:marRight w:val="0"/>
      <w:marTop w:val="0"/>
      <w:marBottom w:val="0"/>
      <w:divBdr>
        <w:top w:val="none" w:sz="0" w:space="0" w:color="auto"/>
        <w:left w:val="none" w:sz="0" w:space="0" w:color="auto"/>
        <w:bottom w:val="none" w:sz="0" w:space="0" w:color="auto"/>
        <w:right w:val="none" w:sz="0" w:space="0" w:color="auto"/>
      </w:divBdr>
    </w:div>
    <w:div w:id="1631781054">
      <w:bodyDiv w:val="1"/>
      <w:marLeft w:val="0"/>
      <w:marRight w:val="0"/>
      <w:marTop w:val="0"/>
      <w:marBottom w:val="0"/>
      <w:divBdr>
        <w:top w:val="none" w:sz="0" w:space="0" w:color="auto"/>
        <w:left w:val="none" w:sz="0" w:space="0" w:color="auto"/>
        <w:bottom w:val="none" w:sz="0" w:space="0" w:color="auto"/>
        <w:right w:val="none" w:sz="0" w:space="0" w:color="auto"/>
      </w:divBdr>
    </w:div>
    <w:div w:id="1653099398">
      <w:bodyDiv w:val="1"/>
      <w:marLeft w:val="0"/>
      <w:marRight w:val="0"/>
      <w:marTop w:val="0"/>
      <w:marBottom w:val="0"/>
      <w:divBdr>
        <w:top w:val="none" w:sz="0" w:space="0" w:color="auto"/>
        <w:left w:val="none" w:sz="0" w:space="0" w:color="auto"/>
        <w:bottom w:val="none" w:sz="0" w:space="0" w:color="auto"/>
        <w:right w:val="none" w:sz="0" w:space="0" w:color="auto"/>
      </w:divBdr>
    </w:div>
    <w:div w:id="1673603864">
      <w:bodyDiv w:val="1"/>
      <w:marLeft w:val="0"/>
      <w:marRight w:val="0"/>
      <w:marTop w:val="0"/>
      <w:marBottom w:val="0"/>
      <w:divBdr>
        <w:top w:val="none" w:sz="0" w:space="0" w:color="auto"/>
        <w:left w:val="none" w:sz="0" w:space="0" w:color="auto"/>
        <w:bottom w:val="none" w:sz="0" w:space="0" w:color="auto"/>
        <w:right w:val="none" w:sz="0" w:space="0" w:color="auto"/>
      </w:divBdr>
    </w:div>
    <w:div w:id="1789078740">
      <w:bodyDiv w:val="1"/>
      <w:marLeft w:val="0"/>
      <w:marRight w:val="0"/>
      <w:marTop w:val="0"/>
      <w:marBottom w:val="0"/>
      <w:divBdr>
        <w:top w:val="none" w:sz="0" w:space="0" w:color="auto"/>
        <w:left w:val="none" w:sz="0" w:space="0" w:color="auto"/>
        <w:bottom w:val="none" w:sz="0" w:space="0" w:color="auto"/>
        <w:right w:val="none" w:sz="0" w:space="0" w:color="auto"/>
      </w:divBdr>
    </w:div>
    <w:div w:id="1810050831">
      <w:bodyDiv w:val="1"/>
      <w:marLeft w:val="0"/>
      <w:marRight w:val="0"/>
      <w:marTop w:val="0"/>
      <w:marBottom w:val="0"/>
      <w:divBdr>
        <w:top w:val="none" w:sz="0" w:space="0" w:color="auto"/>
        <w:left w:val="none" w:sz="0" w:space="0" w:color="auto"/>
        <w:bottom w:val="none" w:sz="0" w:space="0" w:color="auto"/>
        <w:right w:val="none" w:sz="0" w:space="0" w:color="auto"/>
      </w:divBdr>
    </w:div>
    <w:div w:id="1811362919">
      <w:bodyDiv w:val="1"/>
      <w:marLeft w:val="0"/>
      <w:marRight w:val="0"/>
      <w:marTop w:val="0"/>
      <w:marBottom w:val="0"/>
      <w:divBdr>
        <w:top w:val="none" w:sz="0" w:space="0" w:color="auto"/>
        <w:left w:val="none" w:sz="0" w:space="0" w:color="auto"/>
        <w:bottom w:val="none" w:sz="0" w:space="0" w:color="auto"/>
        <w:right w:val="none" w:sz="0" w:space="0" w:color="auto"/>
      </w:divBdr>
    </w:div>
    <w:div w:id="1824467556">
      <w:bodyDiv w:val="1"/>
      <w:marLeft w:val="0"/>
      <w:marRight w:val="0"/>
      <w:marTop w:val="0"/>
      <w:marBottom w:val="0"/>
      <w:divBdr>
        <w:top w:val="none" w:sz="0" w:space="0" w:color="auto"/>
        <w:left w:val="none" w:sz="0" w:space="0" w:color="auto"/>
        <w:bottom w:val="none" w:sz="0" w:space="0" w:color="auto"/>
        <w:right w:val="none" w:sz="0" w:space="0" w:color="auto"/>
      </w:divBdr>
    </w:div>
    <w:div w:id="1832135053">
      <w:bodyDiv w:val="1"/>
      <w:marLeft w:val="0"/>
      <w:marRight w:val="0"/>
      <w:marTop w:val="0"/>
      <w:marBottom w:val="0"/>
      <w:divBdr>
        <w:top w:val="none" w:sz="0" w:space="0" w:color="auto"/>
        <w:left w:val="none" w:sz="0" w:space="0" w:color="auto"/>
        <w:bottom w:val="none" w:sz="0" w:space="0" w:color="auto"/>
        <w:right w:val="none" w:sz="0" w:space="0" w:color="auto"/>
      </w:divBdr>
    </w:div>
    <w:div w:id="1946228525">
      <w:bodyDiv w:val="1"/>
      <w:marLeft w:val="0"/>
      <w:marRight w:val="0"/>
      <w:marTop w:val="0"/>
      <w:marBottom w:val="0"/>
      <w:divBdr>
        <w:top w:val="none" w:sz="0" w:space="0" w:color="auto"/>
        <w:left w:val="none" w:sz="0" w:space="0" w:color="auto"/>
        <w:bottom w:val="none" w:sz="0" w:space="0" w:color="auto"/>
        <w:right w:val="none" w:sz="0" w:space="0" w:color="auto"/>
      </w:divBdr>
    </w:div>
    <w:div w:id="1953516605">
      <w:bodyDiv w:val="1"/>
      <w:marLeft w:val="0"/>
      <w:marRight w:val="0"/>
      <w:marTop w:val="0"/>
      <w:marBottom w:val="0"/>
      <w:divBdr>
        <w:top w:val="none" w:sz="0" w:space="0" w:color="auto"/>
        <w:left w:val="none" w:sz="0" w:space="0" w:color="auto"/>
        <w:bottom w:val="none" w:sz="0" w:space="0" w:color="auto"/>
        <w:right w:val="none" w:sz="0" w:space="0" w:color="auto"/>
      </w:divBdr>
    </w:div>
    <w:div w:id="2013363783">
      <w:bodyDiv w:val="1"/>
      <w:marLeft w:val="0"/>
      <w:marRight w:val="0"/>
      <w:marTop w:val="0"/>
      <w:marBottom w:val="0"/>
      <w:divBdr>
        <w:top w:val="none" w:sz="0" w:space="0" w:color="auto"/>
        <w:left w:val="none" w:sz="0" w:space="0" w:color="auto"/>
        <w:bottom w:val="none" w:sz="0" w:space="0" w:color="auto"/>
        <w:right w:val="none" w:sz="0" w:space="0" w:color="auto"/>
      </w:divBdr>
    </w:div>
    <w:div w:id="2023314472">
      <w:bodyDiv w:val="1"/>
      <w:marLeft w:val="0"/>
      <w:marRight w:val="0"/>
      <w:marTop w:val="0"/>
      <w:marBottom w:val="0"/>
      <w:divBdr>
        <w:top w:val="none" w:sz="0" w:space="0" w:color="auto"/>
        <w:left w:val="none" w:sz="0" w:space="0" w:color="auto"/>
        <w:bottom w:val="none" w:sz="0" w:space="0" w:color="auto"/>
        <w:right w:val="none" w:sz="0" w:space="0" w:color="auto"/>
      </w:divBdr>
    </w:div>
    <w:div w:id="2035958282">
      <w:bodyDiv w:val="1"/>
      <w:marLeft w:val="0"/>
      <w:marRight w:val="0"/>
      <w:marTop w:val="0"/>
      <w:marBottom w:val="0"/>
      <w:divBdr>
        <w:top w:val="none" w:sz="0" w:space="0" w:color="auto"/>
        <w:left w:val="none" w:sz="0" w:space="0" w:color="auto"/>
        <w:bottom w:val="none" w:sz="0" w:space="0" w:color="auto"/>
        <w:right w:val="none" w:sz="0" w:space="0" w:color="auto"/>
      </w:divBdr>
    </w:div>
    <w:div w:id="2064328563">
      <w:bodyDiv w:val="1"/>
      <w:marLeft w:val="0"/>
      <w:marRight w:val="0"/>
      <w:marTop w:val="0"/>
      <w:marBottom w:val="0"/>
      <w:divBdr>
        <w:top w:val="none" w:sz="0" w:space="0" w:color="auto"/>
        <w:left w:val="none" w:sz="0" w:space="0" w:color="auto"/>
        <w:bottom w:val="none" w:sz="0" w:space="0" w:color="auto"/>
        <w:right w:val="none" w:sz="0" w:space="0" w:color="auto"/>
      </w:divBdr>
    </w:div>
    <w:div w:id="2068070975">
      <w:bodyDiv w:val="1"/>
      <w:marLeft w:val="0"/>
      <w:marRight w:val="0"/>
      <w:marTop w:val="0"/>
      <w:marBottom w:val="0"/>
      <w:divBdr>
        <w:top w:val="none" w:sz="0" w:space="0" w:color="auto"/>
        <w:left w:val="none" w:sz="0" w:space="0" w:color="auto"/>
        <w:bottom w:val="none" w:sz="0" w:space="0" w:color="auto"/>
        <w:right w:val="none" w:sz="0" w:space="0" w:color="auto"/>
      </w:divBdr>
    </w:div>
    <w:div w:id="2135824421">
      <w:bodyDiv w:val="1"/>
      <w:marLeft w:val="0"/>
      <w:marRight w:val="0"/>
      <w:marTop w:val="0"/>
      <w:marBottom w:val="0"/>
      <w:divBdr>
        <w:top w:val="none" w:sz="0" w:space="0" w:color="auto"/>
        <w:left w:val="none" w:sz="0" w:space="0" w:color="auto"/>
        <w:bottom w:val="none" w:sz="0" w:space="0" w:color="auto"/>
        <w:right w:val="none" w:sz="0" w:space="0" w:color="auto"/>
      </w:divBdr>
    </w:div>
    <w:div w:id="214481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Giving vs Spending 2026 by Month</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Sheet1!$AS$7</c:f>
              <c:strCache>
                <c:ptCount val="1"/>
                <c:pt idx="0">
                  <c:v>Giving plus interest</c:v>
                </c:pt>
              </c:strCache>
            </c:strRef>
          </c:tx>
          <c:spPr>
            <a:solidFill>
              <a:schemeClr val="accent1"/>
            </a:solidFill>
            <a:ln>
              <a:noFill/>
            </a:ln>
            <a:effectLst/>
            <a:sp3d/>
          </c:spPr>
          <c:invertIfNegative val="0"/>
          <c:cat>
            <c:strRef>
              <c:f>Sheet1!$AT$6:$BA$6</c:f>
              <c:strCache>
                <c:ptCount val="7"/>
                <c:pt idx="0">
                  <c:v>January</c:v>
                </c:pt>
                <c:pt idx="1">
                  <c:v>February</c:v>
                </c:pt>
                <c:pt idx="2">
                  <c:v>March</c:v>
                </c:pt>
                <c:pt idx="3">
                  <c:v>April</c:v>
                </c:pt>
                <c:pt idx="4">
                  <c:v>May</c:v>
                </c:pt>
                <c:pt idx="5">
                  <c:v>June</c:v>
                </c:pt>
                <c:pt idx="6">
                  <c:v>July</c:v>
                </c:pt>
              </c:strCache>
            </c:strRef>
          </c:cat>
          <c:val>
            <c:numRef>
              <c:f>Sheet1!$AT$7:$BA$7</c:f>
              <c:numCache>
                <c:formatCode>"$"#,##0.00</c:formatCode>
                <c:ptCount val="8"/>
                <c:pt idx="0">
                  <c:v>43723.56</c:v>
                </c:pt>
                <c:pt idx="1">
                  <c:v>45232.25</c:v>
                </c:pt>
                <c:pt idx="2">
                  <c:v>84426.57</c:v>
                </c:pt>
                <c:pt idx="3">
                  <c:v>56324.12</c:v>
                </c:pt>
                <c:pt idx="4">
                  <c:v>47718.74</c:v>
                </c:pt>
                <c:pt idx="5">
                  <c:v>57122</c:v>
                </c:pt>
                <c:pt idx="6" formatCode="_(&quot;$&quot;* #,##0.00_);_(&quot;$&quot;* \(#,##0.00\);_(&quot;$&quot;* &quot;-&quot;??_);_(@_)">
                  <c:v>30888</c:v>
                </c:pt>
              </c:numCache>
            </c:numRef>
          </c:val>
          <c:extLst>
            <c:ext xmlns:c16="http://schemas.microsoft.com/office/drawing/2014/chart" uri="{C3380CC4-5D6E-409C-BE32-E72D297353CC}">
              <c16:uniqueId val="{00000000-E69A-4270-9704-9D838DA7D004}"/>
            </c:ext>
          </c:extLst>
        </c:ser>
        <c:ser>
          <c:idx val="1"/>
          <c:order val="1"/>
          <c:tx>
            <c:strRef>
              <c:f>Sheet1!$AS$8</c:f>
              <c:strCache>
                <c:ptCount val="1"/>
                <c:pt idx="0">
                  <c:v>Giving</c:v>
                </c:pt>
              </c:strCache>
            </c:strRef>
          </c:tx>
          <c:spPr>
            <a:solidFill>
              <a:schemeClr val="accent2"/>
            </a:solidFill>
            <a:ln>
              <a:noFill/>
            </a:ln>
            <a:effectLst/>
            <a:sp3d/>
          </c:spPr>
          <c:invertIfNegative val="0"/>
          <c:cat>
            <c:strRef>
              <c:f>Sheet1!$AT$6:$BA$6</c:f>
              <c:strCache>
                <c:ptCount val="7"/>
                <c:pt idx="0">
                  <c:v>January</c:v>
                </c:pt>
                <c:pt idx="1">
                  <c:v>February</c:v>
                </c:pt>
                <c:pt idx="2">
                  <c:v>March</c:v>
                </c:pt>
                <c:pt idx="3">
                  <c:v>April</c:v>
                </c:pt>
                <c:pt idx="4">
                  <c:v>May</c:v>
                </c:pt>
                <c:pt idx="5">
                  <c:v>June</c:v>
                </c:pt>
                <c:pt idx="6">
                  <c:v>July</c:v>
                </c:pt>
              </c:strCache>
            </c:strRef>
          </c:cat>
          <c:val>
            <c:numRef>
              <c:f>Sheet1!$AT$8:$BA$8</c:f>
              <c:numCache>
                <c:formatCode>"$"#,##0.00</c:formatCode>
                <c:ptCount val="8"/>
                <c:pt idx="0">
                  <c:v>43535.27</c:v>
                </c:pt>
                <c:pt idx="1">
                  <c:v>44909.31</c:v>
                </c:pt>
                <c:pt idx="2">
                  <c:v>84155.19</c:v>
                </c:pt>
                <c:pt idx="3">
                  <c:v>52098.19</c:v>
                </c:pt>
                <c:pt idx="4">
                  <c:v>45471.619999999995</c:v>
                </c:pt>
                <c:pt idx="5">
                  <c:v>54565.27</c:v>
                </c:pt>
                <c:pt idx="6" formatCode="_(&quot;$&quot;* #,##0.00_);_(&quot;$&quot;* \(#,##0.00\);_(&quot;$&quot;* &quot;-&quot;??_);_(@_)">
                  <c:v>26701.100000000002</c:v>
                </c:pt>
              </c:numCache>
            </c:numRef>
          </c:val>
          <c:extLst>
            <c:ext xmlns:c16="http://schemas.microsoft.com/office/drawing/2014/chart" uri="{C3380CC4-5D6E-409C-BE32-E72D297353CC}">
              <c16:uniqueId val="{00000001-E69A-4270-9704-9D838DA7D004}"/>
            </c:ext>
          </c:extLst>
        </c:ser>
        <c:ser>
          <c:idx val="2"/>
          <c:order val="2"/>
          <c:tx>
            <c:strRef>
              <c:f>Sheet1!$AS$9</c:f>
              <c:strCache>
                <c:ptCount val="1"/>
                <c:pt idx="0">
                  <c:v>Spending</c:v>
                </c:pt>
              </c:strCache>
            </c:strRef>
          </c:tx>
          <c:spPr>
            <a:solidFill>
              <a:schemeClr val="accent3"/>
            </a:solidFill>
            <a:ln>
              <a:noFill/>
            </a:ln>
            <a:effectLst/>
            <a:sp3d/>
          </c:spPr>
          <c:invertIfNegative val="0"/>
          <c:cat>
            <c:strRef>
              <c:f>Sheet1!$AT$6:$BA$6</c:f>
              <c:strCache>
                <c:ptCount val="7"/>
                <c:pt idx="0">
                  <c:v>January</c:v>
                </c:pt>
                <c:pt idx="1">
                  <c:v>February</c:v>
                </c:pt>
                <c:pt idx="2">
                  <c:v>March</c:v>
                </c:pt>
                <c:pt idx="3">
                  <c:v>April</c:v>
                </c:pt>
                <c:pt idx="4">
                  <c:v>May</c:v>
                </c:pt>
                <c:pt idx="5">
                  <c:v>June</c:v>
                </c:pt>
                <c:pt idx="6">
                  <c:v>July</c:v>
                </c:pt>
              </c:strCache>
            </c:strRef>
          </c:cat>
          <c:val>
            <c:numRef>
              <c:f>Sheet1!$AT$9:$BA$9</c:f>
              <c:numCache>
                <c:formatCode>"$"#,##0.00</c:formatCode>
                <c:ptCount val="8"/>
                <c:pt idx="0">
                  <c:v>52826.04</c:v>
                </c:pt>
                <c:pt idx="1">
                  <c:v>51221.15</c:v>
                </c:pt>
                <c:pt idx="2">
                  <c:v>56724.02</c:v>
                </c:pt>
                <c:pt idx="3">
                  <c:v>51650.49</c:v>
                </c:pt>
                <c:pt idx="4">
                  <c:v>64642.78</c:v>
                </c:pt>
                <c:pt idx="5">
                  <c:v>53357.16</c:v>
                </c:pt>
                <c:pt idx="6" formatCode="_(&quot;$&quot;* #,##0.00_);_(&quot;$&quot;* \(#,##0.00\);_(&quot;$&quot;* &quot;-&quot;??_);_(@_)">
                  <c:v>53421.11</c:v>
                </c:pt>
              </c:numCache>
            </c:numRef>
          </c:val>
          <c:extLst>
            <c:ext xmlns:c16="http://schemas.microsoft.com/office/drawing/2014/chart" uri="{C3380CC4-5D6E-409C-BE32-E72D297353CC}">
              <c16:uniqueId val="{00000002-E69A-4270-9704-9D838DA7D004}"/>
            </c:ext>
          </c:extLst>
        </c:ser>
        <c:dLbls>
          <c:showLegendKey val="0"/>
          <c:showVal val="0"/>
          <c:showCatName val="0"/>
          <c:showSerName val="0"/>
          <c:showPercent val="0"/>
          <c:showBubbleSize val="0"/>
        </c:dLbls>
        <c:gapWidth val="150"/>
        <c:shape val="box"/>
        <c:axId val="1254410431"/>
        <c:axId val="1254408511"/>
        <c:axId val="0"/>
      </c:bar3DChart>
      <c:catAx>
        <c:axId val="12544104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408511"/>
        <c:crosses val="autoZero"/>
        <c:auto val="1"/>
        <c:lblAlgn val="ctr"/>
        <c:lblOffset val="100"/>
        <c:noMultiLvlLbl val="0"/>
      </c:catAx>
      <c:valAx>
        <c:axId val="1254408511"/>
        <c:scaling>
          <c:orientation val="minMax"/>
        </c:scaling>
        <c:delete val="0"/>
        <c:axPos val="l"/>
        <c:majorGridlines>
          <c:spPr>
            <a:ln w="9525" cap="flat" cmpd="sng" algn="ctr">
              <a:solidFill>
                <a:schemeClr val="tx1">
                  <a:lumMod val="15000"/>
                  <a:lumOff val="85000"/>
                </a:schemeClr>
              </a:solidFill>
              <a:round/>
            </a:ln>
            <a:effectLst/>
          </c:spPr>
        </c:majorGridlines>
        <c:numFmt formatCode="&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41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YTD Totals for Giving plus</a:t>
            </a:r>
            <a:r>
              <a:rPr lang="en-US" b="1" baseline="0"/>
              <a:t> Interest</a:t>
            </a:r>
            <a:r>
              <a:rPr lang="en-US" b="1"/>
              <a:t>, Giving,</a:t>
            </a:r>
            <a:r>
              <a:rPr lang="en-US" b="1" baseline="0"/>
              <a:t> and Spending</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Sheet1!$S$21</c:f>
              <c:strCache>
                <c:ptCount val="1"/>
                <c:pt idx="0">
                  <c:v>Giving plus interest</c:v>
                </c:pt>
              </c:strCache>
            </c:strRef>
          </c:tx>
          <c:spPr>
            <a:solidFill>
              <a:schemeClr val="accent1"/>
            </a:solidFill>
            <a:ln>
              <a:noFill/>
            </a:ln>
            <a:effectLst/>
            <a:sp3d/>
          </c:spPr>
          <c:invertIfNegative val="0"/>
          <c:dLbls>
            <c:dLbl>
              <c:idx val="0"/>
              <c:layout>
                <c:manualLayout>
                  <c:x val="-4.3143297380585519E-2"/>
                  <c:y val="-7.63500931098696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1AE-4DCF-8466-AC58D72BFAA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Sheet1!$T$21</c:f>
              <c:numCache>
                <c:formatCode>_("$"* #,##0.00_);_("$"* \(#,##0.00\);_("$"* "-"??_);_(@_)</c:formatCode>
                <c:ptCount val="1"/>
                <c:pt idx="0">
                  <c:v>365435.24</c:v>
                </c:pt>
              </c:numCache>
            </c:numRef>
          </c:val>
          <c:extLst>
            <c:ext xmlns:c16="http://schemas.microsoft.com/office/drawing/2014/chart" uri="{C3380CC4-5D6E-409C-BE32-E72D297353CC}">
              <c16:uniqueId val="{00000000-11AE-4DCF-8466-AC58D72BFAA0}"/>
            </c:ext>
          </c:extLst>
        </c:ser>
        <c:ser>
          <c:idx val="1"/>
          <c:order val="1"/>
          <c:tx>
            <c:strRef>
              <c:f>Sheet1!$S$22</c:f>
              <c:strCache>
                <c:ptCount val="1"/>
                <c:pt idx="0">
                  <c:v>Giving </c:v>
                </c:pt>
              </c:strCache>
            </c:strRef>
          </c:tx>
          <c:spPr>
            <a:solidFill>
              <a:schemeClr val="accent2"/>
            </a:solidFill>
            <a:ln>
              <a:noFill/>
            </a:ln>
            <a:effectLst/>
            <a:sp3d/>
          </c:spPr>
          <c:invertIfNegative val="0"/>
          <c:dLbls>
            <c:dLbl>
              <c:idx val="0"/>
              <c:layout>
                <c:manualLayout>
                  <c:x val="7.7106309323044945E-3"/>
                  <c:y val="-0.256983240223463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1AE-4DCF-8466-AC58D72BFAA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Sheet1!$T$22</c:f>
              <c:numCache>
                <c:formatCode>_("$"* #,##0.00_);_("$"* \(#,##0.00\);_("$"* "-"??_);_(@_)</c:formatCode>
                <c:ptCount val="1"/>
                <c:pt idx="0">
                  <c:v>351435.94999999995</c:v>
                </c:pt>
              </c:numCache>
            </c:numRef>
          </c:val>
          <c:extLst>
            <c:ext xmlns:c16="http://schemas.microsoft.com/office/drawing/2014/chart" uri="{C3380CC4-5D6E-409C-BE32-E72D297353CC}">
              <c16:uniqueId val="{00000002-11AE-4DCF-8466-AC58D72BFAA0}"/>
            </c:ext>
          </c:extLst>
        </c:ser>
        <c:ser>
          <c:idx val="2"/>
          <c:order val="2"/>
          <c:tx>
            <c:strRef>
              <c:f>Sheet1!$S$23</c:f>
              <c:strCache>
                <c:ptCount val="1"/>
                <c:pt idx="0">
                  <c:v>Spending</c:v>
                </c:pt>
              </c:strCache>
            </c:strRef>
          </c:tx>
          <c:spPr>
            <a:solidFill>
              <a:schemeClr val="accent3"/>
            </a:solidFill>
            <a:ln>
              <a:noFill/>
            </a:ln>
            <a:effectLst/>
            <a:sp3d/>
          </c:spPr>
          <c:invertIfNegative val="0"/>
          <c:dLbls>
            <c:dLbl>
              <c:idx val="0"/>
              <c:layout>
                <c:manualLayout>
                  <c:x val="0.10737989800581545"/>
                  <c:y val="-3.78253346823267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AE-4DCF-8466-AC58D72BFAA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Sheet1!$T$23</c:f>
              <c:numCache>
                <c:formatCode>_("$"* #,##0.00_);_("$"* \(#,##0.00\);_("$"* "-"??_);_(@_)</c:formatCode>
                <c:ptCount val="1"/>
                <c:pt idx="0">
                  <c:v>383291.22</c:v>
                </c:pt>
              </c:numCache>
            </c:numRef>
          </c:val>
          <c:extLst>
            <c:ext xmlns:c16="http://schemas.microsoft.com/office/drawing/2014/chart" uri="{C3380CC4-5D6E-409C-BE32-E72D297353CC}">
              <c16:uniqueId val="{00000004-11AE-4DCF-8466-AC58D72BFAA0}"/>
            </c:ext>
          </c:extLst>
        </c:ser>
        <c:dLbls>
          <c:showLegendKey val="0"/>
          <c:showVal val="1"/>
          <c:showCatName val="0"/>
          <c:showSerName val="0"/>
          <c:showPercent val="0"/>
          <c:showBubbleSize val="0"/>
        </c:dLbls>
        <c:gapWidth val="150"/>
        <c:shape val="box"/>
        <c:axId val="1453827807"/>
        <c:axId val="1453828767"/>
        <c:axId val="0"/>
      </c:bar3DChart>
      <c:catAx>
        <c:axId val="1453827807"/>
        <c:scaling>
          <c:orientation val="minMax"/>
        </c:scaling>
        <c:delete val="1"/>
        <c:axPos val="b"/>
        <c:numFmt formatCode="General" sourceLinked="1"/>
        <c:majorTickMark val="none"/>
        <c:minorTickMark val="none"/>
        <c:tickLblPos val="nextTo"/>
        <c:crossAx val="1453828767"/>
        <c:crosses val="autoZero"/>
        <c:auto val="1"/>
        <c:lblAlgn val="ctr"/>
        <c:lblOffset val="100"/>
        <c:noMultiLvlLbl val="0"/>
      </c:catAx>
      <c:valAx>
        <c:axId val="1453828767"/>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45382780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YTD Spent thru July, 2026</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5101016420923397"/>
          <c:y val="0.22150553028378783"/>
          <c:w val="0.7080805511971191"/>
          <c:h val="0.78708727724823868"/>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636-45F5-AEB1-00D5C6EB7F3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636-45F5-AEB1-00D5C6EB7F3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636-45F5-AEB1-00D5C6EB7F3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636-45F5-AEB1-00D5C6EB7F3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636-45F5-AEB1-00D5C6EB7F3B}"/>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5636-45F5-AEB1-00D5C6EB7F3B}"/>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5636-45F5-AEB1-00D5C6EB7F3B}"/>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5636-45F5-AEB1-00D5C6EB7F3B}"/>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5636-45F5-AEB1-00D5C6EB7F3B}"/>
              </c:ext>
            </c:extLst>
          </c:dPt>
          <c:dLbls>
            <c:dLbl>
              <c:idx val="1"/>
              <c:layout>
                <c:manualLayout>
                  <c:x val="0.20410015464708586"/>
                  <c:y val="-1.855743105425597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636-45F5-AEB1-00D5C6EB7F3B}"/>
                </c:ext>
              </c:extLst>
            </c:dLbl>
            <c:dLbl>
              <c:idx val="2"/>
              <c:layout>
                <c:manualLayout>
                  <c:x val="0.18272407103534843"/>
                  <c:y val="6.027093387520108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636-45F5-AEB1-00D5C6EB7F3B}"/>
                </c:ext>
              </c:extLst>
            </c:dLbl>
            <c:dLbl>
              <c:idx val="3"/>
              <c:layout>
                <c:manualLayout>
                  <c:x val="-2.0614889405690764E-3"/>
                  <c:y val="3.087460841588349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636-45F5-AEB1-00D5C6EB7F3B}"/>
                </c:ext>
              </c:extLst>
            </c:dLbl>
            <c:dLbl>
              <c:idx val="4"/>
              <c:layout>
                <c:manualLayout>
                  <c:x val="-5.2053500808650809E-2"/>
                  <c:y val="2.940956427367400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636-45F5-AEB1-00D5C6EB7F3B}"/>
                </c:ext>
              </c:extLst>
            </c:dLbl>
            <c:dLbl>
              <c:idx val="5"/>
              <c:layout>
                <c:manualLayout>
                  <c:x val="-9.6648211327407182E-2"/>
                  <c:y val="1.589904634354723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636-45F5-AEB1-00D5C6EB7F3B}"/>
                </c:ext>
              </c:extLst>
            </c:dLbl>
            <c:dLbl>
              <c:idx val="6"/>
              <c:layout>
                <c:manualLayout>
                  <c:x val="-3.6239832839485842E-2"/>
                  <c:y val="7.513950785477328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636-45F5-AEB1-00D5C6EB7F3B}"/>
                </c:ext>
              </c:extLst>
            </c:dLbl>
            <c:dLbl>
              <c:idx val="7"/>
              <c:layout>
                <c:manualLayout>
                  <c:x val="2.0850677023692879E-2"/>
                  <c:y val="-2.9513935391507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5636-45F5-AEB1-00D5C6EB7F3B}"/>
                </c:ext>
              </c:extLst>
            </c:dLbl>
            <c:dLbl>
              <c:idx val="8"/>
              <c:layout>
                <c:manualLayout>
                  <c:x val="0.11966441975862463"/>
                  <c:y val="2.368824131587657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636-45F5-AEB1-00D5C6EB7F3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Sheet1!$B$5:$B$13</c:f>
              <c:strCache>
                <c:ptCount val="9"/>
                <c:pt idx="0">
                  <c:v>Personnel</c:v>
                </c:pt>
                <c:pt idx="1">
                  <c:v>Property</c:v>
                </c:pt>
                <c:pt idx="2">
                  <c:v>PEVA</c:v>
                </c:pt>
                <c:pt idx="3">
                  <c:v>Finance</c:v>
                </c:pt>
                <c:pt idx="4">
                  <c:v>Worship</c:v>
                </c:pt>
                <c:pt idx="5">
                  <c:v>Serve</c:v>
                </c:pt>
                <c:pt idx="6">
                  <c:v>Grow</c:v>
                </c:pt>
                <c:pt idx="7">
                  <c:v>Connect</c:v>
                </c:pt>
                <c:pt idx="8">
                  <c:v>Care</c:v>
                </c:pt>
              </c:strCache>
            </c:strRef>
          </c:cat>
          <c:val>
            <c:numRef>
              <c:f>Sheet1!$F$5:$F$13</c:f>
              <c:numCache>
                <c:formatCode>"$"#,##0.00</c:formatCode>
                <c:ptCount val="9"/>
                <c:pt idx="0">
                  <c:v>253849</c:v>
                </c:pt>
                <c:pt idx="1">
                  <c:v>51976.49</c:v>
                </c:pt>
                <c:pt idx="2">
                  <c:v>18884.25</c:v>
                </c:pt>
                <c:pt idx="3">
                  <c:v>17875.62</c:v>
                </c:pt>
                <c:pt idx="4">
                  <c:v>18002.73</c:v>
                </c:pt>
                <c:pt idx="5">
                  <c:v>8554.25</c:v>
                </c:pt>
                <c:pt idx="6">
                  <c:v>8312.66</c:v>
                </c:pt>
                <c:pt idx="7">
                  <c:v>2093.36</c:v>
                </c:pt>
                <c:pt idx="8">
                  <c:v>3742.86</c:v>
                </c:pt>
              </c:numCache>
            </c:numRef>
          </c:val>
          <c:extLst>
            <c:ext xmlns:c16="http://schemas.microsoft.com/office/drawing/2014/chart" uri="{C3380CC4-5D6E-409C-BE32-E72D297353CC}">
              <c16:uniqueId val="{00000012-5636-45F5-AEB1-00D5C6EB7F3B}"/>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dc:creator>
  <cp:lastModifiedBy>Keith Benson</cp:lastModifiedBy>
  <cp:revision>11</cp:revision>
  <cp:lastPrinted>2026-08-18T16:52:00Z</cp:lastPrinted>
  <dcterms:created xsi:type="dcterms:W3CDTF">2026-08-14T18:52:00Z</dcterms:created>
  <dcterms:modified xsi:type="dcterms:W3CDTF">2026-08-18T23:38:00Z</dcterms:modified>
</cp:coreProperties>
</file>