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4D687" w14:textId="507223F5" w:rsidR="00403366" w:rsidRPr="00403366" w:rsidRDefault="00403366" w:rsidP="01A50016">
      <w:pPr>
        <w:spacing w:line="259" w:lineRule="auto"/>
        <w:ind w:left="0" w:right="931" w:firstLine="0"/>
        <w:contextualSpacing/>
        <w:jc w:val="center"/>
        <w:rPr>
          <w:rFonts w:ascii="Times New Roman" w:hAnsi="Times New Roman" w:cs="Times New Roman"/>
          <w:sz w:val="32"/>
          <w:szCs w:val="32"/>
        </w:rPr>
      </w:pPr>
      <w:r w:rsidRPr="01A50016">
        <w:rPr>
          <w:rFonts w:ascii="Times New Roman" w:hAnsi="Times New Roman" w:cs="Times New Roman"/>
          <w:b/>
          <w:bCs/>
          <w:sz w:val="32"/>
          <w:szCs w:val="32"/>
        </w:rPr>
        <w:t>Amend the CLARITY Act to Preserve Community Bank Lending</w:t>
      </w:r>
    </w:p>
    <w:p w14:paraId="6B46D07B" w14:textId="77777777" w:rsidR="00403366" w:rsidRPr="00403366" w:rsidRDefault="00403366" w:rsidP="00AF1501">
      <w:pPr>
        <w:spacing w:after="88" w:line="259" w:lineRule="auto"/>
        <w:ind w:left="0" w:right="0" w:firstLine="0"/>
        <w:contextualSpacing/>
        <w:rPr>
          <w:rFonts w:ascii="Times New Roman" w:hAnsi="Times New Roman" w:cs="Times New Roman"/>
        </w:rPr>
      </w:pPr>
      <w:r w:rsidRPr="00403366">
        <w:rPr>
          <w:rFonts w:ascii="Times New Roman" w:eastAsia="Calibri" w:hAnsi="Times New Roman" w:cs="Times New Roman"/>
          <w:b/>
          <w:color w:val="002060"/>
        </w:rPr>
        <w:t xml:space="preserve"> </w:t>
      </w:r>
    </w:p>
    <w:p w14:paraId="16B8FDEA" w14:textId="7DE3E9D7" w:rsidR="00403366" w:rsidRPr="00403366" w:rsidRDefault="00403366" w:rsidP="01A50016">
      <w:pPr>
        <w:spacing w:line="259" w:lineRule="auto"/>
        <w:ind w:left="0" w:right="0" w:firstLine="0"/>
        <w:rPr>
          <w:rFonts w:ascii="Times New Roman" w:hAnsi="Times New Roman" w:cs="Times New Roman"/>
          <w:color w:val="0D0D0D" w:themeColor="text1" w:themeTint="F2"/>
        </w:rPr>
      </w:pPr>
      <w:r w:rsidRPr="01A50016">
        <w:rPr>
          <w:rFonts w:ascii="Times New Roman" w:hAnsi="Times New Roman" w:cs="Times New Roman"/>
          <w:color w:val="0D0D0D" w:themeColor="text1" w:themeTint="F2"/>
        </w:rPr>
        <w:t xml:space="preserve">The CLARITY Act (H.R. 3633), legislation crafting a regulatory framework for digital assets, passed the Senate Banking Committee on May 14 by a vote of </w:t>
      </w:r>
      <w:r w:rsidR="63839247" w:rsidRPr="01A50016">
        <w:rPr>
          <w:rFonts w:ascii="Times New Roman" w:hAnsi="Times New Roman" w:cs="Times New Roman"/>
          <w:color w:val="0D0D0D" w:themeColor="text1" w:themeTint="F2"/>
        </w:rPr>
        <w:t xml:space="preserve">15 </w:t>
      </w:r>
      <w:r w:rsidRPr="01A50016">
        <w:rPr>
          <w:rFonts w:ascii="Times New Roman" w:hAnsi="Times New Roman" w:cs="Times New Roman"/>
          <w:color w:val="0D0D0D" w:themeColor="text1" w:themeTint="F2"/>
        </w:rPr>
        <w:t xml:space="preserve">to </w:t>
      </w:r>
      <w:r w:rsidR="666284DB" w:rsidRPr="01A50016">
        <w:rPr>
          <w:rFonts w:ascii="Times New Roman" w:hAnsi="Times New Roman" w:cs="Times New Roman"/>
          <w:color w:val="0D0D0D" w:themeColor="text1" w:themeTint="F2"/>
        </w:rPr>
        <w:t>9</w:t>
      </w:r>
      <w:r w:rsidRPr="01A50016">
        <w:rPr>
          <w:rFonts w:ascii="Times New Roman" w:hAnsi="Times New Roman" w:cs="Times New Roman"/>
          <w:color w:val="0D0D0D" w:themeColor="text1" w:themeTint="F2"/>
        </w:rPr>
        <w:t>.</w:t>
      </w:r>
    </w:p>
    <w:p w14:paraId="51F1BDF8" w14:textId="77777777" w:rsidR="00403366" w:rsidRPr="00403366" w:rsidRDefault="00403366" w:rsidP="00AF1501">
      <w:pPr>
        <w:spacing w:line="259" w:lineRule="auto"/>
        <w:ind w:left="0" w:right="0" w:firstLine="0"/>
        <w:contextualSpacing/>
        <w:rPr>
          <w:rFonts w:ascii="Times New Roman" w:hAnsi="Times New Roman" w:cs="Times New Roman"/>
          <w:color w:val="0D0D0D"/>
        </w:rPr>
      </w:pPr>
    </w:p>
    <w:p w14:paraId="4211A344" w14:textId="1D690E06" w:rsidR="00403366" w:rsidRPr="00403366" w:rsidRDefault="00403366" w:rsidP="01A50016">
      <w:pPr>
        <w:spacing w:line="259" w:lineRule="auto"/>
        <w:ind w:left="0" w:right="0" w:firstLine="0"/>
        <w:contextualSpacing/>
        <w:rPr>
          <w:rFonts w:ascii="Times New Roman" w:hAnsi="Times New Roman" w:cs="Times New Roman"/>
          <w:color w:val="0D0D0D"/>
        </w:rPr>
      </w:pPr>
      <w:r w:rsidRPr="01A50016">
        <w:rPr>
          <w:rFonts w:ascii="Times New Roman" w:hAnsi="Times New Roman" w:cs="Times New Roman"/>
          <w:color w:val="0D0D0D" w:themeColor="text1" w:themeTint="F2"/>
        </w:rPr>
        <w:t xml:space="preserve">ICBA continues to press for </w:t>
      </w:r>
      <w:r w:rsidR="73068952" w:rsidRPr="01A50016">
        <w:rPr>
          <w:rFonts w:ascii="Times New Roman" w:hAnsi="Times New Roman" w:cs="Times New Roman"/>
          <w:color w:val="0D0D0D" w:themeColor="text1" w:themeTint="F2"/>
        </w:rPr>
        <w:t xml:space="preserve">technical </w:t>
      </w:r>
      <w:r w:rsidRPr="01A50016">
        <w:rPr>
          <w:rFonts w:ascii="Times New Roman" w:hAnsi="Times New Roman" w:cs="Times New Roman"/>
          <w:color w:val="0D0D0D" w:themeColor="text1" w:themeTint="F2"/>
        </w:rPr>
        <w:t>changes to Section 404 of the Act, “</w:t>
      </w:r>
      <w:r w:rsidRPr="01A50016">
        <w:rPr>
          <w:rFonts w:ascii="Times New Roman" w:hAnsi="Times New Roman" w:cs="Times New Roman"/>
        </w:rPr>
        <w:t>Prohibiting Interest and Yield on Payment Stablecoins,”</w:t>
      </w:r>
      <w:r w:rsidRPr="01A50016">
        <w:rPr>
          <w:rFonts w:ascii="Times New Roman" w:hAnsi="Times New Roman" w:cs="Times New Roman"/>
          <w:color w:val="0D0D0D" w:themeColor="text1" w:themeTint="F2"/>
        </w:rPr>
        <w:t xml:space="preserve"> to ensure that it </w:t>
      </w:r>
      <w:r w:rsidR="178753DF" w:rsidRPr="01A50016">
        <w:rPr>
          <w:rFonts w:ascii="Times New Roman" w:hAnsi="Times New Roman" w:cs="Times New Roman"/>
          <w:color w:val="0D0D0D" w:themeColor="text1" w:themeTint="F2"/>
        </w:rPr>
        <w:t>works as intended</w:t>
      </w:r>
      <w:r w:rsidR="33A3B7EC" w:rsidRPr="01A50016">
        <w:rPr>
          <w:rFonts w:ascii="Times New Roman" w:hAnsi="Times New Roman" w:cs="Times New Roman"/>
          <w:color w:val="0D0D0D" w:themeColor="text1" w:themeTint="F2"/>
        </w:rPr>
        <w:t>,</w:t>
      </w:r>
      <w:r w:rsidR="178753DF" w:rsidRPr="01A50016">
        <w:rPr>
          <w:rFonts w:ascii="Times New Roman" w:hAnsi="Times New Roman" w:cs="Times New Roman"/>
          <w:color w:val="0D0D0D" w:themeColor="text1" w:themeTint="F2"/>
        </w:rPr>
        <w:t xml:space="preserve"> </w:t>
      </w:r>
      <w:r w:rsidRPr="01A50016">
        <w:rPr>
          <w:rFonts w:ascii="Times New Roman" w:hAnsi="Times New Roman" w:cs="Times New Roman"/>
          <w:color w:val="0D0D0D" w:themeColor="text1" w:themeTint="F2"/>
        </w:rPr>
        <w:t>addresses emerging risks</w:t>
      </w:r>
      <w:r w:rsidR="5FBB56C6" w:rsidRPr="01A50016">
        <w:rPr>
          <w:rFonts w:ascii="Times New Roman" w:hAnsi="Times New Roman" w:cs="Times New Roman"/>
          <w:color w:val="0D0D0D" w:themeColor="text1" w:themeTint="F2"/>
        </w:rPr>
        <w:t>,</w:t>
      </w:r>
      <w:r w:rsidRPr="01A50016">
        <w:rPr>
          <w:rFonts w:ascii="Times New Roman" w:hAnsi="Times New Roman" w:cs="Times New Roman"/>
          <w:color w:val="0D0D0D" w:themeColor="text1" w:themeTint="F2"/>
        </w:rPr>
        <w:t xml:space="preserve"> and does not jeopardize America’s local economies by compromising community banks’ ability to supply credit. </w:t>
      </w:r>
      <w:r w:rsidRPr="01A50016">
        <w:rPr>
          <w:rFonts w:ascii="Times New Roman" w:hAnsi="Times New Roman" w:cs="Times New Roman"/>
          <w:b/>
          <w:bCs/>
          <w:color w:val="0D0D0D" w:themeColor="text1" w:themeTint="F2"/>
        </w:rPr>
        <w:t xml:space="preserve">(See attached redline of proposed changes to Section 404.)  </w:t>
      </w:r>
    </w:p>
    <w:p w14:paraId="39B14F2E" w14:textId="77777777" w:rsidR="00403366" w:rsidRPr="00403366" w:rsidRDefault="00403366" w:rsidP="00AF1501">
      <w:pPr>
        <w:spacing w:after="21" w:line="259" w:lineRule="auto"/>
        <w:ind w:left="0" w:right="0" w:firstLine="0"/>
        <w:contextualSpacing/>
        <w:rPr>
          <w:rFonts w:ascii="Times New Roman" w:hAnsi="Times New Roman" w:cs="Times New Roman"/>
        </w:rPr>
      </w:pPr>
      <w:r w:rsidRPr="00403366">
        <w:rPr>
          <w:rFonts w:ascii="Times New Roman" w:hAnsi="Times New Roman" w:cs="Times New Roman"/>
          <w:color w:val="0D0D0D"/>
        </w:rPr>
        <w:t xml:space="preserve"> </w:t>
      </w:r>
    </w:p>
    <w:p w14:paraId="62376BA1" w14:textId="7141D80E" w:rsidR="00403366" w:rsidRPr="00403366" w:rsidRDefault="00403366" w:rsidP="01A50016">
      <w:pPr>
        <w:spacing w:after="10" w:line="259" w:lineRule="auto"/>
        <w:ind w:left="-15" w:right="0" w:firstLine="0"/>
        <w:contextualSpacing/>
        <w:rPr>
          <w:rFonts w:ascii="Times New Roman" w:hAnsi="Times New Roman" w:cs="Times New Roman"/>
          <w:color w:val="0D0D0D" w:themeColor="text1" w:themeTint="F2"/>
          <w:sz w:val="28"/>
          <w:szCs w:val="28"/>
        </w:rPr>
      </w:pPr>
      <w:r w:rsidRPr="01A50016">
        <w:rPr>
          <w:rFonts w:ascii="Times New Roman" w:hAnsi="Times New Roman" w:cs="Times New Roman"/>
          <w:b/>
          <w:bCs/>
          <w:color w:val="0D0D0D" w:themeColor="text1" w:themeTint="F2"/>
          <w:sz w:val="28"/>
          <w:szCs w:val="28"/>
        </w:rPr>
        <w:t>Background</w:t>
      </w:r>
    </w:p>
    <w:p w14:paraId="0328EA1E" w14:textId="4D9C38DF" w:rsidR="00403366" w:rsidRPr="00403366" w:rsidRDefault="00403366" w:rsidP="00AF1501">
      <w:pPr>
        <w:spacing w:after="19" w:line="259" w:lineRule="auto"/>
        <w:ind w:left="0" w:right="0" w:firstLine="0"/>
        <w:contextualSpacing/>
        <w:rPr>
          <w:rFonts w:ascii="Times New Roman" w:hAnsi="Times New Roman" w:cs="Times New Roman"/>
        </w:rPr>
      </w:pPr>
    </w:p>
    <w:p w14:paraId="53AA2038" w14:textId="657676D7" w:rsidR="00403366" w:rsidRPr="00403366" w:rsidRDefault="57B55940" w:rsidP="14B858E4">
      <w:pPr>
        <w:spacing w:line="259" w:lineRule="auto"/>
        <w:ind w:left="-14" w:right="43" w:firstLine="0"/>
        <w:contextualSpacing/>
        <w:rPr>
          <w:rFonts w:ascii="Times New Roman" w:hAnsi="Times New Roman" w:cs="Times New Roman"/>
        </w:rPr>
      </w:pPr>
      <w:r w:rsidRPr="14B858E4">
        <w:rPr>
          <w:rFonts w:ascii="Times New Roman" w:hAnsi="Times New Roman" w:cs="Times New Roman"/>
        </w:rPr>
        <w:t>Stablecoins are a type of digital asset designed to maintain a stable value by being pegged to a reference asset such the U</w:t>
      </w:r>
      <w:r w:rsidR="00A2392C">
        <w:rPr>
          <w:rFonts w:ascii="Times New Roman" w:hAnsi="Times New Roman" w:cs="Times New Roman"/>
        </w:rPr>
        <w:t>.</w:t>
      </w:r>
      <w:r w:rsidRPr="14B858E4">
        <w:rPr>
          <w:rFonts w:ascii="Times New Roman" w:hAnsi="Times New Roman" w:cs="Times New Roman"/>
        </w:rPr>
        <w:t>S</w:t>
      </w:r>
      <w:r w:rsidR="00A2392C">
        <w:rPr>
          <w:rFonts w:ascii="Times New Roman" w:hAnsi="Times New Roman" w:cs="Times New Roman"/>
        </w:rPr>
        <w:t>.</w:t>
      </w:r>
      <w:r w:rsidRPr="14B858E4">
        <w:rPr>
          <w:rFonts w:ascii="Times New Roman" w:hAnsi="Times New Roman" w:cs="Times New Roman"/>
        </w:rPr>
        <w:t xml:space="preserve"> dollar. This peg is maintained by holding reserves like cash, U.S. Treasuries, or bank deposits on a 1-to-1 basis. The value of stablecoins in circulation currently exceeds $</w:t>
      </w:r>
      <w:r w:rsidR="00F019AF">
        <w:rPr>
          <w:rFonts w:ascii="Times New Roman" w:hAnsi="Times New Roman" w:cs="Times New Roman"/>
        </w:rPr>
        <w:t>323</w:t>
      </w:r>
      <w:r w:rsidRPr="14B858E4">
        <w:rPr>
          <w:rFonts w:ascii="Times New Roman" w:hAnsi="Times New Roman" w:cs="Times New Roman"/>
        </w:rPr>
        <w:t xml:space="preserve"> billion. Stablecoins are primarily used to facilitate crypto asset trading. They may also be used for retail and commercial payments</w:t>
      </w:r>
      <w:r w:rsidRPr="14B858E4">
        <w:rPr>
          <w:rFonts w:ascii="Times New Roman" w:hAnsi="Times New Roman" w:cs="Times New Roman"/>
          <w:b/>
          <w:bCs/>
        </w:rPr>
        <w:t xml:space="preserve">.  </w:t>
      </w:r>
    </w:p>
    <w:p w14:paraId="40A2DB57" w14:textId="77777777" w:rsidR="00403366" w:rsidRPr="00403366" w:rsidRDefault="00403366" w:rsidP="00AF1501">
      <w:pPr>
        <w:spacing w:after="21" w:line="259" w:lineRule="auto"/>
        <w:ind w:left="0" w:right="0" w:firstLine="0"/>
        <w:contextualSpacing/>
        <w:rPr>
          <w:rFonts w:ascii="Times New Roman" w:hAnsi="Times New Roman" w:cs="Times New Roman"/>
        </w:rPr>
      </w:pPr>
      <w:r w:rsidRPr="00403366">
        <w:rPr>
          <w:rFonts w:ascii="Times New Roman" w:hAnsi="Times New Roman" w:cs="Times New Roman"/>
          <w:b/>
        </w:rPr>
        <w:t xml:space="preserve"> </w:t>
      </w:r>
    </w:p>
    <w:p w14:paraId="6156F8B7" w14:textId="3179F87F" w:rsidR="00403366" w:rsidRPr="00403366" w:rsidRDefault="00403366" w:rsidP="01A50016">
      <w:pPr>
        <w:spacing w:line="259" w:lineRule="auto"/>
        <w:ind w:left="-15" w:right="49" w:firstLine="0"/>
        <w:contextualSpacing/>
        <w:rPr>
          <w:rFonts w:ascii="Times New Roman" w:hAnsi="Times New Roman" w:cs="Times New Roman"/>
          <w:color w:val="0D0D0D" w:themeColor="text1" w:themeTint="F2"/>
        </w:rPr>
      </w:pPr>
      <w:r w:rsidRPr="01A50016">
        <w:rPr>
          <w:rFonts w:ascii="Times New Roman" w:hAnsi="Times New Roman" w:cs="Times New Roman"/>
        </w:rPr>
        <w:t xml:space="preserve">In July 2025, Congress enacted the GENIUS Act (S. 1582), which creates a federal regulatory framework for payment stablecoin issuance. The GENIUS Act </w:t>
      </w:r>
      <w:r w:rsidRPr="01A50016">
        <w:rPr>
          <w:rFonts w:ascii="Times New Roman" w:hAnsi="Times New Roman" w:cs="Times New Roman"/>
          <w:color w:val="0D0D0D" w:themeColor="text1" w:themeTint="F2"/>
        </w:rPr>
        <w:t>took an important step in prohibiting payment stablecoin issuers from paying yield, interest or other consideration directly to stablecoin holders.</w:t>
      </w:r>
      <w:r w:rsidRPr="01A50016">
        <w:rPr>
          <w:rFonts w:ascii="Times New Roman" w:hAnsi="Times New Roman" w:cs="Times New Roman"/>
        </w:rPr>
        <w:t xml:space="preserve"> This was intended to distinguish</w:t>
      </w:r>
      <w:r w:rsidR="00560AFC" w:rsidRPr="01A50016">
        <w:rPr>
          <w:rFonts w:ascii="Times New Roman" w:hAnsi="Times New Roman" w:cs="Times New Roman"/>
        </w:rPr>
        <w:t xml:space="preserve"> and separate</w:t>
      </w:r>
      <w:r w:rsidRPr="01A50016">
        <w:rPr>
          <w:rFonts w:ascii="Times New Roman" w:hAnsi="Times New Roman" w:cs="Times New Roman"/>
        </w:rPr>
        <w:t xml:space="preserve"> the use of payment stablecoins from a “store of value” and alternative to bank deposits</w:t>
      </w:r>
      <w:r w:rsidR="1D289833" w:rsidRPr="01A50016">
        <w:rPr>
          <w:rFonts w:ascii="Times New Roman" w:hAnsi="Times New Roman" w:cs="Times New Roman"/>
        </w:rPr>
        <w:t xml:space="preserve"> used for lending</w:t>
      </w:r>
      <w:r w:rsidRPr="01A50016">
        <w:rPr>
          <w:rFonts w:ascii="Times New Roman" w:hAnsi="Times New Roman" w:cs="Times New Roman"/>
        </w:rPr>
        <w:t>.</w:t>
      </w:r>
    </w:p>
    <w:p w14:paraId="7401712A" w14:textId="15404FE9" w:rsidR="00403366" w:rsidRPr="00403366" w:rsidRDefault="00403366" w:rsidP="01A50016">
      <w:pPr>
        <w:spacing w:line="259" w:lineRule="auto"/>
        <w:ind w:left="-15" w:right="49" w:firstLine="0"/>
        <w:contextualSpacing/>
        <w:rPr>
          <w:rFonts w:ascii="Times New Roman" w:hAnsi="Times New Roman" w:cs="Times New Roman"/>
        </w:rPr>
      </w:pPr>
    </w:p>
    <w:p w14:paraId="42C55EAA" w14:textId="04C1D66A" w:rsidR="00403366" w:rsidRPr="00403366" w:rsidRDefault="00403366" w:rsidP="01A50016">
      <w:pPr>
        <w:spacing w:line="259" w:lineRule="auto"/>
        <w:ind w:left="-15" w:right="49" w:firstLine="0"/>
        <w:contextualSpacing/>
        <w:rPr>
          <w:rFonts w:ascii="Times New Roman" w:hAnsi="Times New Roman" w:cs="Times New Roman"/>
        </w:rPr>
      </w:pPr>
      <w:r w:rsidRPr="01A50016">
        <w:rPr>
          <w:rFonts w:ascii="Times New Roman" w:hAnsi="Times New Roman" w:cs="Times New Roman"/>
        </w:rPr>
        <w:t xml:space="preserve">However, this prohibition can be evaded by paying yield equivalents to </w:t>
      </w:r>
      <w:proofErr w:type="gramStart"/>
      <w:r w:rsidRPr="01A50016">
        <w:rPr>
          <w:rFonts w:ascii="Times New Roman" w:hAnsi="Times New Roman" w:cs="Times New Roman"/>
        </w:rPr>
        <w:t>stablecoin</w:t>
      </w:r>
      <w:proofErr w:type="gramEnd"/>
      <w:r w:rsidRPr="01A50016">
        <w:rPr>
          <w:rFonts w:ascii="Times New Roman" w:hAnsi="Times New Roman" w:cs="Times New Roman"/>
        </w:rPr>
        <w:t xml:space="preserve"> holders through crypto exchanges, affiliates, and other market participants. Congress must complete the </w:t>
      </w:r>
      <w:r w:rsidR="179FA852" w:rsidRPr="01A50016">
        <w:rPr>
          <w:rFonts w:ascii="Times New Roman" w:hAnsi="Times New Roman" w:cs="Times New Roman"/>
        </w:rPr>
        <w:t xml:space="preserve">yield prohibition </w:t>
      </w:r>
      <w:r w:rsidR="4633AFBA" w:rsidRPr="01A50016">
        <w:rPr>
          <w:rFonts w:ascii="Times New Roman" w:hAnsi="Times New Roman" w:cs="Times New Roman"/>
        </w:rPr>
        <w:t xml:space="preserve">policy </w:t>
      </w:r>
      <w:r w:rsidRPr="01A50016">
        <w:rPr>
          <w:rFonts w:ascii="Times New Roman" w:hAnsi="Times New Roman" w:cs="Times New Roman"/>
        </w:rPr>
        <w:t xml:space="preserve">of the GENIUS Act by including in the CLARITY Act an explicit and robust prohibition on payment of yield by crypto exchanges, affiliates, and other intermediaries. </w:t>
      </w:r>
    </w:p>
    <w:p w14:paraId="28CD733B" w14:textId="77777777" w:rsidR="00403366" w:rsidRPr="00403366" w:rsidRDefault="00403366" w:rsidP="00AF1501">
      <w:pPr>
        <w:spacing w:after="21" w:line="259" w:lineRule="auto"/>
        <w:ind w:left="0" w:right="0" w:firstLine="0"/>
        <w:contextualSpacing/>
        <w:rPr>
          <w:rFonts w:ascii="Times New Roman" w:hAnsi="Times New Roman" w:cs="Times New Roman"/>
        </w:rPr>
      </w:pPr>
      <w:r w:rsidRPr="00403366">
        <w:rPr>
          <w:rFonts w:ascii="Times New Roman" w:hAnsi="Times New Roman" w:cs="Times New Roman"/>
          <w:b/>
        </w:rPr>
        <w:t xml:space="preserve"> </w:t>
      </w:r>
    </w:p>
    <w:p w14:paraId="6CCA5F3F" w14:textId="77777777" w:rsidR="00403366" w:rsidRPr="00403366" w:rsidRDefault="00403366" w:rsidP="00AF1501">
      <w:pPr>
        <w:spacing w:after="40" w:line="259" w:lineRule="auto"/>
        <w:ind w:left="0" w:right="0" w:firstLine="0"/>
        <w:contextualSpacing/>
        <w:rPr>
          <w:rFonts w:ascii="Times New Roman" w:hAnsi="Times New Roman" w:cs="Times New Roman"/>
          <w:b/>
          <w:bCs/>
          <w:sz w:val="28"/>
          <w:szCs w:val="28"/>
        </w:rPr>
      </w:pPr>
      <w:r w:rsidRPr="00403366">
        <w:rPr>
          <w:rFonts w:ascii="Times New Roman" w:hAnsi="Times New Roman" w:cs="Times New Roman"/>
          <w:b/>
          <w:bCs/>
          <w:sz w:val="28"/>
          <w:szCs w:val="28"/>
        </w:rPr>
        <w:t>Payment of Yield or Yield-Equivalents Jeopardizes Deposits That Support Lending</w:t>
      </w:r>
    </w:p>
    <w:p w14:paraId="2AB4D24C" w14:textId="77777777" w:rsidR="00403366" w:rsidRPr="00403366" w:rsidRDefault="00403366" w:rsidP="00AF1501">
      <w:pPr>
        <w:spacing w:after="109" w:line="259" w:lineRule="auto"/>
        <w:ind w:left="0" w:right="0" w:firstLine="0"/>
        <w:contextualSpacing/>
        <w:rPr>
          <w:rFonts w:ascii="Times New Roman" w:hAnsi="Times New Roman" w:cs="Times New Roman"/>
          <w:b/>
          <w:u w:val="single" w:color="000000"/>
        </w:rPr>
      </w:pPr>
    </w:p>
    <w:p w14:paraId="75F4825A" w14:textId="593AE2EF" w:rsidR="00403366" w:rsidRDefault="57B55940" w:rsidP="01A50016">
      <w:pPr>
        <w:spacing w:after="109" w:line="259" w:lineRule="auto"/>
        <w:ind w:left="0" w:right="0" w:firstLine="0"/>
        <w:contextualSpacing/>
        <w:rPr>
          <w:rFonts w:ascii="Times New Roman" w:hAnsi="Times New Roman" w:cs="Times New Roman"/>
        </w:rPr>
      </w:pPr>
      <w:r w:rsidRPr="01A50016">
        <w:rPr>
          <w:rFonts w:ascii="Times New Roman" w:hAnsi="Times New Roman" w:cs="Times New Roman"/>
        </w:rPr>
        <w:t>This prohibition on payment of interest, yield, or rewards is critical to maintaining Americans’ access to credit. A strong prohibition will maintain stablecoins’ intended purpose as a payment mechanism</w:t>
      </w:r>
      <w:r w:rsidR="4A1FDB09" w:rsidRPr="01A50016">
        <w:rPr>
          <w:rFonts w:ascii="Times New Roman" w:hAnsi="Times New Roman" w:cs="Times New Roman"/>
        </w:rPr>
        <w:t xml:space="preserve"> for transactions.</w:t>
      </w:r>
      <w:r w:rsidRPr="01A50016">
        <w:rPr>
          <w:rFonts w:ascii="Times New Roman" w:hAnsi="Times New Roman" w:cs="Times New Roman"/>
        </w:rPr>
        <w:t xml:space="preserve"> Critically, it will help avoid a flight of FDIC-insured domestic deposits in pursuit of yield to global crypto conglomerates and other non-bank entities</w:t>
      </w:r>
      <w:r w:rsidR="41B3DE63" w:rsidRPr="01A50016">
        <w:rPr>
          <w:rFonts w:ascii="Times New Roman" w:hAnsi="Times New Roman" w:cs="Times New Roman"/>
        </w:rPr>
        <w:t>. These entities</w:t>
      </w:r>
      <w:r w:rsidRPr="01A50016">
        <w:rPr>
          <w:rFonts w:ascii="Times New Roman" w:hAnsi="Times New Roman" w:cs="Times New Roman"/>
        </w:rPr>
        <w:t xml:space="preserve"> do not have the same regulatory oversight or local commitment as community banks. The loss of</w:t>
      </w:r>
      <w:r w:rsidR="6770CA1C" w:rsidRPr="01A50016">
        <w:rPr>
          <w:rFonts w:ascii="Times New Roman" w:hAnsi="Times New Roman" w:cs="Times New Roman"/>
        </w:rPr>
        <w:t xml:space="preserve"> local deposits to crypto exchanges would impact</w:t>
      </w:r>
      <w:r w:rsidRPr="01A50016">
        <w:rPr>
          <w:rFonts w:ascii="Times New Roman" w:hAnsi="Times New Roman" w:cs="Times New Roman"/>
        </w:rPr>
        <w:t xml:space="preserve"> community bank lending</w:t>
      </w:r>
      <w:r w:rsidR="0314B561" w:rsidRPr="01A50016">
        <w:rPr>
          <w:rFonts w:ascii="Times New Roman" w:hAnsi="Times New Roman" w:cs="Times New Roman"/>
        </w:rPr>
        <w:t xml:space="preserve"> capacity, resulting in a</w:t>
      </w:r>
      <w:r w:rsidRPr="01A50016">
        <w:rPr>
          <w:rFonts w:ascii="Times New Roman" w:hAnsi="Times New Roman" w:cs="Times New Roman"/>
        </w:rPr>
        <w:t xml:space="preserve"> credit vacuum</w:t>
      </w:r>
      <w:r w:rsidR="45DEA4C4" w:rsidRPr="01A50016">
        <w:rPr>
          <w:rFonts w:ascii="Times New Roman" w:hAnsi="Times New Roman" w:cs="Times New Roman"/>
        </w:rPr>
        <w:t xml:space="preserve">. </w:t>
      </w:r>
      <w:r w:rsidR="4D7F9610" w:rsidRPr="01A50016">
        <w:rPr>
          <w:rFonts w:ascii="Times New Roman" w:hAnsi="Times New Roman" w:cs="Times New Roman"/>
        </w:rPr>
        <w:t>O</w:t>
      </w:r>
      <w:r w:rsidRPr="01A50016">
        <w:rPr>
          <w:rFonts w:ascii="Times New Roman" w:hAnsi="Times New Roman" w:cs="Times New Roman"/>
        </w:rPr>
        <w:t>nly community banks have a vested interest in and demonstrated commitment to Main Street economies.</w:t>
      </w:r>
    </w:p>
    <w:p w14:paraId="4039A13E" w14:textId="7BDAB4A6" w:rsidR="00403366" w:rsidRPr="00403366" w:rsidRDefault="00403366" w:rsidP="00AF1501">
      <w:pPr>
        <w:spacing w:after="109" w:line="259" w:lineRule="auto"/>
        <w:ind w:left="0" w:right="0" w:firstLine="0"/>
        <w:contextualSpacing/>
        <w:rPr>
          <w:rFonts w:ascii="Times New Roman" w:hAnsi="Times New Roman" w:cs="Times New Roman"/>
        </w:rPr>
      </w:pPr>
      <w:r w:rsidRPr="00403366">
        <w:rPr>
          <w:rFonts w:ascii="Times New Roman" w:hAnsi="Times New Roman" w:cs="Times New Roman"/>
          <w:b/>
          <w:bCs/>
        </w:rPr>
        <w:lastRenderedPageBreak/>
        <w:t>The research clearly shows that payment of yield, interest or rewards on payment stablecoin holdings will reduce community bank lending capacity</w:t>
      </w:r>
      <w:r w:rsidRPr="00403366">
        <w:rPr>
          <w:rFonts w:ascii="Times New Roman" w:hAnsi="Times New Roman" w:cs="Times New Roman"/>
        </w:rPr>
        <w:t>. Based on new macroeconomic modeling, ICBA estimates that the growth of the stablecoin market resulting from payment of yield or interest on stablecoins will significantly reduce community banks’ ability to support local lending needs. The projected $1.3 trillion reduction of the $4.8 trillion in total deposits held by community banks could result in an $850 billion decline in lending activity.</w:t>
      </w:r>
      <w:r w:rsidR="00FC1385">
        <w:rPr>
          <w:rStyle w:val="FootnoteReference"/>
          <w:rFonts w:ascii="Times New Roman" w:hAnsi="Times New Roman" w:cs="Times New Roman"/>
        </w:rPr>
        <w:footnoteReference w:id="1"/>
      </w:r>
      <w:r w:rsidRPr="00403366">
        <w:rPr>
          <w:rFonts w:ascii="Times New Roman" w:hAnsi="Times New Roman" w:cs="Times New Roman"/>
        </w:rPr>
        <w:t xml:space="preserve"> These findings are also validated by independent research conducted by the Federal Reserve, which estimates that a high-adoption scenario could see $1 trillion in deposits leaving the banking system and a plunge in lending of $1.26 trillion.</w:t>
      </w:r>
      <w:r w:rsidR="005C409E">
        <w:rPr>
          <w:rStyle w:val="FootnoteReference"/>
          <w:rFonts w:ascii="Times New Roman" w:hAnsi="Times New Roman" w:cs="Times New Roman"/>
        </w:rPr>
        <w:footnoteReference w:id="2"/>
      </w:r>
      <w:r w:rsidRPr="00403366">
        <w:rPr>
          <w:rFonts w:ascii="Times New Roman" w:hAnsi="Times New Roman" w:cs="Times New Roman"/>
        </w:rPr>
        <w:t xml:space="preserve"> Treasury Secretary Bessent predicted that the total payment stablecoin market will reach $3 trillion by 2030.</w:t>
      </w:r>
      <w:r w:rsidR="00D950F3">
        <w:rPr>
          <w:rStyle w:val="FootnoteReference"/>
          <w:rFonts w:ascii="Times New Roman" w:hAnsi="Times New Roman" w:cs="Times New Roman"/>
        </w:rPr>
        <w:footnoteReference w:id="3"/>
      </w:r>
    </w:p>
    <w:p w14:paraId="78266BD2" w14:textId="77777777" w:rsidR="00BE01BE" w:rsidRDefault="00BE01BE" w:rsidP="00AF1501">
      <w:pPr>
        <w:spacing w:after="109" w:line="259" w:lineRule="auto"/>
        <w:ind w:left="0" w:right="0" w:firstLine="0"/>
        <w:contextualSpacing/>
        <w:rPr>
          <w:rFonts w:ascii="Times New Roman" w:hAnsi="Times New Roman" w:cs="Times New Roman"/>
        </w:rPr>
      </w:pPr>
    </w:p>
    <w:p w14:paraId="7DEBACC0" w14:textId="162081F6" w:rsidR="00403366" w:rsidRDefault="00403366" w:rsidP="00AF1501">
      <w:pPr>
        <w:spacing w:after="109" w:line="259" w:lineRule="auto"/>
        <w:ind w:left="0" w:right="0" w:firstLine="0"/>
        <w:contextualSpacing/>
        <w:rPr>
          <w:rFonts w:ascii="Times New Roman" w:hAnsi="Times New Roman" w:cs="Times New Roman"/>
        </w:rPr>
      </w:pPr>
      <w:r w:rsidRPr="00403366">
        <w:rPr>
          <w:rFonts w:ascii="Times New Roman" w:hAnsi="Times New Roman" w:cs="Times New Roman"/>
        </w:rPr>
        <w:t>America’s small businesses, farmers, ranchers, and rural communities stand to lose access to credit if this deposit flight occurs, stifling innovation and small business expansion, reducing job creation, and hindering economic growth in communities across the country.</w:t>
      </w:r>
    </w:p>
    <w:p w14:paraId="6312EBBE" w14:textId="77777777" w:rsidR="005806CD" w:rsidRPr="00403366" w:rsidRDefault="005806CD" w:rsidP="00AF1501">
      <w:pPr>
        <w:spacing w:after="109" w:line="259" w:lineRule="auto"/>
        <w:ind w:left="0" w:right="0" w:firstLine="0"/>
        <w:contextualSpacing/>
        <w:rPr>
          <w:rFonts w:ascii="Times New Roman" w:hAnsi="Times New Roman" w:cs="Times New Roman"/>
        </w:rPr>
      </w:pPr>
    </w:p>
    <w:p w14:paraId="554F2ACC" w14:textId="77777777" w:rsidR="00403366" w:rsidRPr="00403366" w:rsidRDefault="00403366" w:rsidP="00AF1501">
      <w:pPr>
        <w:spacing w:after="109" w:line="259" w:lineRule="auto"/>
        <w:ind w:left="0" w:right="0" w:firstLine="0"/>
        <w:contextualSpacing/>
        <w:rPr>
          <w:rFonts w:ascii="Times New Roman" w:hAnsi="Times New Roman" w:cs="Times New Roman"/>
        </w:rPr>
      </w:pPr>
      <w:r w:rsidRPr="00403366">
        <w:rPr>
          <w:rFonts w:ascii="Times New Roman" w:hAnsi="Times New Roman" w:cs="Times New Roman"/>
        </w:rPr>
        <w:t>Congress must balance financial innovation with the foundational role that bank deposits play in supporting lending, economic growth, and community development.</w:t>
      </w:r>
    </w:p>
    <w:p w14:paraId="5929C76C" w14:textId="77777777" w:rsidR="00403366" w:rsidRPr="00403366" w:rsidRDefault="00403366" w:rsidP="00AF1501">
      <w:pPr>
        <w:spacing w:after="109" w:line="259" w:lineRule="auto"/>
        <w:ind w:left="0" w:right="0" w:firstLine="0"/>
        <w:contextualSpacing/>
        <w:rPr>
          <w:rFonts w:ascii="Times New Roman" w:hAnsi="Times New Roman" w:cs="Times New Roman"/>
        </w:rPr>
      </w:pPr>
    </w:p>
    <w:p w14:paraId="32D468FB" w14:textId="77777777" w:rsidR="00403366" w:rsidRPr="00403366" w:rsidRDefault="00403366" w:rsidP="00AF1501">
      <w:pPr>
        <w:spacing w:after="109" w:line="259" w:lineRule="auto"/>
        <w:ind w:left="0" w:right="0" w:firstLine="0"/>
        <w:contextualSpacing/>
        <w:rPr>
          <w:rFonts w:ascii="Times New Roman" w:hAnsi="Times New Roman" w:cs="Times New Roman"/>
          <w:b/>
          <w:bCs/>
          <w:sz w:val="28"/>
          <w:szCs w:val="28"/>
        </w:rPr>
      </w:pPr>
      <w:r w:rsidRPr="00403366">
        <w:rPr>
          <w:rFonts w:ascii="Times New Roman" w:hAnsi="Times New Roman" w:cs="Times New Roman"/>
          <w:b/>
          <w:bCs/>
          <w:sz w:val="28"/>
          <w:szCs w:val="28"/>
        </w:rPr>
        <w:t>Congress Must Amend Section 404 of the CLARITY Act</w:t>
      </w:r>
    </w:p>
    <w:p w14:paraId="19CC2A7F" w14:textId="77777777" w:rsidR="00403366" w:rsidRPr="00403366" w:rsidRDefault="00403366" w:rsidP="00AF1501">
      <w:pPr>
        <w:spacing w:after="109" w:line="259" w:lineRule="auto"/>
        <w:ind w:left="0" w:right="0" w:firstLine="0"/>
        <w:contextualSpacing/>
        <w:rPr>
          <w:rFonts w:ascii="Times New Roman" w:hAnsi="Times New Roman" w:cs="Times New Roman"/>
          <w:b/>
          <w:bCs/>
        </w:rPr>
      </w:pPr>
    </w:p>
    <w:p w14:paraId="4886FE49" w14:textId="77777777" w:rsidR="00403366" w:rsidRDefault="00403366" w:rsidP="00AF1501">
      <w:pPr>
        <w:spacing w:after="109" w:line="259" w:lineRule="auto"/>
        <w:ind w:left="0" w:right="0" w:firstLine="0"/>
        <w:contextualSpacing/>
        <w:rPr>
          <w:rFonts w:ascii="Times New Roman" w:hAnsi="Times New Roman" w:cs="Times New Roman"/>
        </w:rPr>
      </w:pPr>
      <w:r w:rsidRPr="00403366">
        <w:rPr>
          <w:rFonts w:ascii="Times New Roman" w:hAnsi="Times New Roman" w:cs="Times New Roman"/>
        </w:rPr>
        <w:t xml:space="preserve">ICBA appreciates the work of the Banking Committee in considering complex issues related to digital assets. However, we believe the prohibition on payments of interest or yield (Section 404) is narrow and ineffective. The prohibition contains broad exceptions and open-ended rulemaking authority that would further undermine or contradict the general prohibition. The enforcement framework is inadequate to deter violations. </w:t>
      </w:r>
    </w:p>
    <w:p w14:paraId="3249CF57" w14:textId="77777777" w:rsidR="00A906E4" w:rsidRDefault="00A906E4" w:rsidP="00AF1501">
      <w:pPr>
        <w:spacing w:after="109" w:line="259" w:lineRule="auto"/>
        <w:ind w:left="0" w:right="0" w:firstLine="0"/>
        <w:contextualSpacing/>
        <w:rPr>
          <w:rFonts w:ascii="Times New Roman" w:hAnsi="Times New Roman" w:cs="Times New Roman"/>
        </w:rPr>
      </w:pPr>
    </w:p>
    <w:p w14:paraId="6B11C659" w14:textId="2D8D90A8" w:rsidR="000C1A8E" w:rsidRDefault="00A906E4" w:rsidP="01A50016">
      <w:pPr>
        <w:spacing w:after="109" w:line="259" w:lineRule="auto"/>
        <w:ind w:left="0" w:right="0" w:firstLine="0"/>
        <w:contextualSpacing/>
        <w:rPr>
          <w:rFonts w:ascii="Times New Roman" w:hAnsi="Times New Roman" w:cs="Times New Roman"/>
        </w:rPr>
      </w:pPr>
      <w:r w:rsidRPr="01A50016">
        <w:rPr>
          <w:rFonts w:ascii="Times New Roman" w:hAnsi="Times New Roman" w:cs="Times New Roman"/>
          <w:b/>
          <w:bCs/>
          <w:sz w:val="28"/>
          <w:szCs w:val="28"/>
        </w:rPr>
        <w:t xml:space="preserve">Attachment: </w:t>
      </w:r>
      <w:r w:rsidRPr="01A50016">
        <w:rPr>
          <w:rFonts w:ascii="Times New Roman" w:hAnsi="Times New Roman" w:cs="Times New Roman"/>
        </w:rPr>
        <w:t xml:space="preserve">Recommended </w:t>
      </w:r>
      <w:r w:rsidR="51B2A761" w:rsidRPr="01A50016">
        <w:rPr>
          <w:rFonts w:ascii="Times New Roman" w:hAnsi="Times New Roman" w:cs="Times New Roman"/>
        </w:rPr>
        <w:t xml:space="preserve">technical </w:t>
      </w:r>
      <w:r w:rsidRPr="01A50016">
        <w:rPr>
          <w:rFonts w:ascii="Times New Roman" w:hAnsi="Times New Roman" w:cs="Times New Roman"/>
        </w:rPr>
        <w:t>changes to Section 404 of the CLARITY Act to</w:t>
      </w:r>
      <w:r w:rsidR="00403366" w:rsidRPr="01A50016">
        <w:rPr>
          <w:rFonts w:ascii="Times New Roman" w:hAnsi="Times New Roman" w:cs="Times New Roman"/>
        </w:rPr>
        <w:t xml:space="preserve"> more effectively prohibit </w:t>
      </w:r>
      <w:r w:rsidR="6D450333" w:rsidRPr="01A50016">
        <w:rPr>
          <w:rFonts w:ascii="Times New Roman" w:hAnsi="Times New Roman" w:cs="Times New Roman"/>
        </w:rPr>
        <w:t>yield</w:t>
      </w:r>
      <w:r w:rsidR="00403366" w:rsidRPr="01A50016">
        <w:rPr>
          <w:rFonts w:ascii="Times New Roman" w:hAnsi="Times New Roman" w:cs="Times New Roman"/>
        </w:rPr>
        <w:t xml:space="preserve">-like payments on </w:t>
      </w:r>
      <w:proofErr w:type="gramStart"/>
      <w:r w:rsidR="00403366" w:rsidRPr="01A50016">
        <w:rPr>
          <w:rFonts w:ascii="Times New Roman" w:hAnsi="Times New Roman" w:cs="Times New Roman"/>
        </w:rPr>
        <w:t>stablecoin</w:t>
      </w:r>
      <w:proofErr w:type="gramEnd"/>
      <w:r w:rsidR="00403366" w:rsidRPr="01A50016">
        <w:rPr>
          <w:rFonts w:ascii="Times New Roman" w:hAnsi="Times New Roman" w:cs="Times New Roman"/>
        </w:rPr>
        <w:t xml:space="preserve"> balances. These changes are endorsed by ICBA, the American Bankers Association, the Bank Policy Institute, The Consumer Bankers Association, the Financial Services Forum, and the National Bankers Association.</w:t>
      </w:r>
    </w:p>
    <w:p w14:paraId="2AF34989" w14:textId="77777777" w:rsidR="000C1A8E" w:rsidRDefault="000C1A8E">
      <w:pPr>
        <w:widowControl w:val="0"/>
        <w:autoSpaceDE w:val="0"/>
        <w:autoSpaceDN w:val="0"/>
        <w:spacing w:line="240" w:lineRule="auto"/>
        <w:ind w:left="0" w:right="0" w:firstLine="0"/>
        <w:rPr>
          <w:rFonts w:ascii="Times New Roman" w:hAnsi="Times New Roman" w:cs="Times New Roman"/>
        </w:rPr>
      </w:pPr>
      <w:r>
        <w:rPr>
          <w:rFonts w:ascii="Times New Roman" w:hAnsi="Times New Roman" w:cs="Times New Roman"/>
        </w:rPr>
        <w:br w:type="page"/>
      </w:r>
    </w:p>
    <w:p w14:paraId="027D256F" w14:textId="77777777" w:rsidR="000C1A8E" w:rsidRDefault="000C1A8E" w:rsidP="000C1A8E">
      <w:pPr>
        <w:jc w:val="center"/>
        <w:rPr>
          <w:rFonts w:ascii="Times New Roman" w:hAnsi="Times New Roman" w:cs="Times New Roman"/>
          <w:b/>
          <w:bCs/>
          <w:sz w:val="28"/>
          <w:szCs w:val="28"/>
        </w:rPr>
      </w:pPr>
      <w:r w:rsidRPr="1026E23B">
        <w:rPr>
          <w:rFonts w:ascii="Times New Roman" w:hAnsi="Times New Roman" w:cs="Times New Roman"/>
          <w:b/>
          <w:bCs/>
          <w:sz w:val="28"/>
          <w:szCs w:val="28"/>
        </w:rPr>
        <w:lastRenderedPageBreak/>
        <w:t>Recommended Revisions to Create Strong and Effective Section 404 Prohibition</w:t>
      </w:r>
    </w:p>
    <w:p w14:paraId="400CAC5A" w14:textId="77777777" w:rsidR="000C1A8E" w:rsidRPr="00BF4F68" w:rsidRDefault="000C1A8E" w:rsidP="000C1A8E">
      <w:pPr>
        <w:jc w:val="center"/>
        <w:rPr>
          <w:rFonts w:ascii="Times New Roman" w:hAnsi="Times New Roman" w:cs="Times New Roman"/>
          <w:b/>
          <w:bCs/>
          <w:sz w:val="28"/>
          <w:szCs w:val="28"/>
        </w:rPr>
      </w:pPr>
    </w:p>
    <w:p w14:paraId="1611BBB7" w14:textId="77777777" w:rsidR="000C1A8E" w:rsidRPr="00BF4F68" w:rsidRDefault="000C1A8E" w:rsidP="000C1A8E">
      <w:pPr>
        <w:rPr>
          <w:rFonts w:ascii="Times New Roman" w:hAnsi="Times New Roman" w:cs="Times New Roman"/>
        </w:rPr>
      </w:pPr>
      <w:r>
        <w:rPr>
          <w:rFonts w:ascii="Times New Roman" w:hAnsi="Times New Roman" w:cs="Times New Roman"/>
        </w:rPr>
        <w:t>ICBA, ABA, BPI, CBA, the Financial Services Forum, and NBA</w:t>
      </w:r>
      <w:r w:rsidRPr="00BF4F68">
        <w:rPr>
          <w:rFonts w:ascii="Times New Roman" w:hAnsi="Times New Roman" w:cs="Times New Roman"/>
        </w:rPr>
        <w:t xml:space="preserve"> recommend the following revisions to Section 404(c)(1) to clarify the scope and meaning of the prohibition on interest and yield: </w:t>
      </w:r>
    </w:p>
    <w:p w14:paraId="415B0B4A" w14:textId="77777777" w:rsidR="000C1A8E" w:rsidRPr="00BF4F68" w:rsidRDefault="000C1A8E" w:rsidP="000C1A8E">
      <w:pPr>
        <w:pStyle w:val="ListParagraph"/>
        <w:widowControl/>
        <w:numPr>
          <w:ilvl w:val="0"/>
          <w:numId w:val="4"/>
        </w:numPr>
        <w:autoSpaceDE/>
        <w:autoSpaceDN/>
        <w:spacing w:after="160" w:line="278" w:lineRule="auto"/>
        <w:rPr>
          <w:rFonts w:ascii="Times New Roman" w:hAnsi="Times New Roman"/>
        </w:rPr>
      </w:pPr>
      <w:r w:rsidRPr="00BF4F68">
        <w:rPr>
          <w:rFonts w:ascii="Times New Roman" w:hAnsi="Times New Roman"/>
        </w:rPr>
        <w:t xml:space="preserve">We urge that “solely” be removed from (1)(A) and that “on a payment stablecoin balance” and “on an interest-bearing bank deposit” be removed from (1)(B). </w:t>
      </w:r>
    </w:p>
    <w:p w14:paraId="5CCCDC04" w14:textId="77777777" w:rsidR="000C1A8E" w:rsidRPr="00BF4F68" w:rsidRDefault="000C1A8E" w:rsidP="000C1A8E">
      <w:pPr>
        <w:pStyle w:val="ListParagraph"/>
        <w:widowControl/>
        <w:numPr>
          <w:ilvl w:val="0"/>
          <w:numId w:val="4"/>
        </w:numPr>
        <w:autoSpaceDE/>
        <w:autoSpaceDN/>
        <w:spacing w:after="160" w:line="278" w:lineRule="auto"/>
        <w:rPr>
          <w:rFonts w:ascii="Times New Roman" w:hAnsi="Times New Roman"/>
        </w:rPr>
      </w:pPr>
      <w:r w:rsidRPr="00BF4F68">
        <w:rPr>
          <w:rFonts w:ascii="Times New Roman" w:hAnsi="Times New Roman"/>
        </w:rPr>
        <w:t xml:space="preserve">In addition, we recommend replacing the functional and economic equivalence standard with one evaluating substantial similarity in (1)(B). </w:t>
      </w:r>
    </w:p>
    <w:p w14:paraId="3A215FE4" w14:textId="77777777" w:rsidR="000C1A8E" w:rsidRPr="00BF4F68" w:rsidRDefault="000C1A8E" w:rsidP="000C1A8E">
      <w:pPr>
        <w:rPr>
          <w:rFonts w:ascii="Times New Roman" w:hAnsi="Times New Roman" w:cs="Times New Roman"/>
        </w:rPr>
      </w:pPr>
      <w:r w:rsidRPr="00BF4F68">
        <w:rPr>
          <w:rFonts w:ascii="Times New Roman" w:hAnsi="Times New Roman" w:cs="Times New Roman"/>
        </w:rPr>
        <w:t xml:space="preserve">The prohibition in amended Section 404 would thus read as follows: </w:t>
      </w:r>
    </w:p>
    <w:p w14:paraId="2D6890E3" w14:textId="77777777" w:rsidR="000C1A8E" w:rsidRPr="00BF4F68" w:rsidRDefault="000C1A8E" w:rsidP="000C1A8E">
      <w:pPr>
        <w:ind w:left="720"/>
        <w:rPr>
          <w:rFonts w:ascii="Times New Roman" w:hAnsi="Times New Roman" w:cs="Times New Roman"/>
        </w:rPr>
      </w:pPr>
      <w:r w:rsidRPr="00BF4F68">
        <w:rPr>
          <w:rFonts w:ascii="Times New Roman" w:hAnsi="Times New Roman" w:cs="Times New Roman"/>
        </w:rPr>
        <w:t>(1) IN GENERAL. --No covered party shall, directly or indirectly, pay any form of interest or yield (whether in cash, tokens, or other consideration) to a restricted recipient—</w:t>
      </w:r>
    </w:p>
    <w:p w14:paraId="1F8B0CE3" w14:textId="77777777" w:rsidR="000C1A8E" w:rsidRPr="00BF4F68" w:rsidRDefault="000C1A8E" w:rsidP="000C1A8E">
      <w:pPr>
        <w:ind w:left="720"/>
        <w:rPr>
          <w:rFonts w:ascii="Times New Roman" w:hAnsi="Times New Roman" w:cs="Times New Roman"/>
        </w:rPr>
      </w:pPr>
      <w:r w:rsidRPr="00BF4F68">
        <w:rPr>
          <w:rFonts w:ascii="Times New Roman" w:hAnsi="Times New Roman" w:cs="Times New Roman"/>
        </w:rPr>
        <w:t xml:space="preserve">(A) </w:t>
      </w:r>
      <w:r w:rsidRPr="00BF4F68">
        <w:rPr>
          <w:rFonts w:ascii="Times New Roman" w:hAnsi="Times New Roman" w:cs="Times New Roman"/>
          <w:strike/>
          <w:highlight w:val="yellow"/>
        </w:rPr>
        <w:t>solely</w:t>
      </w:r>
      <w:r w:rsidRPr="00BF4F68">
        <w:rPr>
          <w:rFonts w:ascii="Times New Roman" w:hAnsi="Times New Roman" w:cs="Times New Roman"/>
        </w:rPr>
        <w:t xml:space="preserve"> in connection with the holding of such recipient’s payment stablecoins; or </w:t>
      </w:r>
    </w:p>
    <w:p w14:paraId="347A31B0" w14:textId="77777777" w:rsidR="000C1A8E" w:rsidRPr="00BF4F68" w:rsidRDefault="000C1A8E" w:rsidP="000C1A8E">
      <w:pPr>
        <w:ind w:left="720"/>
        <w:rPr>
          <w:rFonts w:ascii="Times New Roman" w:hAnsi="Times New Roman" w:cs="Times New Roman"/>
        </w:rPr>
      </w:pPr>
      <w:r w:rsidRPr="00BF4F68">
        <w:rPr>
          <w:rFonts w:ascii="Times New Roman" w:hAnsi="Times New Roman" w:cs="Times New Roman"/>
        </w:rPr>
        <w:t xml:space="preserve">(B) </w:t>
      </w:r>
      <w:r w:rsidRPr="00BF4F68">
        <w:rPr>
          <w:rFonts w:ascii="Times New Roman" w:hAnsi="Times New Roman" w:cs="Times New Roman"/>
          <w:strike/>
          <w:highlight w:val="yellow"/>
        </w:rPr>
        <w:t>on a payment stablecoin balance</w:t>
      </w:r>
      <w:r w:rsidRPr="00BF4F68">
        <w:rPr>
          <w:rFonts w:ascii="Times New Roman" w:hAnsi="Times New Roman" w:cs="Times New Roman"/>
        </w:rPr>
        <w:t xml:space="preserve"> in a manner that is </w:t>
      </w:r>
      <w:r w:rsidRPr="00BF4F68">
        <w:rPr>
          <w:rFonts w:ascii="Times New Roman" w:hAnsi="Times New Roman" w:cs="Times New Roman"/>
          <w:strike/>
          <w:highlight w:val="yellow"/>
        </w:rPr>
        <w:t>economically or functionally equivalent</w:t>
      </w:r>
      <w:r w:rsidRPr="00BF4F68">
        <w:rPr>
          <w:rFonts w:ascii="Times New Roman" w:hAnsi="Times New Roman" w:cs="Times New Roman"/>
          <w:strike/>
        </w:rPr>
        <w:t xml:space="preserve"> </w:t>
      </w:r>
      <w:r w:rsidRPr="00BF4F68">
        <w:rPr>
          <w:rFonts w:ascii="Times New Roman" w:hAnsi="Times New Roman" w:cs="Times New Roman"/>
          <w:u w:val="single"/>
        </w:rPr>
        <w:t xml:space="preserve">substantially </w:t>
      </w:r>
      <w:proofErr w:type="gramStart"/>
      <w:r w:rsidRPr="00BF4F68">
        <w:rPr>
          <w:rFonts w:ascii="Times New Roman" w:hAnsi="Times New Roman" w:cs="Times New Roman"/>
          <w:u w:val="single"/>
        </w:rPr>
        <w:t>similar to</w:t>
      </w:r>
      <w:proofErr w:type="gramEnd"/>
      <w:r w:rsidRPr="00BF4F68">
        <w:rPr>
          <w:rFonts w:ascii="Times New Roman" w:hAnsi="Times New Roman" w:cs="Times New Roman"/>
          <w:u w:val="single"/>
        </w:rPr>
        <w:t xml:space="preserve"> the </w:t>
      </w:r>
      <w:proofErr w:type="gramStart"/>
      <w:r w:rsidRPr="00BF4F68">
        <w:rPr>
          <w:rFonts w:ascii="Times New Roman" w:hAnsi="Times New Roman" w:cs="Times New Roman"/>
          <w:u w:val="single"/>
        </w:rPr>
        <w:t>manner in which</w:t>
      </w:r>
      <w:proofErr w:type="gramEnd"/>
      <w:r w:rsidRPr="00BF4F68">
        <w:rPr>
          <w:rFonts w:ascii="Times New Roman" w:hAnsi="Times New Roman" w:cs="Times New Roman"/>
          <w:u w:val="single"/>
        </w:rPr>
        <w:t xml:space="preserve"> banking organizations pay</w:t>
      </w:r>
      <w:r w:rsidRPr="00BF4F68">
        <w:rPr>
          <w:rFonts w:ascii="Times New Roman" w:hAnsi="Times New Roman" w:cs="Times New Roman"/>
          <w:strike/>
          <w:highlight w:val="yellow"/>
        </w:rPr>
        <w:t>ment</w:t>
      </w:r>
      <w:r w:rsidRPr="00BF4F68">
        <w:rPr>
          <w:rFonts w:ascii="Times New Roman" w:hAnsi="Times New Roman" w:cs="Times New Roman"/>
          <w:strike/>
        </w:rPr>
        <w:t xml:space="preserve"> </w:t>
      </w:r>
      <w:r w:rsidRPr="00BF4F68">
        <w:rPr>
          <w:rFonts w:ascii="Times New Roman" w:hAnsi="Times New Roman" w:cs="Times New Roman"/>
          <w:strike/>
          <w:highlight w:val="yellow"/>
        </w:rPr>
        <w:t>of</w:t>
      </w:r>
      <w:r w:rsidRPr="00BF4F68">
        <w:rPr>
          <w:rFonts w:ascii="Times New Roman" w:hAnsi="Times New Roman" w:cs="Times New Roman"/>
          <w:strike/>
        </w:rPr>
        <w:t xml:space="preserve"> </w:t>
      </w:r>
      <w:r w:rsidRPr="00BF4F68">
        <w:rPr>
          <w:rFonts w:ascii="Times New Roman" w:hAnsi="Times New Roman" w:cs="Times New Roman"/>
        </w:rPr>
        <w:t xml:space="preserve">interest or yield </w:t>
      </w:r>
      <w:r w:rsidRPr="00BF4F68">
        <w:rPr>
          <w:rFonts w:ascii="Times New Roman" w:hAnsi="Times New Roman" w:cs="Times New Roman"/>
          <w:strike/>
          <w:highlight w:val="yellow"/>
        </w:rPr>
        <w:t xml:space="preserve">on an </w:t>
      </w:r>
      <w:proofErr w:type="gramStart"/>
      <w:r w:rsidRPr="00BF4F68">
        <w:rPr>
          <w:rFonts w:ascii="Times New Roman" w:hAnsi="Times New Roman" w:cs="Times New Roman"/>
          <w:strike/>
          <w:highlight w:val="yellow"/>
        </w:rPr>
        <w:t>interest bearing</w:t>
      </w:r>
      <w:proofErr w:type="gramEnd"/>
      <w:r w:rsidRPr="00BF4F68">
        <w:rPr>
          <w:rFonts w:ascii="Times New Roman" w:hAnsi="Times New Roman" w:cs="Times New Roman"/>
          <w:strike/>
          <w:highlight w:val="yellow"/>
        </w:rPr>
        <w:t xml:space="preserve"> bank deposit</w:t>
      </w:r>
      <w:r w:rsidRPr="00BF4F68">
        <w:rPr>
          <w:rFonts w:ascii="Times New Roman" w:hAnsi="Times New Roman" w:cs="Times New Roman"/>
        </w:rPr>
        <w:t xml:space="preserve">. </w:t>
      </w:r>
    </w:p>
    <w:p w14:paraId="4ED102E1" w14:textId="77777777" w:rsidR="000C1A8E" w:rsidRPr="00BF4F68" w:rsidRDefault="000C1A8E" w:rsidP="000C1A8E">
      <w:pPr>
        <w:rPr>
          <w:rFonts w:ascii="Times New Roman" w:hAnsi="Times New Roman" w:cs="Times New Roman"/>
        </w:rPr>
      </w:pPr>
      <w:r w:rsidRPr="00BF4F68">
        <w:rPr>
          <w:rFonts w:ascii="Times New Roman" w:hAnsi="Times New Roman" w:cs="Times New Roman"/>
        </w:rPr>
        <w:t xml:space="preserve">For consistency, the “substantially similar” test would replace the “functional and economic equivalent” test where it appears elsewhere in Section 404. </w:t>
      </w:r>
    </w:p>
    <w:p w14:paraId="436858B1" w14:textId="77777777" w:rsidR="000C1A8E" w:rsidRPr="00BF4F68" w:rsidRDefault="000C1A8E" w:rsidP="000C1A8E">
      <w:pPr>
        <w:rPr>
          <w:rFonts w:ascii="Times New Roman" w:hAnsi="Times New Roman" w:cs="Times New Roman"/>
          <w:b/>
          <w:bCs/>
        </w:rPr>
      </w:pPr>
      <w:r w:rsidRPr="00BF4F68">
        <w:rPr>
          <w:rFonts w:ascii="Times New Roman" w:hAnsi="Times New Roman" w:cs="Times New Roman"/>
          <w:b/>
          <w:bCs/>
        </w:rPr>
        <w:t xml:space="preserve">Avoid Introducing Ambiguity that Contradicts the Objective of the Prohibition </w:t>
      </w:r>
    </w:p>
    <w:p w14:paraId="151F47CF" w14:textId="77777777" w:rsidR="000C1A8E" w:rsidRPr="00BF4F68" w:rsidRDefault="000C1A8E" w:rsidP="000C1A8E">
      <w:pPr>
        <w:rPr>
          <w:rFonts w:ascii="Times New Roman" w:hAnsi="Times New Roman" w:cs="Times New Roman"/>
        </w:rPr>
      </w:pPr>
      <w:r w:rsidRPr="00BF4F68">
        <w:rPr>
          <w:rFonts w:ascii="Times New Roman" w:hAnsi="Times New Roman" w:cs="Times New Roman"/>
        </w:rPr>
        <w:t xml:space="preserve">Section 404 requires joint agency regulations that allow digital asset service providers and their affiliates to pay consideration, rewards, or benefits calculated by reference to duration, balance and tenure. Given that interest payments are often calculated by reference to duration, balance and tenure, this subsection appears contradictory to the initial prohibition. Removing this provision aligns with our shared objective to not incentivize the idle holding of payment stablecoins for extended periods of time. Retaining this section would negate the goals of the upfront prohibition (to deter deposit flight) while tying rewards directly to how much and for how long customers hold payment stablecoins in wallets or exchanges. </w:t>
      </w:r>
    </w:p>
    <w:p w14:paraId="6C128AF1" w14:textId="77777777" w:rsidR="000C1A8E" w:rsidRPr="00BF4F68" w:rsidRDefault="000C1A8E" w:rsidP="000C1A8E">
      <w:pPr>
        <w:rPr>
          <w:rFonts w:ascii="Times New Roman" w:hAnsi="Times New Roman" w:cs="Times New Roman"/>
        </w:rPr>
      </w:pPr>
      <w:r w:rsidRPr="00BF4F68">
        <w:rPr>
          <w:rFonts w:ascii="Times New Roman" w:hAnsi="Times New Roman" w:cs="Times New Roman"/>
          <w:b/>
          <w:bCs/>
        </w:rPr>
        <w:t>Recommendation:</w:t>
      </w:r>
      <w:r w:rsidRPr="00BF4F68">
        <w:rPr>
          <w:rFonts w:ascii="Times New Roman" w:hAnsi="Times New Roman" w:cs="Times New Roman"/>
        </w:rPr>
        <w:t xml:space="preserve"> We urge that the subsection (3)(B) be removed in its entirety. </w:t>
      </w:r>
    </w:p>
    <w:p w14:paraId="1E6928FA" w14:textId="77777777" w:rsidR="000C1A8E" w:rsidRPr="00BF4F68" w:rsidRDefault="000C1A8E" w:rsidP="000C1A8E">
      <w:pPr>
        <w:ind w:left="720"/>
        <w:rPr>
          <w:rFonts w:ascii="Times New Roman" w:hAnsi="Times New Roman" w:cs="Times New Roman"/>
          <w:strike/>
        </w:rPr>
      </w:pPr>
      <w:r w:rsidRPr="00BF4F68">
        <w:rPr>
          <w:rFonts w:ascii="Times New Roman" w:hAnsi="Times New Roman" w:cs="Times New Roman"/>
          <w:strike/>
          <w:highlight w:val="yellow"/>
        </w:rPr>
        <w:t>(B) For the avoidance of doubt, payments to restricted recipients of consideration, rewards, or benefits that are permissible pursuant to paragraph (2) and subparagraph (A) may be calculated by reference to a balance, duration, tenure, or any combination of the foregoing.</w:t>
      </w:r>
    </w:p>
    <w:p w14:paraId="4964729B" w14:textId="77777777" w:rsidR="00403366" w:rsidRPr="0077288A" w:rsidRDefault="00403366" w:rsidP="01A50016">
      <w:pPr>
        <w:spacing w:after="109" w:line="259" w:lineRule="auto"/>
        <w:ind w:left="0" w:right="0" w:firstLine="0"/>
        <w:contextualSpacing/>
        <w:rPr>
          <w:rFonts w:ascii="Times New Roman" w:hAnsi="Times New Roman" w:cs="Times New Roman"/>
          <w:b/>
          <w:bCs/>
          <w:sz w:val="28"/>
          <w:szCs w:val="28"/>
        </w:rPr>
      </w:pPr>
    </w:p>
    <w:sectPr w:rsidR="00403366" w:rsidRPr="0077288A" w:rsidSect="003D38FD">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5DFB7" w14:textId="77777777" w:rsidR="00DF703E" w:rsidRDefault="00DF703E" w:rsidP="00F04057">
      <w:r>
        <w:separator/>
      </w:r>
    </w:p>
    <w:p w14:paraId="0B2450AA" w14:textId="77777777" w:rsidR="00DF703E" w:rsidRDefault="00DF703E"/>
  </w:endnote>
  <w:endnote w:type="continuationSeparator" w:id="0">
    <w:p w14:paraId="6496318A" w14:textId="77777777" w:rsidR="00DF703E" w:rsidRDefault="00DF703E" w:rsidP="00F04057">
      <w:r>
        <w:continuationSeparator/>
      </w:r>
    </w:p>
    <w:p w14:paraId="70F76E12" w14:textId="77777777" w:rsidR="00DF703E" w:rsidRDefault="00DF7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Content>
      <w:p w14:paraId="0155C94D" w14:textId="77777777" w:rsidR="0074747E" w:rsidRDefault="0074747E" w:rsidP="00722454">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Content>
      <w:p w14:paraId="53182F91" w14:textId="77777777" w:rsidR="0074747E" w:rsidRDefault="0074747E" w:rsidP="0074747E">
        <w:pP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14:paraId="61E5A80A" w14:textId="77777777" w:rsidR="0074747E" w:rsidRDefault="0074747E" w:rsidP="0074747E">
    <w:pPr>
      <w:ind w:right="360"/>
    </w:pPr>
  </w:p>
  <w:p w14:paraId="426C6F2F" w14:textId="77777777" w:rsidR="008C2410" w:rsidRDefault="008C2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1BDE" w14:textId="77777777" w:rsidR="00F04057" w:rsidRPr="00546CAE" w:rsidRDefault="00546CAE" w:rsidP="00546CAE">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A35F" w14:textId="77777777" w:rsidR="00CD0AA8" w:rsidRPr="008417DA" w:rsidRDefault="00546CAE" w:rsidP="00546CAE">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AD3A4" w14:textId="77777777" w:rsidR="00DF703E" w:rsidRDefault="00DF703E" w:rsidP="00F04057">
      <w:r>
        <w:separator/>
      </w:r>
    </w:p>
    <w:p w14:paraId="64D60E6C" w14:textId="77777777" w:rsidR="00DF703E" w:rsidRDefault="00DF703E"/>
  </w:footnote>
  <w:footnote w:type="continuationSeparator" w:id="0">
    <w:p w14:paraId="6BD17CA1" w14:textId="77777777" w:rsidR="00DF703E" w:rsidRDefault="00DF703E" w:rsidP="00F04057">
      <w:r>
        <w:continuationSeparator/>
      </w:r>
    </w:p>
    <w:p w14:paraId="5EA72978" w14:textId="77777777" w:rsidR="00DF703E" w:rsidRDefault="00DF703E"/>
  </w:footnote>
  <w:footnote w:id="1">
    <w:p w14:paraId="1C974964" w14:textId="2AAA6E4E" w:rsidR="00FC1385" w:rsidRDefault="00FC1385">
      <w:pPr>
        <w:pStyle w:val="FootnoteText"/>
      </w:pPr>
      <w:r>
        <w:rPr>
          <w:rStyle w:val="FootnoteReference"/>
        </w:rPr>
        <w:footnoteRef/>
      </w:r>
      <w:r>
        <w:t xml:space="preserve"> </w:t>
      </w:r>
      <w:r w:rsidR="005C409E">
        <w:rPr>
          <w:rStyle w:val="normaltextrun"/>
          <w:shd w:val="clear" w:color="auto" w:fill="FFFFFF"/>
        </w:rPr>
        <w:t>Detailed analysis is available in </w:t>
      </w:r>
      <w:hyperlink r:id="rId1" w:tgtFrame="_blank" w:history="1">
        <w:r w:rsidR="005C409E">
          <w:rPr>
            <w:rStyle w:val="normaltextrun"/>
            <w:color w:val="0000FF"/>
            <w:u w:val="single"/>
            <w:shd w:val="clear" w:color="auto" w:fill="FFFFFF"/>
          </w:rPr>
          <w:t>ICBA’s recent letter</w:t>
        </w:r>
      </w:hyperlink>
      <w:r w:rsidR="005C409E">
        <w:rPr>
          <w:rStyle w:val="normaltextrun"/>
          <w:shd w:val="clear" w:color="auto" w:fill="FFFFFF"/>
        </w:rPr>
        <w:t> to the Office of the Comptroller of the Currency on the implementation of the GENIUS Act. </w:t>
      </w:r>
    </w:p>
  </w:footnote>
  <w:footnote w:id="2">
    <w:p w14:paraId="353E13AF" w14:textId="5EEC33C2" w:rsidR="005C409E" w:rsidRDefault="005C409E">
      <w:pPr>
        <w:pStyle w:val="FootnoteText"/>
      </w:pPr>
      <w:r>
        <w:rPr>
          <w:rStyle w:val="FootnoteReference"/>
        </w:rPr>
        <w:footnoteRef/>
      </w:r>
      <w:r>
        <w:t xml:space="preserve"> </w:t>
      </w:r>
      <w:r w:rsidR="000C24A9">
        <w:t>J</w:t>
      </w:r>
      <w:r w:rsidR="000C24A9">
        <w:rPr>
          <w:rStyle w:val="normaltextrun"/>
          <w:color w:val="333333"/>
          <w:shd w:val="clear" w:color="auto" w:fill="FFFFFF"/>
        </w:rPr>
        <w:t>essie Jiaxu Wang, “Banks in the Age of Stablecoins: Some Possible Implications for Deposits, Credit, and Financial Intermediation,” FEDS Notes, Board of Governors of the Federal Reserve System (Dec. 17, 2025), </w:t>
      </w:r>
      <w:hyperlink r:id="rId2" w:tgtFrame="_blank" w:history="1">
        <w:r w:rsidR="000C24A9">
          <w:rPr>
            <w:rStyle w:val="normaltextrun"/>
            <w:color w:val="0000FF"/>
            <w:u w:val="single"/>
            <w:shd w:val="clear" w:color="auto" w:fill="FFFFFF"/>
          </w:rPr>
          <w:t>https://doi.org/10.17016/2380-7172.3970</w:t>
        </w:r>
      </w:hyperlink>
      <w:r w:rsidR="000C24A9">
        <w:rPr>
          <w:rStyle w:val="normaltextrun"/>
          <w:color w:val="333333"/>
          <w:shd w:val="clear" w:color="auto" w:fill="FFFFFF"/>
        </w:rPr>
        <w:t>.</w:t>
      </w:r>
      <w:r w:rsidR="000C24A9">
        <w:rPr>
          <w:rStyle w:val="eop"/>
          <w:color w:val="333333"/>
          <w:shd w:val="clear" w:color="auto" w:fill="FFFFFF"/>
        </w:rPr>
        <w:t> </w:t>
      </w:r>
    </w:p>
  </w:footnote>
  <w:footnote w:id="3">
    <w:p w14:paraId="1051500D" w14:textId="5625DF50" w:rsidR="00D950F3" w:rsidRDefault="00D950F3">
      <w:pPr>
        <w:pStyle w:val="FootnoteText"/>
      </w:pPr>
      <w:r>
        <w:rPr>
          <w:rStyle w:val="FootnoteReference"/>
        </w:rPr>
        <w:footnoteRef/>
      </w:r>
      <w:r>
        <w:t xml:space="preserve"> </w:t>
      </w:r>
      <w:r>
        <w:rPr>
          <w:rStyle w:val="normaltextrun"/>
          <w:shd w:val="clear" w:color="auto" w:fill="FFFFFF"/>
        </w:rPr>
        <w:t>Sec. of the Treasury Scott Bessent, Remarks before the Treasury Market Conference (Nov. 12, 2025), https://home.treasury.gov/news/press-releases/sb0314.</w:t>
      </w:r>
      <w:r>
        <w:rPr>
          <w:rStyle w:val="eop"/>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FB88" w14:textId="77777777" w:rsidR="00920109" w:rsidRDefault="00920109">
    <w:pPr>
      <w:pStyle w:val="Header"/>
    </w:pPr>
  </w:p>
  <w:p w14:paraId="5CA4757C" w14:textId="77777777" w:rsidR="008C2410" w:rsidRDefault="008C24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86F1" w14:textId="77777777" w:rsidR="00920109" w:rsidRDefault="00920109">
    <w:pPr>
      <w:pStyle w:val="Header"/>
    </w:pPr>
  </w:p>
  <w:p w14:paraId="0D088540" w14:textId="77777777" w:rsidR="008C2410" w:rsidRDefault="008C24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8615" w14:textId="77777777" w:rsidR="00CD0AA8" w:rsidRDefault="00546CAE">
    <w:r>
      <w:rPr>
        <w:noProof/>
      </w:rPr>
      <w:drawing>
        <wp:inline distT="0" distB="0" distL="0" distR="0" wp14:anchorId="13FD8BD5" wp14:editId="00EA207B">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50E3A"/>
    <w:multiLevelType w:val="hybridMultilevel"/>
    <w:tmpl w:val="138C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C3405"/>
    <w:multiLevelType w:val="hybridMultilevel"/>
    <w:tmpl w:val="0DEEDB96"/>
    <w:lvl w:ilvl="0" w:tplc="C57A63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7B1E5A"/>
    <w:multiLevelType w:val="hybridMultilevel"/>
    <w:tmpl w:val="69BC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023B1B"/>
    <w:multiLevelType w:val="hybridMultilevel"/>
    <w:tmpl w:val="343E7CF0"/>
    <w:lvl w:ilvl="0" w:tplc="6D6AEC82">
      <w:start w:val="1"/>
      <w:numFmt w:val="bullet"/>
      <w:pStyle w:val="BulletPoin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1167481">
    <w:abstractNumId w:val="0"/>
  </w:num>
  <w:num w:numId="2" w16cid:durableId="713506399">
    <w:abstractNumId w:val="1"/>
  </w:num>
  <w:num w:numId="3" w16cid:durableId="1403410460">
    <w:abstractNumId w:val="3"/>
  </w:num>
  <w:num w:numId="4" w16cid:durableId="1566066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366"/>
    <w:rsid w:val="00043E1F"/>
    <w:rsid w:val="0005418B"/>
    <w:rsid w:val="0008171B"/>
    <w:rsid w:val="000C1A8E"/>
    <w:rsid w:val="000C24A9"/>
    <w:rsid w:val="000D1FBB"/>
    <w:rsid w:val="000D3D99"/>
    <w:rsid w:val="000F2C19"/>
    <w:rsid w:val="00137765"/>
    <w:rsid w:val="00145BC9"/>
    <w:rsid w:val="00151F2F"/>
    <w:rsid w:val="00156C6C"/>
    <w:rsid w:val="001705D2"/>
    <w:rsid w:val="001A013D"/>
    <w:rsid w:val="001A087C"/>
    <w:rsid w:val="001D5719"/>
    <w:rsid w:val="001F34CA"/>
    <w:rsid w:val="00222561"/>
    <w:rsid w:val="002273ED"/>
    <w:rsid w:val="00254DBF"/>
    <w:rsid w:val="00290F83"/>
    <w:rsid w:val="002D0110"/>
    <w:rsid w:val="0031099E"/>
    <w:rsid w:val="00317F0F"/>
    <w:rsid w:val="00321096"/>
    <w:rsid w:val="00326FCE"/>
    <w:rsid w:val="00351CA4"/>
    <w:rsid w:val="003D38FD"/>
    <w:rsid w:val="0040005A"/>
    <w:rsid w:val="00403366"/>
    <w:rsid w:val="00405B3F"/>
    <w:rsid w:val="00411582"/>
    <w:rsid w:val="00430489"/>
    <w:rsid w:val="00467712"/>
    <w:rsid w:val="004711B7"/>
    <w:rsid w:val="00481CC6"/>
    <w:rsid w:val="00496577"/>
    <w:rsid w:val="004B2C4F"/>
    <w:rsid w:val="004C2E50"/>
    <w:rsid w:val="004D6EF6"/>
    <w:rsid w:val="004F50F7"/>
    <w:rsid w:val="00514325"/>
    <w:rsid w:val="00516305"/>
    <w:rsid w:val="00546CAE"/>
    <w:rsid w:val="00555D6B"/>
    <w:rsid w:val="00560AFC"/>
    <w:rsid w:val="00563863"/>
    <w:rsid w:val="00564AC3"/>
    <w:rsid w:val="005806CD"/>
    <w:rsid w:val="00585B22"/>
    <w:rsid w:val="005A5317"/>
    <w:rsid w:val="005C015D"/>
    <w:rsid w:val="005C391A"/>
    <w:rsid w:val="005C409E"/>
    <w:rsid w:val="005D17CC"/>
    <w:rsid w:val="005E0150"/>
    <w:rsid w:val="005E51BF"/>
    <w:rsid w:val="00604FF3"/>
    <w:rsid w:val="00627249"/>
    <w:rsid w:val="00655D15"/>
    <w:rsid w:val="00657A60"/>
    <w:rsid w:val="00670E84"/>
    <w:rsid w:val="00692401"/>
    <w:rsid w:val="006A4B25"/>
    <w:rsid w:val="00722454"/>
    <w:rsid w:val="00724E77"/>
    <w:rsid w:val="00745462"/>
    <w:rsid w:val="0074747E"/>
    <w:rsid w:val="0077288A"/>
    <w:rsid w:val="00786F6C"/>
    <w:rsid w:val="007910B1"/>
    <w:rsid w:val="007A064C"/>
    <w:rsid w:val="007E0F52"/>
    <w:rsid w:val="00806E33"/>
    <w:rsid w:val="00815A4F"/>
    <w:rsid w:val="008417DA"/>
    <w:rsid w:val="00861085"/>
    <w:rsid w:val="00861B79"/>
    <w:rsid w:val="008B1724"/>
    <w:rsid w:val="008C1D0F"/>
    <w:rsid w:val="008C2410"/>
    <w:rsid w:val="008D5943"/>
    <w:rsid w:val="008E5947"/>
    <w:rsid w:val="00920109"/>
    <w:rsid w:val="00944278"/>
    <w:rsid w:val="00974E34"/>
    <w:rsid w:val="009B4FC5"/>
    <w:rsid w:val="00A23181"/>
    <w:rsid w:val="00A2392C"/>
    <w:rsid w:val="00A36958"/>
    <w:rsid w:val="00A5500A"/>
    <w:rsid w:val="00A906E4"/>
    <w:rsid w:val="00AD50D1"/>
    <w:rsid w:val="00AF1501"/>
    <w:rsid w:val="00B2474A"/>
    <w:rsid w:val="00B3191C"/>
    <w:rsid w:val="00B34F20"/>
    <w:rsid w:val="00B96558"/>
    <w:rsid w:val="00BC27E9"/>
    <w:rsid w:val="00BD44DE"/>
    <w:rsid w:val="00BD570D"/>
    <w:rsid w:val="00BE01BE"/>
    <w:rsid w:val="00C0028B"/>
    <w:rsid w:val="00C660C4"/>
    <w:rsid w:val="00C77C1B"/>
    <w:rsid w:val="00C873CD"/>
    <w:rsid w:val="00C942EA"/>
    <w:rsid w:val="00C966E9"/>
    <w:rsid w:val="00CD0AA8"/>
    <w:rsid w:val="00CD518B"/>
    <w:rsid w:val="00CD7392"/>
    <w:rsid w:val="00CD7409"/>
    <w:rsid w:val="00D4190C"/>
    <w:rsid w:val="00D5070F"/>
    <w:rsid w:val="00D54880"/>
    <w:rsid w:val="00D87856"/>
    <w:rsid w:val="00D950F3"/>
    <w:rsid w:val="00DF703E"/>
    <w:rsid w:val="00E059A6"/>
    <w:rsid w:val="00E102FE"/>
    <w:rsid w:val="00E24DE8"/>
    <w:rsid w:val="00E94061"/>
    <w:rsid w:val="00E95665"/>
    <w:rsid w:val="00EA5E9B"/>
    <w:rsid w:val="00EC5005"/>
    <w:rsid w:val="00ED1B1F"/>
    <w:rsid w:val="00F019AF"/>
    <w:rsid w:val="00F03C8B"/>
    <w:rsid w:val="00F04057"/>
    <w:rsid w:val="00F2746B"/>
    <w:rsid w:val="00F41F4C"/>
    <w:rsid w:val="00F539F3"/>
    <w:rsid w:val="00F6574C"/>
    <w:rsid w:val="00F70ABF"/>
    <w:rsid w:val="00F763DF"/>
    <w:rsid w:val="00F968F5"/>
    <w:rsid w:val="00FA365E"/>
    <w:rsid w:val="00FC1385"/>
    <w:rsid w:val="00FD3CBE"/>
    <w:rsid w:val="00FD4C94"/>
    <w:rsid w:val="00FE7C44"/>
    <w:rsid w:val="00FF59EA"/>
    <w:rsid w:val="01A50016"/>
    <w:rsid w:val="0314B561"/>
    <w:rsid w:val="051171E3"/>
    <w:rsid w:val="07A4E404"/>
    <w:rsid w:val="0E820584"/>
    <w:rsid w:val="0FC02A7B"/>
    <w:rsid w:val="14B858E4"/>
    <w:rsid w:val="178753DF"/>
    <w:rsid w:val="179FA852"/>
    <w:rsid w:val="1D289833"/>
    <w:rsid w:val="28C76FCB"/>
    <w:rsid w:val="2AEFFA22"/>
    <w:rsid w:val="33A3B7EC"/>
    <w:rsid w:val="41B3DE63"/>
    <w:rsid w:val="431E7023"/>
    <w:rsid w:val="45DEA4C4"/>
    <w:rsid w:val="4633AFBA"/>
    <w:rsid w:val="48289FD6"/>
    <w:rsid w:val="485FE912"/>
    <w:rsid w:val="4A1FDB09"/>
    <w:rsid w:val="4D7F9610"/>
    <w:rsid w:val="51B2A761"/>
    <w:rsid w:val="57B55940"/>
    <w:rsid w:val="5EBEA79E"/>
    <w:rsid w:val="5FBB56C6"/>
    <w:rsid w:val="63839247"/>
    <w:rsid w:val="65B57216"/>
    <w:rsid w:val="666284DB"/>
    <w:rsid w:val="6770CA1C"/>
    <w:rsid w:val="6D450333"/>
    <w:rsid w:val="730689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02F7B"/>
  <w15:docId w15:val="{885D1FB9-6FAB-4AE0-A26B-BBE5C31A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366"/>
    <w:pPr>
      <w:widowControl/>
      <w:autoSpaceDE/>
      <w:autoSpaceDN/>
      <w:spacing w:line="276" w:lineRule="auto"/>
      <w:ind w:left="370" w:right="28" w:hanging="370"/>
    </w:pPr>
    <w:rPr>
      <w:rFonts w:ascii="Arial" w:eastAsia="Arial" w:hAnsi="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08171B"/>
    <w:pPr>
      <w:keepNext/>
      <w:keepLines/>
      <w:spacing w:after="360" w:line="600" w:lineRule="exact"/>
      <w:ind w:left="0" w:right="0" w:firstLine="0"/>
      <w:outlineLvl w:val="0"/>
    </w:pPr>
    <w:rPr>
      <w:rFonts w:eastAsia="Times New Roman"/>
      <w:color w:val="000000" w:themeColor="text1"/>
      <w:spacing w:val="10"/>
      <w:kern w:val="0"/>
      <w:sz w:val="52"/>
      <w:szCs w:val="36"/>
      <w14:ligatures w14:val="none"/>
    </w:rPr>
  </w:style>
  <w:style w:type="paragraph" w:styleId="Heading2">
    <w:name w:val="heading 2"/>
    <w:aliases w:val="Intros"/>
    <w:basedOn w:val="Normal"/>
    <w:link w:val="Heading2Char"/>
    <w:uiPriority w:val="9"/>
    <w:qFormat/>
    <w:rsid w:val="008417DA"/>
    <w:pPr>
      <w:widowControl w:val="0"/>
      <w:autoSpaceDE w:val="0"/>
      <w:autoSpaceDN w:val="0"/>
      <w:ind w:left="0" w:right="0" w:firstLine="0"/>
      <w:outlineLvl w:val="1"/>
    </w:pPr>
    <w:rPr>
      <w:rFonts w:eastAsia="Times New Roman"/>
      <w:color w:val="auto"/>
      <w:kern w:val="0"/>
      <w:sz w:val="28"/>
      <w:szCs w:val="28"/>
      <w14:ligatures w14:val="none"/>
    </w:rPr>
  </w:style>
  <w:style w:type="paragraph" w:styleId="Heading3">
    <w:name w:val="heading 3"/>
    <w:basedOn w:val="Normal"/>
    <w:next w:val="Normal"/>
    <w:link w:val="Heading3Char"/>
    <w:uiPriority w:val="9"/>
    <w:unhideWhenUsed/>
    <w:rsid w:val="00D87856"/>
    <w:pPr>
      <w:keepNext/>
      <w:keepLines/>
      <w:spacing w:before="40"/>
      <w:ind w:left="0" w:right="0" w:firstLine="0"/>
      <w:outlineLvl w:val="2"/>
    </w:pPr>
    <w:rPr>
      <w:rFonts w:ascii="Calibri" w:eastAsia="Times New Roman" w:hAnsi="Calibri" w:cs="Calibri"/>
      <w:b/>
      <w:bCs/>
      <w:color w:val="002060"/>
      <w:kern w:val="0"/>
      <w:sz w:val="22"/>
      <w:szCs w:val="22"/>
      <w14:ligatures w14:val="none"/>
    </w:rPr>
  </w:style>
  <w:style w:type="paragraph" w:styleId="Heading4">
    <w:name w:val="heading 4"/>
    <w:aliases w:val="Subheads"/>
    <w:basedOn w:val="Normal"/>
    <w:next w:val="Normal"/>
    <w:link w:val="Heading4Char"/>
    <w:uiPriority w:val="9"/>
    <w:unhideWhenUsed/>
    <w:qFormat/>
    <w:rsid w:val="000D1FBB"/>
    <w:pPr>
      <w:widowControl w:val="0"/>
      <w:autoSpaceDE w:val="0"/>
      <w:autoSpaceDN w:val="0"/>
      <w:spacing w:after="120" w:line="240" w:lineRule="auto"/>
      <w:ind w:left="0" w:right="0" w:firstLine="0"/>
      <w:outlineLvl w:val="3"/>
    </w:pPr>
    <w:rPr>
      <w:rFonts w:eastAsia="Times New Roman"/>
      <w:b/>
      <w:bCs/>
      <w:color w:val="auto"/>
      <w:kern w:val="0"/>
      <w:sz w:val="20"/>
      <w:szCs w:val="20"/>
      <w14:ligatures w14:val="none"/>
    </w:rPr>
  </w:style>
  <w:style w:type="paragraph" w:styleId="Heading5">
    <w:name w:val="heading 5"/>
    <w:basedOn w:val="Normal"/>
    <w:next w:val="Normal"/>
    <w:link w:val="Heading5Char"/>
    <w:uiPriority w:val="9"/>
    <w:semiHidden/>
    <w:unhideWhenUsed/>
    <w:rsid w:val="00156C6C"/>
    <w:pPr>
      <w:keepNext/>
      <w:keepLines/>
      <w:widowControl w:val="0"/>
      <w:autoSpaceDE w:val="0"/>
      <w:autoSpaceDN w:val="0"/>
      <w:spacing w:before="40" w:line="240" w:lineRule="auto"/>
      <w:ind w:left="0" w:right="0" w:firstLine="0"/>
      <w:outlineLvl w:val="4"/>
    </w:pPr>
    <w:rPr>
      <w:rFonts w:asciiTheme="majorHAnsi" w:eastAsiaTheme="majorEastAsia" w:hAnsiTheme="majorHAnsi" w:cstheme="majorBidi"/>
      <w:color w:val="365F91" w:themeColor="accent1" w:themeShade="BF"/>
      <w:kern w:val="0"/>
      <w:sz w:val="22"/>
      <w:szCs w:val="22"/>
      <w:lang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Body"/>
    <w:autoRedefine/>
    <w:qFormat/>
    <w:rsid w:val="00B2474A"/>
    <w:pPr>
      <w:numPr>
        <w:numId w:val="3"/>
      </w:numPr>
      <w:spacing w:before="240" w:after="240" w:line="280" w:lineRule="exact"/>
      <w:ind w:right="360"/>
      <w:contextualSpacing/>
    </w:pPr>
  </w:style>
  <w:style w:type="character" w:customStyle="1" w:styleId="Heading3Char">
    <w:name w:val="Heading 3 Char"/>
    <w:basedOn w:val="DefaultParagraphFont"/>
    <w:link w:val="Heading3"/>
    <w:uiPriority w:val="9"/>
    <w:rsid w:val="00D87856"/>
    <w:rPr>
      <w:rFonts w:ascii="Calibri" w:eastAsia="Times New Roman" w:hAnsi="Calibri" w:cs="Calibri"/>
      <w:b/>
      <w:bCs/>
      <w:color w:val="002060"/>
    </w:rPr>
  </w:style>
  <w:style w:type="character" w:customStyle="1" w:styleId="Heading2Char">
    <w:name w:val="Heading 2 Char"/>
    <w:aliases w:val="Intros Char"/>
    <w:basedOn w:val="DefaultParagraphFont"/>
    <w:link w:val="Heading2"/>
    <w:uiPriority w:val="9"/>
    <w:rsid w:val="008417DA"/>
    <w:rPr>
      <w:rFonts w:ascii="Arial" w:eastAsia="Times New Roman" w:hAnsi="Arial"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customStyle="1" w:styleId="Body">
    <w:name w:val="Body"/>
    <w:basedOn w:val="Normal"/>
    <w:qFormat/>
    <w:rsid w:val="005D17CC"/>
    <w:pPr>
      <w:spacing w:after="225"/>
      <w:ind w:left="0" w:right="0" w:firstLine="0"/>
      <w:jc w:val="both"/>
    </w:pPr>
    <w:rPr>
      <w:rFonts w:eastAsia="Times New Roman"/>
      <w:kern w:val="0"/>
      <w:sz w:val="20"/>
      <w:szCs w:val="20"/>
      <w14:ligatures w14:val="none"/>
    </w:rPr>
  </w:style>
  <w:style w:type="paragraph" w:styleId="Title">
    <w:name w:val="Title"/>
    <w:basedOn w:val="Normal"/>
    <w:next w:val="Normal"/>
    <w:link w:val="TitleChar"/>
    <w:uiPriority w:val="10"/>
    <w:rsid w:val="00137765"/>
    <w:pPr>
      <w:widowControl w:val="0"/>
      <w:autoSpaceDE w:val="0"/>
      <w:autoSpaceDN w:val="0"/>
      <w:spacing w:line="240" w:lineRule="auto"/>
      <w:ind w:left="0" w:right="0" w:firstLine="0"/>
      <w:contextualSpacing/>
    </w:pPr>
    <w:rPr>
      <w:rFonts w:asciiTheme="majorHAnsi" w:eastAsiaTheme="majorEastAsia" w:hAnsiTheme="majorHAnsi" w:cstheme="majorBidi"/>
      <w:color w:val="auto"/>
      <w:spacing w:val="-10"/>
      <w:kern w:val="28"/>
      <w:sz w:val="56"/>
      <w:szCs w:val="56"/>
      <w:lang w:bidi="en-US"/>
      <w14:ligatures w14:val="none"/>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uiPriority w:val="34"/>
    <w:qFormat/>
    <w:rsid w:val="00137765"/>
    <w:pPr>
      <w:widowControl w:val="0"/>
      <w:autoSpaceDE w:val="0"/>
      <w:autoSpaceDN w:val="0"/>
      <w:spacing w:line="240" w:lineRule="auto"/>
      <w:ind w:left="720" w:right="0" w:firstLine="0"/>
      <w:contextualSpacing/>
    </w:pPr>
    <w:rPr>
      <w:rFonts w:asciiTheme="minorHAnsi" w:eastAsia="Times New Roman" w:hAnsiTheme="minorHAnsi" w:cs="Times New Roman"/>
      <w:color w:val="auto"/>
      <w:kern w:val="0"/>
      <w:sz w:val="22"/>
      <w:szCs w:val="22"/>
      <w:lang w:bidi="en-US"/>
      <w14:ligatures w14:val="none"/>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customStyle="1" w:styleId="Heading1Char">
    <w:name w:val="Heading 1 Char"/>
    <w:aliases w:val="Headlines Char"/>
    <w:basedOn w:val="DefaultParagraphFont"/>
    <w:link w:val="Heading1"/>
    <w:uiPriority w:val="9"/>
    <w:rsid w:val="0008171B"/>
    <w:rPr>
      <w:rFonts w:ascii="Arial" w:eastAsia="Times New Roman" w:hAnsi="Arial" w:cs="Arial"/>
      <w:color w:val="000000" w:themeColor="text1"/>
      <w:spacing w:val="10"/>
      <w:sz w:val="52"/>
      <w:szCs w:val="36"/>
    </w:rPr>
  </w:style>
  <w:style w:type="character" w:customStyle="1" w:styleId="TitleChar">
    <w:name w:val="Title Char"/>
    <w:basedOn w:val="DefaultParagraphFont"/>
    <w:link w:val="Title"/>
    <w:uiPriority w:val="10"/>
    <w:rsid w:val="00137765"/>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rsid w:val="00137765"/>
    <w:pPr>
      <w:widowControl w:val="0"/>
      <w:numPr>
        <w:ilvl w:val="1"/>
      </w:numPr>
      <w:autoSpaceDE w:val="0"/>
      <w:autoSpaceDN w:val="0"/>
      <w:spacing w:after="160" w:line="240" w:lineRule="auto"/>
      <w:ind w:left="370" w:right="0" w:hanging="370"/>
    </w:pPr>
    <w:rPr>
      <w:rFonts w:asciiTheme="minorHAnsi" w:eastAsiaTheme="minorEastAsia" w:hAnsiTheme="minorHAnsi" w:cstheme="minorBidi"/>
      <w:color w:val="5A5A5A" w:themeColor="text1" w:themeTint="A5"/>
      <w:spacing w:val="15"/>
      <w:kern w:val="0"/>
      <w:sz w:val="22"/>
      <w:szCs w:val="22"/>
      <w:lang w:bidi="en-US"/>
      <w14:ligatures w14:val="none"/>
    </w:rPr>
  </w:style>
  <w:style w:type="character" w:customStyle="1" w:styleId="SubtitleChar">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eastAsia="Times New Roman" w:hAnsi="Times New Roman" w:cs="Times New Roman"/>
      <w:lang w:bidi="en-US"/>
    </w:rPr>
  </w:style>
  <w:style w:type="character" w:customStyle="1" w:styleId="Heading4Char">
    <w:name w:val="Heading 4 Char"/>
    <w:aliases w:val="Subheads Char"/>
    <w:basedOn w:val="DefaultParagraphFont"/>
    <w:link w:val="Heading4"/>
    <w:uiPriority w:val="9"/>
    <w:rsid w:val="000D1FBB"/>
    <w:rPr>
      <w:rFonts w:ascii="Arial" w:eastAsia="Times New Roman" w:hAnsi="Arial" w:cs="Arial"/>
      <w:b/>
      <w:bCs/>
      <w:sz w:val="20"/>
      <w:szCs w:val="20"/>
    </w:rPr>
  </w:style>
  <w:style w:type="character" w:customStyle="1" w:styleId="Heading5Char">
    <w:name w:val="Heading 5 Char"/>
    <w:basedOn w:val="DefaultParagraphFont"/>
    <w:link w:val="Heading5"/>
    <w:uiPriority w:val="9"/>
    <w:semiHidden/>
    <w:rsid w:val="00156C6C"/>
    <w:rPr>
      <w:rFonts w:asciiTheme="majorHAnsi" w:eastAsiaTheme="majorEastAsia" w:hAnsiTheme="majorHAnsi" w:cstheme="majorBidi"/>
      <w:color w:val="365F91" w:themeColor="accent1" w:themeShade="BF"/>
      <w:lang w:bidi="en-US"/>
    </w:rPr>
  </w:style>
  <w:style w:type="paragraph" w:customStyle="1" w:styleId="BasicParagraph">
    <w:name w:val="[Basic Paragraph]"/>
    <w:basedOn w:val="Normal"/>
    <w:uiPriority w:val="99"/>
    <w:rsid w:val="00E24DE8"/>
    <w:pPr>
      <w:autoSpaceDE w:val="0"/>
      <w:autoSpaceDN w:val="0"/>
      <w:adjustRightInd w:val="0"/>
      <w:spacing w:line="288" w:lineRule="auto"/>
      <w:ind w:left="0" w:right="0" w:firstLine="0"/>
      <w:textAlignment w:val="center"/>
    </w:pPr>
    <w:rPr>
      <w:rFonts w:ascii="MinionPro-Regular" w:eastAsiaTheme="minorHAnsi" w:hAnsi="MinionPro-Regular" w:cs="MinionPro-Regular"/>
      <w:kern w:val="0"/>
      <w14:ligatures w14:val="none"/>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right="0" w:firstLine="0"/>
    </w:pPr>
    <w:rPr>
      <w:rFonts w:asciiTheme="minorHAnsi" w:eastAsiaTheme="minorHAnsi" w:hAnsiTheme="minorHAnsi" w:cstheme="minorHAnsi"/>
      <w:b/>
      <w:bCs/>
      <w:color w:val="auto"/>
      <w:kern w:val="0"/>
      <w:sz w:val="22"/>
      <w:szCs w:val="22"/>
      <w14:ligatures w14:val="none"/>
    </w:rPr>
  </w:style>
  <w:style w:type="paragraph" w:customStyle="1" w:styleId="HeadersSlugs">
    <w:name w:val="Headers / Slugs"/>
    <w:basedOn w:val="Heading1"/>
    <w:qFormat/>
    <w:rsid w:val="00B2474A"/>
    <w:pPr>
      <w:spacing w:after="160" w:line="240" w:lineRule="auto"/>
    </w:pPr>
    <w:rPr>
      <w:b/>
      <w:sz w:val="24"/>
    </w:rPr>
  </w:style>
  <w:style w:type="paragraph" w:styleId="Header">
    <w:name w:val="header"/>
    <w:basedOn w:val="Normal"/>
    <w:link w:val="HeaderChar"/>
    <w:uiPriority w:val="99"/>
    <w:unhideWhenUsed/>
    <w:rsid w:val="00AD50D1"/>
    <w:pPr>
      <w:widowControl w:val="0"/>
      <w:tabs>
        <w:tab w:val="center" w:pos="4680"/>
        <w:tab w:val="right" w:pos="9360"/>
      </w:tabs>
      <w:autoSpaceDE w:val="0"/>
      <w:autoSpaceDN w:val="0"/>
      <w:spacing w:line="240" w:lineRule="auto"/>
      <w:ind w:left="0" w:right="0" w:firstLine="0"/>
    </w:pPr>
    <w:rPr>
      <w:rFonts w:asciiTheme="minorHAnsi" w:eastAsia="Times New Roman" w:hAnsiTheme="minorHAnsi" w:cs="Times New Roman"/>
      <w:color w:val="auto"/>
      <w:kern w:val="0"/>
      <w:sz w:val="22"/>
      <w:szCs w:val="22"/>
      <w:lang w:bidi="en-US"/>
      <w14:ligatures w14:val="none"/>
    </w:rPr>
  </w:style>
  <w:style w:type="character" w:customStyle="1" w:styleId="HeaderChar">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spacing w:line="240" w:lineRule="auto"/>
      <w:ind w:left="0" w:right="0" w:firstLine="0"/>
    </w:pPr>
    <w:rPr>
      <w:rFonts w:asciiTheme="minorHAnsi" w:eastAsiaTheme="minorEastAsia" w:hAnsiTheme="minorHAnsi" w:cstheme="minorBidi"/>
      <w:color w:val="auto"/>
      <w:kern w:val="0"/>
      <w:sz w:val="22"/>
      <w:szCs w:val="22"/>
      <w:lang w:eastAsia="zh-CN"/>
      <w14:ligatures w14:val="none"/>
    </w:rPr>
  </w:style>
  <w:style w:type="character" w:customStyle="1" w:styleId="FooterChar">
    <w:name w:val="Footer Char"/>
    <w:basedOn w:val="DefaultParagraphFont"/>
    <w:link w:val="Footer"/>
    <w:uiPriority w:val="99"/>
    <w:rsid w:val="00546CAE"/>
    <w:rPr>
      <w:rFonts w:eastAsiaTheme="minorEastAsia"/>
      <w:lang w:eastAsia="zh-CN"/>
    </w:rPr>
  </w:style>
  <w:style w:type="paragraph" w:styleId="FootnoteText">
    <w:name w:val="footnote text"/>
    <w:basedOn w:val="Normal"/>
    <w:link w:val="FootnoteTextChar"/>
    <w:uiPriority w:val="99"/>
    <w:semiHidden/>
    <w:unhideWhenUsed/>
    <w:rsid w:val="00FC1385"/>
    <w:pPr>
      <w:spacing w:line="240" w:lineRule="auto"/>
    </w:pPr>
    <w:rPr>
      <w:sz w:val="20"/>
      <w:szCs w:val="20"/>
    </w:rPr>
  </w:style>
  <w:style w:type="character" w:customStyle="1" w:styleId="FootnoteTextChar">
    <w:name w:val="Footnote Text Char"/>
    <w:basedOn w:val="DefaultParagraphFont"/>
    <w:link w:val="FootnoteText"/>
    <w:uiPriority w:val="99"/>
    <w:semiHidden/>
    <w:rsid w:val="00FC1385"/>
    <w:rPr>
      <w:rFonts w:ascii="Arial" w:eastAsia="Arial" w:hAnsi="Arial" w:cs="Arial"/>
      <w:color w:val="000000"/>
      <w:kern w:val="2"/>
      <w:sz w:val="20"/>
      <w:szCs w:val="20"/>
      <w14:ligatures w14:val="standardContextual"/>
    </w:rPr>
  </w:style>
  <w:style w:type="character" w:styleId="FootnoteReference">
    <w:name w:val="footnote reference"/>
    <w:basedOn w:val="DefaultParagraphFont"/>
    <w:uiPriority w:val="99"/>
    <w:semiHidden/>
    <w:unhideWhenUsed/>
    <w:rsid w:val="00FC1385"/>
    <w:rPr>
      <w:vertAlign w:val="superscript"/>
    </w:rPr>
  </w:style>
  <w:style w:type="character" w:customStyle="1" w:styleId="normaltextrun">
    <w:name w:val="normaltextrun"/>
    <w:basedOn w:val="DefaultParagraphFont"/>
    <w:rsid w:val="005C409E"/>
  </w:style>
  <w:style w:type="character" w:customStyle="1" w:styleId="eop">
    <w:name w:val="eop"/>
    <w:basedOn w:val="DefaultParagraphFont"/>
    <w:rsid w:val="000C24A9"/>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kern w:val="2"/>
      <w:sz w:val="20"/>
      <w:szCs w:val="20"/>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0005A"/>
    <w:pPr>
      <w:widowControl/>
      <w:autoSpaceDE/>
      <w:autoSpaceDN/>
    </w:pPr>
    <w:rPr>
      <w:rFonts w:ascii="Arial" w:eastAsia="Arial" w:hAnsi="Arial" w:cs="Arial"/>
      <w:color w:val="00000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530845204">
          <w:marLeft w:val="216"/>
          <w:marRight w:val="432"/>
          <w:marTop w:val="0"/>
          <w:marBottom w:val="0"/>
          <w:divBdr>
            <w:top w:val="none" w:sz="0" w:space="0" w:color="auto"/>
            <w:left w:val="none" w:sz="0" w:space="0" w:color="auto"/>
            <w:bottom w:val="none" w:sz="0" w:space="0" w:color="auto"/>
            <w:right w:val="none" w:sz="0" w:space="0" w:color="auto"/>
          </w:divBdr>
        </w:div>
        <w:div w:id="1768378338">
          <w:marLeft w:val="432"/>
          <w:marRight w:val="216"/>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doi.org/10.17016/2380-7172.3970" TargetMode="External"/><Relationship Id="rId1" Type="http://schemas.openxmlformats.org/officeDocument/2006/relationships/hyperlink" Target="https://www.icba.org/w/icba-comment-letter-occ-genius-implementation-npr-5.1.2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PRINT-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E9781FF74202428AD2A3A293E27294" ma:contentTypeVersion="32" ma:contentTypeDescription="Create a new document." ma:contentTypeScope="" ma:versionID="59a0e79dd5c825a962e7e4dd9c062adf">
  <xsd:schema xmlns:xsd="http://www.w3.org/2001/XMLSchema" xmlns:xs="http://www.w3.org/2001/XMLSchema" xmlns:p="http://schemas.microsoft.com/office/2006/metadata/properties" xmlns:ns1="http://schemas.microsoft.com/sharepoint/v3" xmlns:ns2="ffdaaa50-80e6-4e46-b576-bce2af399b2c" xmlns:ns3="8f5587f7-95b2-4acb-9e4d-063570bcb1a5" targetNamespace="http://schemas.microsoft.com/office/2006/metadata/properties" ma:root="true" ma:fieldsID="78f3bfaaf14d4e3c82906b77b5bd44fa" ns1:_="" ns2:_="" ns3:_="">
    <xsd:import namespace="http://schemas.microsoft.com/sharepoint/v3"/>
    <xsd:import namespace="ffdaaa50-80e6-4e46-b576-bce2af399b2c"/>
    <xsd:import namespace="8f5587f7-95b2-4acb-9e4d-063570bcb1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2:TaxCatchAll" minOccurs="0"/>
                <xsd:element ref="ns2:kd438ee94f6f4b7a80955731a81d273c" minOccurs="0"/>
                <xsd:element ref="ns2:mb92744292184ec899971c8415310dbb" minOccurs="0"/>
                <xsd:element ref="ns2:TaxCatchAllLabel" minOccurs="0"/>
                <xsd:element ref="ns3:Year" minOccurs="0"/>
                <xsd:element ref="ns3:fvfe" minOccurs="0"/>
                <xsd:element ref="ns3:Date" minOccurs="0"/>
                <xsd:element ref="ns2:SharedWithUsers" minOccurs="0"/>
                <xsd:element ref="ns2:SharedWithDetails" minOccurs="0"/>
                <xsd:element ref="ns3:MediaServiceDateTaken"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LengthInSeconds" minOccurs="0"/>
                <xsd:element ref="ns3:lcf76f155ced4ddcb4097134ff3c332f" minOccurs="0"/>
                <xsd:element ref="ns3:MediaServiceObjectDetectorVersion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daaa50-80e6-4e46-b576-bce2af399b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5e27fb-7c29-4b6d-a871-8ebf5f25582c}" ma:internalName="TaxCatchAll" ma:showField="CatchAllData" ma:web="ffdaaa50-80e6-4e46-b576-bce2af399b2c">
      <xsd:complexType>
        <xsd:complexContent>
          <xsd:extension base="dms:MultiChoiceLookup">
            <xsd:sequence>
              <xsd:element name="Value" type="dms:Lookup" maxOccurs="unbounded" minOccurs="0" nillable="true"/>
            </xsd:sequence>
          </xsd:extension>
        </xsd:complexContent>
      </xsd:complexType>
    </xsd:element>
    <xsd:element name="kd438ee94f6f4b7a80955731a81d273c" ma:index="14" ma:taxonomy="true" ma:internalName="kd438ee94f6f4b7a80955731a81d273c" ma:taxonomyFieldName="ICBAFunctionalUse" ma:displayName="Functional Use" ma:default="" ma:fieldId="{4d438ee9-4f6f-4b7a-8095-5731a81d273c}" ma:sspId="200ea6a4-c0f9-4ccf-bf6c-dcf772f52e2a" ma:termSetId="fdfb91a7-26ae-491c-b9b6-eab3703c342b" ma:anchorId="00000000-0000-0000-0000-000000000000" ma:open="false" ma:isKeyword="false">
      <xsd:complexType>
        <xsd:sequence>
          <xsd:element ref="pc:Terms" minOccurs="0" maxOccurs="1"/>
        </xsd:sequence>
      </xsd:complexType>
    </xsd:element>
    <xsd:element name="mb92744292184ec899971c8415310dbb" ma:index="16" ma:taxonomy="true" ma:internalName="mb92744292184ec899971c8415310dbb" ma:taxonomyFieldName="ICBAServiceArea" ma:displayName="Service Area" ma:default="" ma:fieldId="{6b927442-9218-4ec8-9997-1c8415310dbb}" ma:taxonomyMulti="true" ma:sspId="200ea6a4-c0f9-4ccf-bf6c-dcf772f52e2a" ma:termSetId="f0638fdf-a279-4d76-a4c5-a854da9570d8"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475e27fb-7c29-4b6d-a871-8ebf5f25582c}" ma:internalName="TaxCatchAllLabel" ma:readOnly="true" ma:showField="CatchAllDataLabel" ma:web="ffdaaa50-80e6-4e46-b576-bce2af399b2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5587f7-95b2-4acb-9e4d-063570bcb1a5"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internalName="MediaServiceKeyPoints" ma:readOnly="true">
      <xsd:simpleType>
        <xsd:restriction base="dms:Note">
          <xsd:maxLength value="255"/>
        </xsd:restriction>
      </xsd:simpleType>
    </xsd:element>
    <xsd:element name="Year" ma:index="18" nillable="true" ma:displayName="Type" ma:internalName="Year">
      <xsd:simpleType>
        <xsd:restriction base="dms:Text">
          <xsd:maxLength value="255"/>
        </xsd:restriction>
      </xsd:simpleType>
    </xsd:element>
    <xsd:element name="fvfe" ma:index="19" nillable="true" ma:displayName="Topic" ma:internalName="fvfe">
      <xsd:simpleType>
        <xsd:restriction base="dms:Text"/>
      </xsd:simpleType>
    </xsd:element>
    <xsd:element name="Date" ma:index="20" nillable="true" ma:displayName="Date" ma:format="DateOnly" ma:internalName="Date">
      <xsd:simpleType>
        <xsd:restriction base="dms:DateTime"/>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b92744292184ec899971c8415310dbb xmlns="ffdaaa50-80e6-4e46-b576-bce2af399b2c">
      <Terms xmlns="http://schemas.microsoft.com/office/infopath/2007/PartnerControls">
        <TermInfo xmlns="http://schemas.microsoft.com/office/infopath/2007/PartnerControls">
          <TermName xmlns="http://schemas.microsoft.com/office/infopath/2007/PartnerControls">MARCOM</TermName>
          <TermId xmlns="http://schemas.microsoft.com/office/infopath/2007/PartnerControls">80a74eae-5985-41e0-abaf-141610dc65a8</TermId>
        </TermInfo>
      </Terms>
    </mb92744292184ec899971c8415310dbb>
    <_ip_UnifiedCompliancePolicyProperties xmlns="http://schemas.microsoft.com/sharepoint/v3" xsi:nil="true"/>
    <lcf76f155ced4ddcb4097134ff3c332f xmlns="8f5587f7-95b2-4acb-9e4d-063570bcb1a5">
      <Terms xmlns="http://schemas.microsoft.com/office/infopath/2007/PartnerControls"/>
    </lcf76f155ced4ddcb4097134ff3c332f>
    <TaxCatchAll xmlns="ffdaaa50-80e6-4e46-b576-bce2af399b2c">
      <Value>59</Value>
      <Value>48</Value>
    </TaxCatchAll>
    <Year xmlns="8f5587f7-95b2-4acb-9e4d-063570bcb1a5" xsi:nil="true"/>
    <fvfe xmlns="8f5587f7-95b2-4acb-9e4d-063570bcb1a5" xsi:nil="true"/>
    <Date xmlns="8f5587f7-95b2-4acb-9e4d-063570bcb1a5" xsi:nil="true"/>
    <kd438ee94f6f4b7a80955731a81d273c xmlns="ffdaaa50-80e6-4e46-b576-bce2af399b2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41c46901-5438-4b3b-9bc1-74933e6b59ec</TermId>
        </TermInfo>
      </Terms>
    </kd438ee94f6f4b7a80955731a81d273c>
  </documentManagement>
</p:properties>
</file>

<file path=customXml/itemProps1.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2.xml><?xml version="1.0" encoding="utf-8"?>
<ds:datastoreItem xmlns:ds="http://schemas.openxmlformats.org/officeDocument/2006/customXml" ds:itemID="{DD6FD2BB-D0D0-4DC6-B37F-7F79FB4D8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daaa50-80e6-4e46-b576-bce2af399b2c"/>
    <ds:schemaRef ds:uri="8f5587f7-95b2-4acb-9e4d-063570bcb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8CDCD0-3DD4-470A-AECA-495E8EEE4A7E}">
  <ds:schemaRefs>
    <ds:schemaRef ds:uri="http://schemas.microsoft.com/sharepoint/v3/contenttype/forms"/>
  </ds:schemaRefs>
</ds:datastoreItem>
</file>

<file path=customXml/itemProps4.xml><?xml version="1.0" encoding="utf-8"?>
<ds:datastoreItem xmlns:ds="http://schemas.openxmlformats.org/officeDocument/2006/customXml" ds:itemID="{826F00D8-BA01-4096-BFFF-BC5FC6FD57D0}">
  <ds:schemaRefs>
    <ds:schemaRef ds:uri="http://schemas.microsoft.com/office/2006/metadata/properties"/>
    <ds:schemaRef ds:uri="http://schemas.microsoft.com/office/infopath/2007/PartnerControls"/>
    <ds:schemaRef ds:uri="http://schemas.microsoft.com/sharepoint/v3"/>
    <ds:schemaRef ds:uri="ffdaaa50-80e6-4e46-b576-bce2af399b2c"/>
    <ds:schemaRef ds:uri="8f5587f7-95b2-4acb-9e4d-063570bcb1a5"/>
  </ds:schemaRefs>
</ds:datastoreItem>
</file>

<file path=docProps/app.xml><?xml version="1.0" encoding="utf-8"?>
<Properties xmlns="http://schemas.openxmlformats.org/officeDocument/2006/extended-properties" xmlns:vt="http://schemas.openxmlformats.org/officeDocument/2006/docPropsVTypes">
  <Template>ICBA Letterhead PRINT-new</Template>
  <TotalTime>1</TotalTime>
  <Pages>3</Pages>
  <Words>1082</Words>
  <Characters>6173</Characters>
  <Application>Microsoft Office Word</Application>
  <DocSecurity>0</DocSecurity>
  <Lines>51</Lines>
  <Paragraphs>14</Paragraphs>
  <ScaleCrop>false</ScaleCrop>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Keller</dc:creator>
  <cp:keywords/>
  <cp:lastModifiedBy>Paul Merski</cp:lastModifiedBy>
  <cp:revision>2</cp:revision>
  <dcterms:created xsi:type="dcterms:W3CDTF">2026-06-30T15:55:00Z</dcterms:created>
  <dcterms:modified xsi:type="dcterms:W3CDTF">2026-06-30T15:55:00Z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0x01010031E9781FF74202428AD2A3A293E27294</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