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29A2" w14:textId="3FB00124" w:rsidR="002C09F8" w:rsidRPr="003706F5" w:rsidRDefault="002C09F8" w:rsidP="002C09F8">
      <w:pPr>
        <w:jc w:val="center"/>
        <w:rPr>
          <w:b/>
          <w:bCs/>
          <w:u w:val="single"/>
        </w:rPr>
      </w:pPr>
      <w:r w:rsidRPr="003706F5">
        <w:rPr>
          <w:b/>
          <w:bCs/>
          <w:u w:val="single"/>
        </w:rPr>
        <w:t>Businesses Must Prepare</w:t>
      </w:r>
      <w:r w:rsidR="003706F5" w:rsidRPr="003706F5">
        <w:rPr>
          <w:b/>
          <w:bCs/>
          <w:u w:val="single"/>
        </w:rPr>
        <w:t xml:space="preserve"> for the Recent Amendments of the New York Power of Attorney Statute</w:t>
      </w:r>
    </w:p>
    <w:p w14:paraId="1FD046F3" w14:textId="281C7571" w:rsidR="00512DA1" w:rsidRDefault="00933CF4">
      <w:r>
        <w:t xml:space="preserve">The New York State legislature has recently amended </w:t>
      </w:r>
      <w:r w:rsidR="0042513D">
        <w:t xml:space="preserve">its </w:t>
      </w:r>
      <w:r>
        <w:t xml:space="preserve">power of attorney </w:t>
      </w:r>
      <w:r w:rsidR="0042513D">
        <w:t xml:space="preserve">(POA) </w:t>
      </w:r>
      <w:r>
        <w:t>statute</w:t>
      </w:r>
      <w:r w:rsidR="00615B51">
        <w:t xml:space="preserve">. </w:t>
      </w:r>
      <w:r w:rsidR="00FD7AA6">
        <w:t>As this article is being finalized, the</w:t>
      </w:r>
      <w:r w:rsidR="00D6691E">
        <w:t xml:space="preserve"> Governor</w:t>
      </w:r>
      <w:r w:rsidR="00FD7AA6">
        <w:t xml:space="preserve"> has not yet </w:t>
      </w:r>
      <w:r w:rsidR="00D6691E">
        <w:t>just signed the law</w:t>
      </w:r>
      <w:r w:rsidR="00FD7AA6">
        <w:t xml:space="preserve">, but we have been advised that </w:t>
      </w:r>
      <w:r w:rsidR="00470571">
        <w:t xml:space="preserve">Governor Cuomo will sign </w:t>
      </w:r>
      <w:r w:rsidR="00FD7AA6">
        <w:t xml:space="preserve">shortly </w:t>
      </w:r>
      <w:r w:rsidR="00470571">
        <w:t>and the law will be effective 180 days after he signs.</w:t>
      </w:r>
      <w:r w:rsidR="0016004E">
        <w:t xml:space="preserve"> </w:t>
      </w:r>
      <w:r w:rsidR="00615B51">
        <w:t>A</w:t>
      </w:r>
      <w:r>
        <w:t xml:space="preserve">ll businesses that </w:t>
      </w:r>
      <w:r w:rsidR="00615B51">
        <w:t xml:space="preserve">receive </w:t>
      </w:r>
      <w:r w:rsidR="0042513D">
        <w:t>POAs</w:t>
      </w:r>
      <w:r w:rsidR="00615B51">
        <w:t xml:space="preserve"> </w:t>
      </w:r>
      <w:r w:rsidR="00EB790C">
        <w:t xml:space="preserve">must </w:t>
      </w:r>
      <w:r w:rsidR="00615B51">
        <w:t>accept them unless they have a good reason not to</w:t>
      </w:r>
      <w:r w:rsidR="0042513D">
        <w:t xml:space="preserve">. We strongly recommend that </w:t>
      </w:r>
      <w:r w:rsidR="00EC1EC4">
        <w:t xml:space="preserve">businesses </w:t>
      </w:r>
      <w:r w:rsidR="0053105E">
        <w:t xml:space="preserve">adopt procedures to </w:t>
      </w:r>
      <w:r w:rsidR="003B40AD">
        <w:t xml:space="preserve">ensure </w:t>
      </w:r>
      <w:r w:rsidR="0053105E">
        <w:t xml:space="preserve">that they only accept </w:t>
      </w:r>
      <w:r w:rsidR="0042513D">
        <w:t>POAs</w:t>
      </w:r>
      <w:r w:rsidR="0053105E">
        <w:t xml:space="preserve"> that provide maximum protection </w:t>
      </w:r>
      <w:r w:rsidR="00D57B61">
        <w:t>from liability</w:t>
      </w:r>
      <w:r w:rsidR="00512DA1">
        <w:t>.</w:t>
      </w:r>
    </w:p>
    <w:p w14:paraId="42603EA1" w14:textId="0803BE73" w:rsidR="008F79C4" w:rsidRDefault="00512DA1">
      <w:r>
        <w:t xml:space="preserve">In </w:t>
      </w:r>
      <w:r w:rsidR="001C46AE">
        <w:t xml:space="preserve">1948, </w:t>
      </w:r>
      <w:r w:rsidR="00455B96">
        <w:t xml:space="preserve">New York </w:t>
      </w:r>
      <w:r w:rsidR="00E511D9">
        <w:t>creat</w:t>
      </w:r>
      <w:r w:rsidR="001C46AE">
        <w:t>ed</w:t>
      </w:r>
      <w:r w:rsidR="00E511D9">
        <w:t xml:space="preserve"> a </w:t>
      </w:r>
      <w:r w:rsidR="00455B96">
        <w:t xml:space="preserve">“short form” </w:t>
      </w:r>
      <w:r w:rsidR="001F3FC7">
        <w:t>POA</w:t>
      </w:r>
      <w:r w:rsidR="00455B96">
        <w:t xml:space="preserve"> </w:t>
      </w:r>
      <w:r w:rsidR="00240FB1">
        <w:t xml:space="preserve">to </w:t>
      </w:r>
      <w:r w:rsidR="00455B96">
        <w:t>avoid</w:t>
      </w:r>
      <w:r w:rsidR="00D045A0">
        <w:t xml:space="preserve"> </w:t>
      </w:r>
      <w:r w:rsidR="003B40AD">
        <w:t>lengthy</w:t>
      </w:r>
      <w:r w:rsidR="00D045A0">
        <w:t xml:space="preserve"> </w:t>
      </w:r>
      <w:r w:rsidR="00641D28">
        <w:t>POAs</w:t>
      </w:r>
      <w:r w:rsidR="00D045A0">
        <w:t xml:space="preserve"> that describe</w:t>
      </w:r>
      <w:r w:rsidR="0016004E">
        <w:t>,</w:t>
      </w:r>
      <w:r w:rsidR="00D045A0">
        <w:t xml:space="preserve"> in detail</w:t>
      </w:r>
      <w:r w:rsidR="0016004E">
        <w:t>,</w:t>
      </w:r>
      <w:r w:rsidR="00D045A0">
        <w:t xml:space="preserve"> every power </w:t>
      </w:r>
      <w:r w:rsidR="001A0BFB">
        <w:t>being granted</w:t>
      </w:r>
      <w:r w:rsidR="00D045A0">
        <w:t xml:space="preserve">. Instead, the </w:t>
      </w:r>
      <w:r w:rsidR="001A0BFB">
        <w:t xml:space="preserve">detail is </w:t>
      </w:r>
      <w:r w:rsidR="00E511D9">
        <w:t xml:space="preserve">in the statute, with shorthand references in the </w:t>
      </w:r>
      <w:r w:rsidR="00641D28">
        <w:t>POA</w:t>
      </w:r>
      <w:r w:rsidR="00E511D9">
        <w:t xml:space="preserve"> itself. </w:t>
      </w:r>
      <w:r w:rsidR="00641D28">
        <w:t>T</w:t>
      </w:r>
      <w:r w:rsidR="006653A3">
        <w:t xml:space="preserve">he law was amended in 2008 to create a </w:t>
      </w:r>
      <w:r w:rsidR="00A23108">
        <w:t xml:space="preserve">procedure to </w:t>
      </w:r>
      <w:r w:rsidR="00D57B61">
        <w:t xml:space="preserve">verify that </w:t>
      </w:r>
      <w:r w:rsidR="001908A0">
        <w:t xml:space="preserve">the principal </w:t>
      </w:r>
      <w:r w:rsidR="004A11F6">
        <w:t xml:space="preserve">(the person who grants the POA is known as the “principal”) </w:t>
      </w:r>
      <w:r w:rsidR="001908A0">
        <w:t xml:space="preserve">properly authorized </w:t>
      </w:r>
      <w:r w:rsidR="00D57B61">
        <w:t>large gifts</w:t>
      </w:r>
      <w:r w:rsidR="00A23108">
        <w:t xml:space="preserve">, but </w:t>
      </w:r>
      <w:r w:rsidR="00BD4C39">
        <w:t>th</w:t>
      </w:r>
      <w:r w:rsidR="00540EEF">
        <w:t>at</w:t>
      </w:r>
      <w:r w:rsidR="00BD4C39">
        <w:t xml:space="preserve"> procedure </w:t>
      </w:r>
      <w:r w:rsidR="004A11F6">
        <w:t xml:space="preserve">was </w:t>
      </w:r>
      <w:r w:rsidR="00A23108">
        <w:t>too cumbersome</w:t>
      </w:r>
      <w:r w:rsidR="0027648D">
        <w:t xml:space="preserve">. </w:t>
      </w:r>
      <w:r w:rsidR="00673FC6">
        <w:t xml:space="preserve">The amendment </w:t>
      </w:r>
      <w:r w:rsidR="00B1278C">
        <w:t xml:space="preserve">also </w:t>
      </w:r>
      <w:r w:rsidR="00673FC6">
        <w:t xml:space="preserve">created </w:t>
      </w:r>
      <w:r w:rsidR="004A11F6">
        <w:t xml:space="preserve">other </w:t>
      </w:r>
      <w:r w:rsidR="00B2422F">
        <w:t xml:space="preserve">unintended </w:t>
      </w:r>
      <w:r w:rsidR="0027648D">
        <w:t>problems</w:t>
      </w:r>
      <w:r w:rsidR="00540EEF">
        <w:t xml:space="preserve"> with POAs intended for other purposes</w:t>
      </w:r>
      <w:r w:rsidR="003B40AD">
        <w:t xml:space="preserve">, </w:t>
      </w:r>
      <w:r w:rsidR="0039680C">
        <w:t xml:space="preserve">which the legislature partially </w:t>
      </w:r>
      <w:r w:rsidR="0090538D">
        <w:t xml:space="preserve">solved in </w:t>
      </w:r>
      <w:r w:rsidR="00655A53">
        <w:t>a</w:t>
      </w:r>
      <w:r w:rsidR="0039680C">
        <w:t xml:space="preserve"> 2010 </w:t>
      </w:r>
      <w:r w:rsidR="00655A53">
        <w:t xml:space="preserve">amendment, but many </w:t>
      </w:r>
      <w:r w:rsidR="00BD4C39">
        <w:t xml:space="preserve">of the </w:t>
      </w:r>
      <w:r w:rsidR="0039680C">
        <w:t xml:space="preserve">problems </w:t>
      </w:r>
      <w:r w:rsidR="00655A53">
        <w:t>remained.</w:t>
      </w:r>
    </w:p>
    <w:p w14:paraId="19378244" w14:textId="714FEDAC" w:rsidR="00655A53" w:rsidRDefault="00655A53">
      <w:r>
        <w:t xml:space="preserve">In 2015, the New York State Bar Association created a Task Force to </w:t>
      </w:r>
      <w:r w:rsidR="00DA61ED">
        <w:t xml:space="preserve">fix the </w:t>
      </w:r>
      <w:r w:rsidR="00A23108">
        <w:t>statute</w:t>
      </w:r>
      <w:r w:rsidR="00DA61ED">
        <w:t>. I was honored to be selected, representing the Business Law Section</w:t>
      </w:r>
      <w:r w:rsidR="000124DA">
        <w:t>, as one of the ten members of the Task Force</w:t>
      </w:r>
      <w:r w:rsidR="00DA61ED">
        <w:t xml:space="preserve">. </w:t>
      </w:r>
      <w:r w:rsidR="000124DA">
        <w:t xml:space="preserve">In addition to fixing the </w:t>
      </w:r>
      <w:r w:rsidR="00A64F66">
        <w:t xml:space="preserve">problems </w:t>
      </w:r>
      <w:r w:rsidR="00BE685A">
        <w:t xml:space="preserve">with the provisions regarding large </w:t>
      </w:r>
      <w:r w:rsidR="007640F3">
        <w:t>gift</w:t>
      </w:r>
      <w:r w:rsidR="00BE685A">
        <w:t>s</w:t>
      </w:r>
      <w:r w:rsidR="007640F3">
        <w:t xml:space="preserve">, four members of the Task Force representing the Trusts and Estates and the Elder Law practice areas </w:t>
      </w:r>
      <w:r w:rsidR="002C7D72">
        <w:t xml:space="preserve">insisted on adding provisions </w:t>
      </w:r>
      <w:r w:rsidR="00BE685A">
        <w:t>to</w:t>
      </w:r>
      <w:r w:rsidR="002C7D72">
        <w:t xml:space="preserve"> strengthen</w:t>
      </w:r>
      <w:r w:rsidR="00CD7F10">
        <w:t xml:space="preserve"> the requirement </w:t>
      </w:r>
      <w:r w:rsidR="00912EE1">
        <w:t>that</w:t>
      </w:r>
      <w:r w:rsidR="002C7D72">
        <w:t xml:space="preserve"> </w:t>
      </w:r>
      <w:r w:rsidR="00AF7963">
        <w:t xml:space="preserve">businesses accept </w:t>
      </w:r>
      <w:r w:rsidR="0009538D">
        <w:t>POAs</w:t>
      </w:r>
      <w:r w:rsidR="00E22C84">
        <w:t xml:space="preserve">. </w:t>
      </w:r>
      <w:r w:rsidR="00912EE1">
        <w:t xml:space="preserve">As a </w:t>
      </w:r>
      <w:r w:rsidR="00E22C84">
        <w:t xml:space="preserve">compromise between the competing interests of </w:t>
      </w:r>
      <w:r w:rsidR="00912EE1">
        <w:t>a</w:t>
      </w:r>
      <w:r w:rsidR="00E22C84">
        <w:t xml:space="preserve"> </w:t>
      </w:r>
      <w:r w:rsidR="00090387">
        <w:t xml:space="preserve">principal granting </w:t>
      </w:r>
      <w:r w:rsidR="00E22C84">
        <w:t xml:space="preserve">the POA and </w:t>
      </w:r>
      <w:r w:rsidR="00912EE1">
        <w:t>a</w:t>
      </w:r>
      <w:r w:rsidR="00E22C84">
        <w:t xml:space="preserve"> business rec</w:t>
      </w:r>
      <w:r w:rsidR="001033CB">
        <w:t>e</w:t>
      </w:r>
      <w:r w:rsidR="00E22C84">
        <w:t>iving the POA</w:t>
      </w:r>
      <w:r w:rsidR="001033CB">
        <w:t xml:space="preserve">, </w:t>
      </w:r>
      <w:r w:rsidR="000828D1">
        <w:t xml:space="preserve">the task force </w:t>
      </w:r>
      <w:r w:rsidR="001033CB">
        <w:t xml:space="preserve">added language that protects businesses </w:t>
      </w:r>
      <w:r w:rsidR="000F30DE">
        <w:t xml:space="preserve">against liability for relying </w:t>
      </w:r>
      <w:r w:rsidR="001033CB">
        <w:t>up</w:t>
      </w:r>
      <w:r w:rsidR="000F30DE">
        <w:t>on a POA</w:t>
      </w:r>
      <w:r w:rsidR="0009538D">
        <w:t>. However</w:t>
      </w:r>
      <w:r w:rsidR="000F30DE">
        <w:t xml:space="preserve">, </w:t>
      </w:r>
      <w:r w:rsidR="00B16B97">
        <w:t>taking advantage of those protections requires advance preparation and training.</w:t>
      </w:r>
    </w:p>
    <w:p w14:paraId="4833EADE" w14:textId="4964C865" w:rsidR="00E17B78" w:rsidRDefault="00BE3D4E" w:rsidP="00D83C12">
      <w:r>
        <w:t xml:space="preserve">Businesses may reject POAs that are not the statutory short form with no reason being required. </w:t>
      </w:r>
      <w:r w:rsidR="009B6DBE">
        <w:t>A b</w:t>
      </w:r>
      <w:r w:rsidR="00117091">
        <w:t>usiness</w:t>
      </w:r>
      <w:r w:rsidR="00364921">
        <w:t xml:space="preserve"> in New York may not refuse to accept a statutory short form </w:t>
      </w:r>
      <w:r w:rsidR="001F3FC7">
        <w:t>POA</w:t>
      </w:r>
      <w:r w:rsidR="008A63EE">
        <w:t xml:space="preserve"> unless </w:t>
      </w:r>
      <w:r w:rsidR="009B6DBE">
        <w:t>it has</w:t>
      </w:r>
      <w:r w:rsidR="008A63EE">
        <w:t xml:space="preserve"> a good reason</w:t>
      </w:r>
      <w:r w:rsidR="009B6DBE">
        <w:t xml:space="preserve">, and </w:t>
      </w:r>
      <w:r w:rsidR="00D83B9C">
        <w:t>without a good reason</w:t>
      </w:r>
      <w:r w:rsidR="009B6DBE">
        <w:t xml:space="preserve">, it </w:t>
      </w:r>
      <w:r w:rsidR="001C34CD">
        <w:t>may be liable for damages</w:t>
      </w:r>
      <w:r w:rsidR="00A71E06">
        <w:t xml:space="preserve"> for acting unreasonably</w:t>
      </w:r>
      <w:r w:rsidR="001C34CD">
        <w:t xml:space="preserve">. </w:t>
      </w:r>
      <w:r w:rsidR="00E17B78">
        <w:t xml:space="preserve">A business may also demand an attorney’s opinion letter on relevant legal issues as a condition of accepting a POA. </w:t>
      </w:r>
    </w:p>
    <w:p w14:paraId="506E7AF3" w14:textId="1192CFA0" w:rsidR="00D83C12" w:rsidRDefault="00E17B78" w:rsidP="00D83C12">
      <w:r>
        <w:t>A</w:t>
      </w:r>
      <w:r w:rsidR="007B1197">
        <w:t xml:space="preserve">dvance preparation </w:t>
      </w:r>
      <w:r w:rsidR="009D487F">
        <w:t xml:space="preserve">will </w:t>
      </w:r>
      <w:r w:rsidR="003540A4">
        <w:t xml:space="preserve">substantially mitigate </w:t>
      </w:r>
      <w:r w:rsidR="005268B4">
        <w:t xml:space="preserve">the risk of </w:t>
      </w:r>
      <w:r w:rsidR="001C34CD">
        <w:t>liability</w:t>
      </w:r>
      <w:r w:rsidR="00FE5C88">
        <w:t xml:space="preserve"> </w:t>
      </w:r>
      <w:r w:rsidR="00965EEF">
        <w:t>for</w:t>
      </w:r>
      <w:r w:rsidR="00FE5C88">
        <w:t xml:space="preserve"> a justifiable rejection of a POA. Furthermore, </w:t>
      </w:r>
      <w:r w:rsidR="008175D9">
        <w:t xml:space="preserve">in a compromise that I </w:t>
      </w:r>
      <w:r w:rsidR="00523F92">
        <w:t>drafted</w:t>
      </w:r>
      <w:r w:rsidR="008175D9">
        <w:t>,</w:t>
      </w:r>
      <w:r w:rsidR="000A1D90">
        <w:t xml:space="preserve"> </w:t>
      </w:r>
      <w:r w:rsidR="00517889">
        <w:t>a business</w:t>
      </w:r>
      <w:r w:rsidR="00E72CBE">
        <w:t>, when</w:t>
      </w:r>
      <w:r w:rsidR="00517889">
        <w:t xml:space="preserve"> </w:t>
      </w:r>
      <w:r w:rsidR="00E72CBE">
        <w:t xml:space="preserve">acting in good faith, </w:t>
      </w:r>
      <w:r w:rsidR="00F65A72">
        <w:t xml:space="preserve">may rely upon </w:t>
      </w:r>
      <w:r w:rsidR="001F3FC7">
        <w:t>a POA</w:t>
      </w:r>
      <w:r w:rsidR="00D83C12">
        <w:t xml:space="preserve"> </w:t>
      </w:r>
      <w:r w:rsidR="00517889">
        <w:t xml:space="preserve">that appears to be </w:t>
      </w:r>
      <w:r w:rsidR="00FE5C88">
        <w:t xml:space="preserve">signed and </w:t>
      </w:r>
      <w:r w:rsidR="00517889">
        <w:t>notarized</w:t>
      </w:r>
      <w:r w:rsidR="00A73578">
        <w:t>,</w:t>
      </w:r>
      <w:r w:rsidR="00D83C12">
        <w:t xml:space="preserve"> </w:t>
      </w:r>
      <w:r w:rsidR="00336362">
        <w:t xml:space="preserve">even </w:t>
      </w:r>
      <w:r w:rsidR="00523F92">
        <w:t>though</w:t>
      </w:r>
      <w:r w:rsidR="00336362">
        <w:t xml:space="preserve"> </w:t>
      </w:r>
      <w:r w:rsidR="00D83C12">
        <w:t xml:space="preserve">the </w:t>
      </w:r>
      <w:r w:rsidR="001F3FC7">
        <w:t>POA</w:t>
      </w:r>
      <w:r w:rsidR="00D83C12">
        <w:t xml:space="preserve"> </w:t>
      </w:r>
      <w:r w:rsidR="00336362">
        <w:t xml:space="preserve">is </w:t>
      </w:r>
      <w:r w:rsidR="00523F92">
        <w:t xml:space="preserve">unknowingly </w:t>
      </w:r>
      <w:r w:rsidR="00336362">
        <w:t>forged or no longer in effect</w:t>
      </w:r>
      <w:r w:rsidR="00D83C12">
        <w:t>.</w:t>
      </w:r>
    </w:p>
    <w:p w14:paraId="7DD52CA7" w14:textId="24489114" w:rsidR="00FD7867" w:rsidRDefault="00B12B51" w:rsidP="00D83C12">
      <w:r>
        <w:t xml:space="preserve">A business has </w:t>
      </w:r>
      <w:r w:rsidR="000D41D2">
        <w:t xml:space="preserve">only </w:t>
      </w:r>
      <w:r>
        <w:t xml:space="preserve">10 business days after receiving a POA to send notice of rejection. </w:t>
      </w:r>
      <w:r w:rsidR="000D41D2">
        <w:t>W</w:t>
      </w:r>
      <w:r w:rsidR="008C2FC0">
        <w:t xml:space="preserve">e recommend that </w:t>
      </w:r>
      <w:r w:rsidR="00592F35">
        <w:t xml:space="preserve">all businesses should </w:t>
      </w:r>
      <w:r>
        <w:t xml:space="preserve">be ready to respond </w:t>
      </w:r>
      <w:r w:rsidR="000D41D2">
        <w:t xml:space="preserve">promptly when it receives </w:t>
      </w:r>
      <w:r>
        <w:t xml:space="preserve">a POA by taking </w:t>
      </w:r>
      <w:r w:rsidR="008C2FC0">
        <w:t xml:space="preserve">the following </w:t>
      </w:r>
      <w:r w:rsidR="00592F35">
        <w:t xml:space="preserve">precautions </w:t>
      </w:r>
      <w:r w:rsidR="008C2FC0">
        <w:t>in advance:</w:t>
      </w:r>
    </w:p>
    <w:p w14:paraId="633D9503" w14:textId="3BB98B02" w:rsidR="00A64757" w:rsidRDefault="00965EEF" w:rsidP="008C2FC0">
      <w:pPr>
        <w:pStyle w:val="ListParagraph"/>
        <w:numPr>
          <w:ilvl w:val="0"/>
          <w:numId w:val="2"/>
        </w:numPr>
      </w:pPr>
      <w:r>
        <w:t>H</w:t>
      </w:r>
      <w:r w:rsidR="007B1197">
        <w:t xml:space="preserve">ave </w:t>
      </w:r>
      <w:r w:rsidR="00A71E06">
        <w:t xml:space="preserve">at least two </w:t>
      </w:r>
      <w:r w:rsidR="007B1197">
        <w:t xml:space="preserve">forms ready to </w:t>
      </w:r>
      <w:r w:rsidR="00EE6EDC">
        <w:t>use when presented with a POA.</w:t>
      </w:r>
      <w:r w:rsidR="00EC0A5D">
        <w:t xml:space="preserve"> In many cases, both form</w:t>
      </w:r>
      <w:r w:rsidR="00707D8B">
        <w:t>s</w:t>
      </w:r>
      <w:r w:rsidR="00EC0A5D">
        <w:t xml:space="preserve"> </w:t>
      </w:r>
      <w:r w:rsidR="00B12B51">
        <w:t xml:space="preserve">will </w:t>
      </w:r>
      <w:r w:rsidR="00EC0A5D">
        <w:t xml:space="preserve">be </w:t>
      </w:r>
      <w:r w:rsidR="00AF5055">
        <w:t>used</w:t>
      </w:r>
      <w:r w:rsidR="00EC0A5D">
        <w:t xml:space="preserve"> together.</w:t>
      </w:r>
    </w:p>
    <w:p w14:paraId="6E87D572" w14:textId="3AA35AD9" w:rsidR="00A64757" w:rsidRDefault="00EE6EDC" w:rsidP="00A64757">
      <w:pPr>
        <w:pStyle w:val="ListParagraph"/>
        <w:numPr>
          <w:ilvl w:val="1"/>
          <w:numId w:val="2"/>
        </w:numPr>
        <w:ind w:left="1080"/>
      </w:pPr>
      <w:r>
        <w:t xml:space="preserve">The first form should </w:t>
      </w:r>
      <w:r w:rsidR="008B4CAF">
        <w:t xml:space="preserve">an </w:t>
      </w:r>
      <w:r w:rsidR="007D72C2">
        <w:t xml:space="preserve">affidavit from the </w:t>
      </w:r>
      <w:r w:rsidR="008F79C4">
        <w:t xml:space="preserve">person </w:t>
      </w:r>
      <w:r w:rsidR="00707D8B">
        <w:t xml:space="preserve">who </w:t>
      </w:r>
      <w:r w:rsidR="007D72C2">
        <w:t>seek</w:t>
      </w:r>
      <w:r w:rsidR="00707D8B">
        <w:t>s</w:t>
      </w:r>
      <w:r w:rsidR="007D72C2">
        <w:t xml:space="preserve"> to use the POA</w:t>
      </w:r>
      <w:r w:rsidR="00707D8B">
        <w:t xml:space="preserve"> (known as the “agent”</w:t>
      </w:r>
      <w:r w:rsidR="00DE31F1">
        <w:t>)</w:t>
      </w:r>
      <w:r w:rsidR="008B4CAF">
        <w:t xml:space="preserve"> regarding the effectiveness of the POA, which the business can require the agent to sign</w:t>
      </w:r>
      <w:r w:rsidR="00DC1402">
        <w:t xml:space="preserve"> and have notarized</w:t>
      </w:r>
      <w:r w:rsidR="00A64757">
        <w:t>.</w:t>
      </w:r>
    </w:p>
    <w:p w14:paraId="2EBB193B" w14:textId="0CE1A7C8" w:rsidR="004F1E92" w:rsidRDefault="00E132E6" w:rsidP="00A64757">
      <w:pPr>
        <w:pStyle w:val="ListParagraph"/>
        <w:numPr>
          <w:ilvl w:val="1"/>
          <w:numId w:val="2"/>
        </w:numPr>
        <w:ind w:left="1080"/>
      </w:pPr>
      <w:r>
        <w:t>The second form should be a notice of rejection of the POA, which must explain the reasons for rejection.</w:t>
      </w:r>
      <w:r w:rsidR="00A856C6">
        <w:t xml:space="preserve"> The reasons may vary from industry to industry</w:t>
      </w:r>
      <w:r w:rsidR="000C133C">
        <w:t>. We recommend that the form include as many preprinted reasons as possible, with boxes to check</w:t>
      </w:r>
      <w:r w:rsidR="00A97631">
        <w:t xml:space="preserve"> when </w:t>
      </w:r>
      <w:r w:rsidR="000C133C">
        <w:t xml:space="preserve">applicable, plus </w:t>
      </w:r>
      <w:r w:rsidR="000C133C">
        <w:lastRenderedPageBreak/>
        <w:t xml:space="preserve">an “other” box. </w:t>
      </w:r>
      <w:r w:rsidR="00C54E0D">
        <w:t>T</w:t>
      </w:r>
      <w:r w:rsidR="00980B00">
        <w:t xml:space="preserve">he </w:t>
      </w:r>
      <w:r w:rsidR="00A97631">
        <w:t xml:space="preserve">pre-printed </w:t>
      </w:r>
      <w:r w:rsidR="008F79C4">
        <w:t xml:space="preserve">reasons </w:t>
      </w:r>
      <w:r w:rsidR="00980B00">
        <w:t xml:space="preserve">should </w:t>
      </w:r>
      <w:r w:rsidR="00FA01A5">
        <w:t>include</w:t>
      </w:r>
      <w:r w:rsidR="00DC1402">
        <w:t>, at least,</w:t>
      </w:r>
      <w:r w:rsidR="00980B00">
        <w:t xml:space="preserve"> </w:t>
      </w:r>
      <w:r w:rsidR="00A34497">
        <w:t xml:space="preserve">(i) </w:t>
      </w:r>
      <w:r w:rsidR="00FA01A5">
        <w:t xml:space="preserve">the </w:t>
      </w:r>
      <w:r w:rsidR="00A34497">
        <w:t xml:space="preserve">suspicion of elder abuse; (ii) </w:t>
      </w:r>
      <w:r w:rsidR="00980B00">
        <w:t>the failure to provide an opinion of legal counsel</w:t>
      </w:r>
      <w:r w:rsidR="00A34497">
        <w:t>;</w:t>
      </w:r>
      <w:r w:rsidR="00980B00">
        <w:t xml:space="preserve"> </w:t>
      </w:r>
      <w:r w:rsidR="00A34497">
        <w:t>(</w:t>
      </w:r>
      <w:r w:rsidR="00A63091">
        <w:t>iii</w:t>
      </w:r>
      <w:r w:rsidR="00A34497">
        <w:t xml:space="preserve">) </w:t>
      </w:r>
      <w:r w:rsidR="00A63091">
        <w:t xml:space="preserve">the </w:t>
      </w:r>
      <w:r w:rsidR="008410B0">
        <w:t xml:space="preserve">POA </w:t>
      </w:r>
      <w:r w:rsidR="00A63091">
        <w:t>is not signed and notarized</w:t>
      </w:r>
      <w:r w:rsidR="00217E0A">
        <w:t xml:space="preserve">; (iv) the </w:t>
      </w:r>
      <w:r w:rsidR="008410B0">
        <w:t xml:space="preserve">POA </w:t>
      </w:r>
      <w:r w:rsidR="00217E0A">
        <w:t>is not a signed original or an atto</w:t>
      </w:r>
      <w:r w:rsidR="004F1E92">
        <w:t>rney-certified copy</w:t>
      </w:r>
      <w:r w:rsidR="00A22F09">
        <w:t xml:space="preserve">; </w:t>
      </w:r>
      <w:r w:rsidR="005475CB">
        <w:t>(v) there are complex modifications to the form of POA th</w:t>
      </w:r>
      <w:r w:rsidR="00DE31F1">
        <w:t>at</w:t>
      </w:r>
      <w:r w:rsidR="005475CB">
        <w:t xml:space="preserve"> render the POA confusing, unintelligible or require an unreasonable level of additional </w:t>
      </w:r>
      <w:r w:rsidR="00ED18E8">
        <w:t>research</w:t>
      </w:r>
      <w:r w:rsidR="00DE31F1">
        <w:t xml:space="preserve"> </w:t>
      </w:r>
      <w:r w:rsidR="00C918D6">
        <w:t>to determine if the transaction is authorized</w:t>
      </w:r>
      <w:r w:rsidR="00A97631">
        <w:t>;</w:t>
      </w:r>
      <w:r w:rsidR="00ED18E8">
        <w:t xml:space="preserve"> </w:t>
      </w:r>
      <w:r w:rsidR="00EF69EB">
        <w:t xml:space="preserve">(v) the agent has not properly signed the POA; </w:t>
      </w:r>
      <w:r w:rsidR="006B4293">
        <w:t>(vi) the principal’s signature appears to have been forged</w:t>
      </w:r>
      <w:r w:rsidR="008F4A65">
        <w:t xml:space="preserve"> or not notarized</w:t>
      </w:r>
      <w:r w:rsidR="006B4293">
        <w:t xml:space="preserve">; </w:t>
      </w:r>
      <w:r w:rsidR="00A22F09">
        <w:t>and (v</w:t>
      </w:r>
      <w:r w:rsidR="00EF69EB">
        <w:t>i</w:t>
      </w:r>
      <w:r w:rsidR="006B4293">
        <w:t>i</w:t>
      </w:r>
      <w:r w:rsidR="00A22F09">
        <w:t xml:space="preserve">) the </w:t>
      </w:r>
      <w:r w:rsidR="008410B0">
        <w:t xml:space="preserve">POA has been </w:t>
      </w:r>
      <w:r w:rsidR="0071579B">
        <w:t xml:space="preserve">previously </w:t>
      </w:r>
      <w:r w:rsidR="008410B0">
        <w:t>rejected.</w:t>
      </w:r>
    </w:p>
    <w:p w14:paraId="51A1EF59" w14:textId="77777777" w:rsidR="006B4293" w:rsidRDefault="006B4293" w:rsidP="006B4293">
      <w:pPr>
        <w:pStyle w:val="ListParagraph"/>
        <w:ind w:left="1080"/>
      </w:pPr>
    </w:p>
    <w:p w14:paraId="4C4C45A9" w14:textId="72504ECE" w:rsidR="00E132E6" w:rsidRDefault="00F92CF0" w:rsidP="00A64757">
      <w:pPr>
        <w:pStyle w:val="ListParagraph"/>
        <w:numPr>
          <w:ilvl w:val="1"/>
          <w:numId w:val="2"/>
        </w:numPr>
        <w:ind w:left="1080"/>
      </w:pPr>
      <w:r>
        <w:t>Banks</w:t>
      </w:r>
      <w:r w:rsidR="00BD31DC">
        <w:t>, as frequent recipients of POAs,</w:t>
      </w:r>
      <w:r w:rsidR="00FA01A5">
        <w:t xml:space="preserve"> </w:t>
      </w:r>
      <w:r>
        <w:t xml:space="preserve">should also list </w:t>
      </w:r>
      <w:r w:rsidR="00BD31DC">
        <w:t xml:space="preserve">that </w:t>
      </w:r>
      <w:r w:rsidR="00A63091">
        <w:t xml:space="preserve">(i) </w:t>
      </w:r>
      <w:r w:rsidR="007335D7">
        <w:t xml:space="preserve">the agent is </w:t>
      </w:r>
      <w:r w:rsidR="00D31466">
        <w:t>named on a money-laundering or anti-terrorist list</w:t>
      </w:r>
      <w:r w:rsidR="007335D7">
        <w:t>; (ii)</w:t>
      </w:r>
      <w:r w:rsidR="00C918D6">
        <w:t xml:space="preserve"> the agent has failed</w:t>
      </w:r>
      <w:r w:rsidR="008062AA">
        <w:t xml:space="preserve"> to provi</w:t>
      </w:r>
      <w:r w:rsidR="00A34497">
        <w:t>d</w:t>
      </w:r>
      <w:r w:rsidR="008062AA">
        <w:t>e identification in accordance with the bank’s</w:t>
      </w:r>
      <w:r w:rsidR="00A706A2">
        <w:t xml:space="preserve"> customer identification or enhanced due diligence program</w:t>
      </w:r>
      <w:r w:rsidR="00BD31DC">
        <w:t>;</w:t>
      </w:r>
      <w:r w:rsidR="00A34497">
        <w:t xml:space="preserve"> </w:t>
      </w:r>
      <w:r w:rsidR="00A63091">
        <w:t xml:space="preserve">and </w:t>
      </w:r>
      <w:r w:rsidR="007335D7">
        <w:t>(iii)</w:t>
      </w:r>
      <w:r w:rsidR="00673FC6">
        <w:t xml:space="preserve"> </w:t>
      </w:r>
      <w:r w:rsidR="00720836">
        <w:t xml:space="preserve">the </w:t>
      </w:r>
      <w:r w:rsidR="00C918D6">
        <w:t xml:space="preserve">principal’s </w:t>
      </w:r>
      <w:r w:rsidR="00720836">
        <w:t xml:space="preserve">signature </w:t>
      </w:r>
      <w:r w:rsidR="00C918D6">
        <w:t xml:space="preserve">on the POA </w:t>
      </w:r>
      <w:r w:rsidR="00720836">
        <w:t xml:space="preserve">does not match a signature on file that was given </w:t>
      </w:r>
      <w:r w:rsidR="00EF69EB">
        <w:t>at</w:t>
      </w:r>
      <w:r w:rsidR="00FA01A5">
        <w:t xml:space="preserve"> or </w:t>
      </w:r>
      <w:r w:rsidR="00720836">
        <w:t xml:space="preserve">about the same time </w:t>
      </w:r>
      <w:r w:rsidR="00EF69EB">
        <w:t>that</w:t>
      </w:r>
      <w:r w:rsidR="00720836">
        <w:t xml:space="preserve"> the POA was signed.</w:t>
      </w:r>
    </w:p>
    <w:p w14:paraId="0DF5D570" w14:textId="01B41BA1" w:rsidR="00BC4B7C" w:rsidRDefault="00FA01A5" w:rsidP="00A64757">
      <w:pPr>
        <w:pStyle w:val="ListParagraph"/>
        <w:numPr>
          <w:ilvl w:val="1"/>
          <w:numId w:val="2"/>
        </w:numPr>
        <w:ind w:left="1080"/>
      </w:pPr>
      <w:r>
        <w:t xml:space="preserve">All defects </w:t>
      </w:r>
      <w:r w:rsidR="00FF1B4D">
        <w:t>must</w:t>
      </w:r>
      <w:r>
        <w:t xml:space="preserve"> be state</w:t>
      </w:r>
      <w:r w:rsidR="00673FC6">
        <w:t>d</w:t>
      </w:r>
      <w:r>
        <w:t xml:space="preserve"> in the initial rejection notice.  </w:t>
      </w:r>
      <w:r w:rsidR="00673FC6">
        <w:t>Additional unstated</w:t>
      </w:r>
      <w:r w:rsidR="00BC4B7C">
        <w:t xml:space="preserve"> reasons</w:t>
      </w:r>
      <w:r>
        <w:t xml:space="preserve"> </w:t>
      </w:r>
      <w:r w:rsidR="00FF1B4D">
        <w:t>may</w:t>
      </w:r>
      <w:r>
        <w:t xml:space="preserve"> not</w:t>
      </w:r>
      <w:r w:rsidR="00BC4B7C">
        <w:t xml:space="preserve"> </w:t>
      </w:r>
      <w:r>
        <w:t xml:space="preserve">be reserved </w:t>
      </w:r>
      <w:r w:rsidR="00BC4B7C">
        <w:t xml:space="preserve">for a </w:t>
      </w:r>
      <w:r w:rsidR="00FF1B4D">
        <w:t>second</w:t>
      </w:r>
      <w:r>
        <w:t xml:space="preserve"> </w:t>
      </w:r>
      <w:r w:rsidR="00BC4B7C">
        <w:t xml:space="preserve">rejection. </w:t>
      </w:r>
    </w:p>
    <w:p w14:paraId="3E86350F" w14:textId="0962D6A7" w:rsidR="000A139B" w:rsidRDefault="000A139B" w:rsidP="000A139B">
      <w:pPr>
        <w:pStyle w:val="ListParagraph"/>
        <w:numPr>
          <w:ilvl w:val="0"/>
          <w:numId w:val="2"/>
        </w:numPr>
      </w:pPr>
      <w:r>
        <w:t>All employe</w:t>
      </w:r>
      <w:r w:rsidR="00217E0A">
        <w:t>e</w:t>
      </w:r>
      <w:r>
        <w:t xml:space="preserve">s must be trained on how to handle </w:t>
      </w:r>
      <w:r w:rsidR="0071579B">
        <w:t>POAs</w:t>
      </w:r>
      <w:r>
        <w:t xml:space="preserve">. We recommend that </w:t>
      </w:r>
      <w:r w:rsidR="002F2F11">
        <w:t xml:space="preserve">you should train </w:t>
      </w:r>
      <w:r>
        <w:t xml:space="preserve">one or two employees at each location </w:t>
      </w:r>
      <w:r w:rsidR="00C35917">
        <w:t>in</w:t>
      </w:r>
      <w:r>
        <w:t xml:space="preserve"> the legal requirements</w:t>
      </w:r>
      <w:r w:rsidR="002F2F11">
        <w:t>. O</w:t>
      </w:r>
      <w:r>
        <w:t>ther</w:t>
      </w:r>
      <w:r w:rsidR="00673FC6">
        <w:t xml:space="preserve"> employees</w:t>
      </w:r>
      <w:r>
        <w:t xml:space="preserve"> should be trained </w:t>
      </w:r>
      <w:r w:rsidR="00217E0A">
        <w:t xml:space="preserve">to refer all POAs to </w:t>
      </w:r>
      <w:r w:rsidR="004D4895">
        <w:t>those employees</w:t>
      </w:r>
      <w:r w:rsidR="00217E0A">
        <w:t>. Remember that you have only 10 business days to ac</w:t>
      </w:r>
      <w:r w:rsidR="004F1E92">
        <w:t>cep</w:t>
      </w:r>
      <w:r w:rsidR="00217E0A">
        <w:t>t</w:t>
      </w:r>
      <w:r w:rsidR="004F1E92">
        <w:t xml:space="preserve"> or reject</w:t>
      </w:r>
      <w:r w:rsidR="002F2F11">
        <w:t xml:space="preserve">, so your procedure should require </w:t>
      </w:r>
      <w:r w:rsidR="00A2122F">
        <w:t>prompt action</w:t>
      </w:r>
      <w:r w:rsidR="00217E0A">
        <w:t>.</w:t>
      </w:r>
    </w:p>
    <w:p w14:paraId="553C1898" w14:textId="7994E5E7" w:rsidR="00217E0A" w:rsidRDefault="00D06622" w:rsidP="000A139B">
      <w:pPr>
        <w:pStyle w:val="ListParagraph"/>
        <w:numPr>
          <w:ilvl w:val="0"/>
          <w:numId w:val="2"/>
        </w:numPr>
      </w:pPr>
      <w:r>
        <w:t xml:space="preserve">The statute does not include a time period during which the agent must respond to </w:t>
      </w:r>
      <w:r w:rsidR="002D475C">
        <w:t>a</w:t>
      </w:r>
      <w:r>
        <w:t xml:space="preserve"> request for additional documents or information. </w:t>
      </w:r>
      <w:r w:rsidR="002D475C">
        <w:t>A</w:t>
      </w:r>
      <w:r>
        <w:t xml:space="preserve"> </w:t>
      </w:r>
      <w:r w:rsidR="00BC4B7C">
        <w:t xml:space="preserve">business has seven business </w:t>
      </w:r>
      <w:r w:rsidR="009C31AE">
        <w:t>days after receiving</w:t>
      </w:r>
      <w:r w:rsidR="00EC0A5D">
        <w:t xml:space="preserve"> </w:t>
      </w:r>
      <w:r>
        <w:t xml:space="preserve">the agent’s </w:t>
      </w:r>
      <w:r w:rsidR="00A2122F">
        <w:t>response</w:t>
      </w:r>
      <w:r w:rsidR="00EC0A5D">
        <w:t xml:space="preserve"> to either accept the POA or issue a final rejection. </w:t>
      </w:r>
      <w:r w:rsidR="00F45B1B">
        <w:t>The agent only gets two bites at the apple. A first bite when the</w:t>
      </w:r>
      <w:r w:rsidR="00C35917">
        <w:t xml:space="preserve"> </w:t>
      </w:r>
      <w:r w:rsidR="00E06086">
        <w:t xml:space="preserve">agent </w:t>
      </w:r>
      <w:r w:rsidR="00F45B1B">
        <w:t>present</w:t>
      </w:r>
      <w:r w:rsidR="00E06086">
        <w:t>s</w:t>
      </w:r>
      <w:r w:rsidR="00F45B1B">
        <w:t xml:space="preserve"> the POA and </w:t>
      </w:r>
      <w:r w:rsidR="00A22F09">
        <w:t>a</w:t>
      </w:r>
      <w:r w:rsidR="00F45B1B">
        <w:t xml:space="preserve"> second bite when </w:t>
      </w:r>
      <w:r w:rsidR="00E06086">
        <w:t xml:space="preserve">the agent </w:t>
      </w:r>
      <w:r w:rsidR="00F45B1B">
        <w:t>respond</w:t>
      </w:r>
      <w:r w:rsidR="00E06086">
        <w:t>s</w:t>
      </w:r>
      <w:r w:rsidR="00F45B1B">
        <w:t xml:space="preserve"> to a notice of rejection</w:t>
      </w:r>
      <w:r w:rsidR="00A22F09">
        <w:t xml:space="preserve"> or demand for an affidavit</w:t>
      </w:r>
      <w:r w:rsidR="00F45B1B">
        <w:t>.</w:t>
      </w:r>
      <w:r w:rsidR="00A22F09">
        <w:t xml:space="preserve"> </w:t>
      </w:r>
      <w:r w:rsidR="00D97002">
        <w:t>If</w:t>
      </w:r>
      <w:r w:rsidR="008410B0">
        <w:t xml:space="preserve"> the agent fails to provide the documents </w:t>
      </w:r>
      <w:r w:rsidR="002E3CEC">
        <w:t xml:space="preserve">and information </w:t>
      </w:r>
      <w:r w:rsidR="008410B0">
        <w:t>necessary</w:t>
      </w:r>
      <w:r w:rsidR="00D80C05">
        <w:t xml:space="preserve"> to cure </w:t>
      </w:r>
      <w:r w:rsidR="00E06086">
        <w:t xml:space="preserve">all </w:t>
      </w:r>
      <w:r w:rsidR="00D80C05">
        <w:t xml:space="preserve">problems, </w:t>
      </w:r>
      <w:r w:rsidR="00D97002">
        <w:t xml:space="preserve">then </w:t>
      </w:r>
      <w:r w:rsidR="002D475C">
        <w:t>you</w:t>
      </w:r>
      <w:r w:rsidR="00E06086">
        <w:t xml:space="preserve"> should </w:t>
      </w:r>
      <w:r w:rsidR="00C02148">
        <w:t xml:space="preserve">notify </w:t>
      </w:r>
      <w:r w:rsidR="00E06086">
        <w:t xml:space="preserve">the agent </w:t>
      </w:r>
      <w:r w:rsidR="00C02148">
        <w:t>that</w:t>
      </w:r>
      <w:r w:rsidR="00FA01A5">
        <w:t xml:space="preserve"> the</w:t>
      </w:r>
      <w:r w:rsidR="00E06086">
        <w:t xml:space="preserve"> </w:t>
      </w:r>
      <w:r w:rsidR="00D80C05">
        <w:t xml:space="preserve">rejection </w:t>
      </w:r>
      <w:r w:rsidR="00C02148">
        <w:t>is</w:t>
      </w:r>
      <w:r w:rsidR="00D80C05">
        <w:t xml:space="preserve"> final</w:t>
      </w:r>
      <w:r w:rsidR="00C02148">
        <w:t xml:space="preserve"> because of the agent’s failure</w:t>
      </w:r>
      <w:r w:rsidR="00D80C05">
        <w:t>.</w:t>
      </w:r>
    </w:p>
    <w:p w14:paraId="23158CA9" w14:textId="6044C527" w:rsidR="00D155BF" w:rsidRDefault="00A23DD3" w:rsidP="00ED18E8">
      <w:r>
        <w:t xml:space="preserve">A business should not accept a power of attorney if it has </w:t>
      </w:r>
      <w:r w:rsidR="00680E74">
        <w:t xml:space="preserve">actual knowledge </w:t>
      </w:r>
      <w:r w:rsidR="00E166C7">
        <w:t>or a reasonable basis to believe that</w:t>
      </w:r>
      <w:r w:rsidR="00B961BB">
        <w:t xml:space="preserve"> </w:t>
      </w:r>
      <w:r w:rsidR="00E166C7">
        <w:t xml:space="preserve">(i) </w:t>
      </w:r>
      <w:r w:rsidR="00B961BB">
        <w:t xml:space="preserve">a </w:t>
      </w:r>
      <w:r w:rsidR="00D155BF">
        <w:t xml:space="preserve">report </w:t>
      </w:r>
      <w:r w:rsidR="00F20E09">
        <w:t xml:space="preserve">has been made </w:t>
      </w:r>
      <w:r w:rsidR="00B961BB">
        <w:t>to a government agency alleging elder abuse</w:t>
      </w:r>
      <w:r w:rsidR="00D155BF">
        <w:t>;</w:t>
      </w:r>
      <w:r w:rsidR="00E166C7">
        <w:t xml:space="preserve"> (ii) the </w:t>
      </w:r>
      <w:r w:rsidR="00D155BF">
        <w:t>principal</w:t>
      </w:r>
      <w:r w:rsidR="00E166C7">
        <w:t xml:space="preserve"> has died</w:t>
      </w:r>
      <w:r w:rsidR="00D155BF">
        <w:t>;</w:t>
      </w:r>
      <w:r w:rsidR="00E166C7">
        <w:t xml:space="preserve"> (iii) </w:t>
      </w:r>
      <w:r w:rsidR="00D155BF">
        <w:t>the principal is incapacitated</w:t>
      </w:r>
      <w:r w:rsidR="00F20E09">
        <w:t>, unless</w:t>
      </w:r>
      <w:r w:rsidR="003B734E">
        <w:t xml:space="preserve"> the POA </w:t>
      </w:r>
      <w:r w:rsidR="00F20E09">
        <w:t xml:space="preserve">provides that it survives </w:t>
      </w:r>
      <w:r w:rsidR="003B734E">
        <w:t>disability</w:t>
      </w:r>
      <w:r w:rsidR="00D155BF">
        <w:t>;</w:t>
      </w:r>
      <w:r w:rsidR="003B734E">
        <w:t xml:space="preserve"> (iv)</w:t>
      </w:r>
      <w:r w:rsidR="00D155BF">
        <w:t xml:space="preserve"> the principal was incapacitated at the time the </w:t>
      </w:r>
      <w:r w:rsidR="003601D5">
        <w:t>POA</w:t>
      </w:r>
      <w:r w:rsidR="00D155BF">
        <w:t xml:space="preserve"> was executed;</w:t>
      </w:r>
      <w:r w:rsidR="00ED18E8">
        <w:t xml:space="preserve"> </w:t>
      </w:r>
      <w:r w:rsidR="003601D5">
        <w:t xml:space="preserve">or </w:t>
      </w:r>
      <w:r w:rsidR="00D155BF">
        <w:t>(</w:t>
      </w:r>
      <w:r w:rsidR="00ED18E8">
        <w:t>v</w:t>
      </w:r>
      <w:r w:rsidR="00D155BF">
        <w:t xml:space="preserve">) the </w:t>
      </w:r>
      <w:r w:rsidR="00ED18E8">
        <w:t>POA</w:t>
      </w:r>
      <w:r w:rsidR="00D155BF">
        <w:t xml:space="preserve"> was procured through fraud, duress or undue influence</w:t>
      </w:r>
      <w:r w:rsidR="00ED18E8">
        <w:t>.</w:t>
      </w:r>
    </w:p>
    <w:p w14:paraId="4EE9E2D8" w14:textId="59700D69" w:rsidR="00D83C12" w:rsidRDefault="00ED18E8">
      <w:r>
        <w:t xml:space="preserve">Actual knowledge </w:t>
      </w:r>
      <w:r w:rsidR="009C41FF">
        <w:t>refers to the knowledge o</w:t>
      </w:r>
      <w:r w:rsidR="00B961BB" w:rsidRPr="00A23DD3">
        <w:t xml:space="preserve">f the employee conducting the transaction involving the </w:t>
      </w:r>
      <w:r w:rsidR="009C41FF">
        <w:t xml:space="preserve">POA </w:t>
      </w:r>
      <w:r w:rsidR="00B961BB" w:rsidRPr="00A23DD3">
        <w:t>after making reasonable inquiry.</w:t>
      </w:r>
      <w:r w:rsidR="009E6EED">
        <w:t xml:space="preserve"> </w:t>
      </w:r>
      <w:r w:rsidR="003601D5">
        <w:t>“R</w:t>
      </w:r>
      <w:r w:rsidR="009E6EED">
        <w:t xml:space="preserve">easonable inquiry” depends upon the nature of the </w:t>
      </w:r>
      <w:r w:rsidR="0068024F">
        <w:t>business but</w:t>
      </w:r>
      <w:r w:rsidR="009E6EED">
        <w:t xml:space="preserve"> should include </w:t>
      </w:r>
      <w:r w:rsidR="003722A1">
        <w:t xml:space="preserve">consulting </w:t>
      </w:r>
      <w:r w:rsidR="009E6EED">
        <w:t>with other employees who regularly</w:t>
      </w:r>
      <w:r w:rsidR="009542BD">
        <w:t xml:space="preserve"> deal with the principal’s business. For example, if a POA is presented to a bank branch in Manhattan when the principal does business in</w:t>
      </w:r>
      <w:r w:rsidR="00EC1EC4">
        <w:t xml:space="preserve"> Albany, inquiry to the personnel in Albany is appropriate.</w:t>
      </w:r>
    </w:p>
    <w:p w14:paraId="15E04499" w14:textId="7904657B" w:rsidR="00F20E09" w:rsidRDefault="00E77FAE">
      <w:r>
        <w:t>The Short Form Power of Attorney statute is far from short itself, and it contains many complexities.</w:t>
      </w:r>
      <w:r w:rsidR="00C0150E">
        <w:t xml:space="preserve"> This article is just</w:t>
      </w:r>
      <w:r>
        <w:t xml:space="preserve"> </w:t>
      </w:r>
      <w:r w:rsidR="00C0150E">
        <w:t>a brief discussion of one of the</w:t>
      </w:r>
      <w:r w:rsidR="003601D5">
        <w:t xml:space="preserve"> many</w:t>
      </w:r>
      <w:r w:rsidR="00C0150E">
        <w:t xml:space="preserve"> important relevant issues. </w:t>
      </w:r>
      <w:r>
        <w:t xml:space="preserve">If you have any questions regarding powers of attorney or the obligation to accept them, please contact </w:t>
      </w:r>
      <w:r w:rsidR="00254A14">
        <w:t xml:space="preserve">Jay L. Hack, Esq. at </w:t>
      </w:r>
      <w:hyperlink r:id="rId8" w:history="1">
        <w:r w:rsidR="00254A14" w:rsidRPr="009A5D07">
          <w:rPr>
            <w:rStyle w:val="Hyperlink"/>
          </w:rPr>
          <w:t>jlh@gdblaw.com</w:t>
        </w:r>
      </w:hyperlink>
      <w:r w:rsidR="00254A14">
        <w:t xml:space="preserve">, or </w:t>
      </w:r>
      <w:r>
        <w:t xml:space="preserve">your attorney </w:t>
      </w:r>
      <w:r w:rsidR="003706F5">
        <w:t>at</w:t>
      </w:r>
      <w:r>
        <w:t xml:space="preserve"> </w:t>
      </w:r>
      <w:proofErr w:type="spellStart"/>
      <w:r>
        <w:t>Gallet</w:t>
      </w:r>
      <w:proofErr w:type="spellEnd"/>
      <w:r>
        <w:t xml:space="preserve"> Dreyer &amp; Berkey</w:t>
      </w:r>
      <w:r w:rsidR="003706F5">
        <w:t>,</w:t>
      </w:r>
      <w:r>
        <w:t xml:space="preserve"> LLP</w:t>
      </w:r>
      <w:r w:rsidR="002C09F8">
        <w:t>.</w:t>
      </w:r>
    </w:p>
    <w:sectPr w:rsidR="00F20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3F05" w14:textId="77777777" w:rsidR="003551C7" w:rsidRDefault="003551C7" w:rsidP="00864982">
      <w:pPr>
        <w:spacing w:after="0" w:line="240" w:lineRule="auto"/>
      </w:pPr>
      <w:r>
        <w:separator/>
      </w:r>
    </w:p>
  </w:endnote>
  <w:endnote w:type="continuationSeparator" w:id="0">
    <w:p w14:paraId="1237185D" w14:textId="77777777" w:rsidR="003551C7" w:rsidRDefault="003551C7" w:rsidP="0086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676E" w14:textId="77777777" w:rsidR="00673FC6" w:rsidRDefault="00673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6C4A" w14:textId="77777777" w:rsidR="00673FC6" w:rsidRDefault="00673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FF7D" w14:textId="77777777" w:rsidR="00673FC6" w:rsidRDefault="0067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20C5" w14:textId="77777777" w:rsidR="003551C7" w:rsidRDefault="003551C7" w:rsidP="00864982">
      <w:pPr>
        <w:spacing w:after="0" w:line="240" w:lineRule="auto"/>
      </w:pPr>
      <w:r>
        <w:separator/>
      </w:r>
    </w:p>
  </w:footnote>
  <w:footnote w:type="continuationSeparator" w:id="0">
    <w:p w14:paraId="62B0FB1F" w14:textId="77777777" w:rsidR="003551C7" w:rsidRDefault="003551C7" w:rsidP="0086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3C4" w14:textId="77777777" w:rsidR="00673FC6" w:rsidRDefault="00673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F9C7" w14:textId="77777777" w:rsidR="00673FC6" w:rsidRDefault="00673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7213" w14:textId="77777777" w:rsidR="00673FC6" w:rsidRDefault="00673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DEF"/>
    <w:multiLevelType w:val="hybridMultilevel"/>
    <w:tmpl w:val="A42A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8D5E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A6E"/>
    <w:multiLevelType w:val="hybridMultilevel"/>
    <w:tmpl w:val="ADF4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DD5BF46-869C-40D1-9386-19A53237C1B8}"/>
    <w:docVar w:name="dgnword-drafile" w:val="C:\Users\jlh\AppData\Local\Temp\dra74B6.tmp"/>
    <w:docVar w:name="dgnword-eventsink" w:val="2173851025232"/>
  </w:docVars>
  <w:rsids>
    <w:rsidRoot w:val="00455B96"/>
    <w:rsid w:val="000124DA"/>
    <w:rsid w:val="00013F23"/>
    <w:rsid w:val="000828D1"/>
    <w:rsid w:val="00090387"/>
    <w:rsid w:val="0009231C"/>
    <w:rsid w:val="0009538D"/>
    <w:rsid w:val="000A139B"/>
    <w:rsid w:val="000A1D90"/>
    <w:rsid w:val="000C133C"/>
    <w:rsid w:val="000D1E04"/>
    <w:rsid w:val="000D41D2"/>
    <w:rsid w:val="000F30DE"/>
    <w:rsid w:val="001033CB"/>
    <w:rsid w:val="00117091"/>
    <w:rsid w:val="0016004E"/>
    <w:rsid w:val="001908A0"/>
    <w:rsid w:val="00196F20"/>
    <w:rsid w:val="001A0BFB"/>
    <w:rsid w:val="001C34CD"/>
    <w:rsid w:val="001C46AE"/>
    <w:rsid w:val="001E6582"/>
    <w:rsid w:val="001F3FC7"/>
    <w:rsid w:val="00217E0A"/>
    <w:rsid w:val="00240FB1"/>
    <w:rsid w:val="00254A14"/>
    <w:rsid w:val="00256415"/>
    <w:rsid w:val="00261C74"/>
    <w:rsid w:val="0027648D"/>
    <w:rsid w:val="00295794"/>
    <w:rsid w:val="002B1135"/>
    <w:rsid w:val="002C09F8"/>
    <w:rsid w:val="002C7D72"/>
    <w:rsid w:val="002D475C"/>
    <w:rsid w:val="002E3CEC"/>
    <w:rsid w:val="002F2F11"/>
    <w:rsid w:val="00302053"/>
    <w:rsid w:val="00336362"/>
    <w:rsid w:val="003540A4"/>
    <w:rsid w:val="003551C7"/>
    <w:rsid w:val="003601D5"/>
    <w:rsid w:val="00364921"/>
    <w:rsid w:val="003706F5"/>
    <w:rsid w:val="003722A1"/>
    <w:rsid w:val="0039680C"/>
    <w:rsid w:val="003B40AD"/>
    <w:rsid w:val="003B734E"/>
    <w:rsid w:val="0042513D"/>
    <w:rsid w:val="004315DF"/>
    <w:rsid w:val="00455B96"/>
    <w:rsid w:val="00470571"/>
    <w:rsid w:val="004A11F6"/>
    <w:rsid w:val="004D4895"/>
    <w:rsid w:val="004F1E92"/>
    <w:rsid w:val="00512DA1"/>
    <w:rsid w:val="00517889"/>
    <w:rsid w:val="00523F92"/>
    <w:rsid w:val="005268B4"/>
    <w:rsid w:val="0053105E"/>
    <w:rsid w:val="00540EEF"/>
    <w:rsid w:val="005475CB"/>
    <w:rsid w:val="00592F35"/>
    <w:rsid w:val="005E7DEB"/>
    <w:rsid w:val="00615B51"/>
    <w:rsid w:val="006359A0"/>
    <w:rsid w:val="00637F8A"/>
    <w:rsid w:val="00641D28"/>
    <w:rsid w:val="00644B78"/>
    <w:rsid w:val="00655A53"/>
    <w:rsid w:val="006653A3"/>
    <w:rsid w:val="00673FC6"/>
    <w:rsid w:val="0067430C"/>
    <w:rsid w:val="0068024F"/>
    <w:rsid w:val="00680E74"/>
    <w:rsid w:val="006A560E"/>
    <w:rsid w:val="006A7A63"/>
    <w:rsid w:val="006B27EA"/>
    <w:rsid w:val="006B4293"/>
    <w:rsid w:val="006D7950"/>
    <w:rsid w:val="006E636D"/>
    <w:rsid w:val="00707D8B"/>
    <w:rsid w:val="00710F75"/>
    <w:rsid w:val="0071579B"/>
    <w:rsid w:val="00720836"/>
    <w:rsid w:val="007335D7"/>
    <w:rsid w:val="00754D4B"/>
    <w:rsid w:val="007640F3"/>
    <w:rsid w:val="007A333C"/>
    <w:rsid w:val="007B1197"/>
    <w:rsid w:val="007D72C2"/>
    <w:rsid w:val="008062AA"/>
    <w:rsid w:val="008175D9"/>
    <w:rsid w:val="008410B0"/>
    <w:rsid w:val="00864982"/>
    <w:rsid w:val="008A63EE"/>
    <w:rsid w:val="008B4CAF"/>
    <w:rsid w:val="008C2FC0"/>
    <w:rsid w:val="008F4A65"/>
    <w:rsid w:val="008F79C4"/>
    <w:rsid w:val="0090538D"/>
    <w:rsid w:val="00912EE1"/>
    <w:rsid w:val="009203C9"/>
    <w:rsid w:val="00933CF4"/>
    <w:rsid w:val="009542BD"/>
    <w:rsid w:val="00964D99"/>
    <w:rsid w:val="00965EEF"/>
    <w:rsid w:val="00980B00"/>
    <w:rsid w:val="00995EDA"/>
    <w:rsid w:val="009A6253"/>
    <w:rsid w:val="009B6DBE"/>
    <w:rsid w:val="009C31AE"/>
    <w:rsid w:val="009C41FF"/>
    <w:rsid w:val="009D4186"/>
    <w:rsid w:val="009D487F"/>
    <w:rsid w:val="009E0E8C"/>
    <w:rsid w:val="009E6EED"/>
    <w:rsid w:val="00A2122F"/>
    <w:rsid w:val="00A22F09"/>
    <w:rsid w:val="00A23108"/>
    <w:rsid w:val="00A23DD3"/>
    <w:rsid w:val="00A24ADE"/>
    <w:rsid w:val="00A34497"/>
    <w:rsid w:val="00A63091"/>
    <w:rsid w:val="00A64757"/>
    <w:rsid w:val="00A64F66"/>
    <w:rsid w:val="00A706A2"/>
    <w:rsid w:val="00A71E06"/>
    <w:rsid w:val="00A73578"/>
    <w:rsid w:val="00A856C6"/>
    <w:rsid w:val="00A97631"/>
    <w:rsid w:val="00AC4ED4"/>
    <w:rsid w:val="00AF5055"/>
    <w:rsid w:val="00AF7963"/>
    <w:rsid w:val="00B1278C"/>
    <w:rsid w:val="00B12B51"/>
    <w:rsid w:val="00B16B97"/>
    <w:rsid w:val="00B2422F"/>
    <w:rsid w:val="00B961BB"/>
    <w:rsid w:val="00BC256A"/>
    <w:rsid w:val="00BC4B7C"/>
    <w:rsid w:val="00BD31DC"/>
    <w:rsid w:val="00BD4C39"/>
    <w:rsid w:val="00BE3D4E"/>
    <w:rsid w:val="00BE685A"/>
    <w:rsid w:val="00C0150E"/>
    <w:rsid w:val="00C02148"/>
    <w:rsid w:val="00C35917"/>
    <w:rsid w:val="00C44CDF"/>
    <w:rsid w:val="00C54E0D"/>
    <w:rsid w:val="00C918D6"/>
    <w:rsid w:val="00CD7F10"/>
    <w:rsid w:val="00D045A0"/>
    <w:rsid w:val="00D06622"/>
    <w:rsid w:val="00D155BF"/>
    <w:rsid w:val="00D31466"/>
    <w:rsid w:val="00D57B61"/>
    <w:rsid w:val="00D6691E"/>
    <w:rsid w:val="00D80C05"/>
    <w:rsid w:val="00D83B9C"/>
    <w:rsid w:val="00D83C12"/>
    <w:rsid w:val="00D97002"/>
    <w:rsid w:val="00DA61ED"/>
    <w:rsid w:val="00DB1AF2"/>
    <w:rsid w:val="00DC1402"/>
    <w:rsid w:val="00DE31F1"/>
    <w:rsid w:val="00E06086"/>
    <w:rsid w:val="00E132E6"/>
    <w:rsid w:val="00E166C7"/>
    <w:rsid w:val="00E17B78"/>
    <w:rsid w:val="00E22C84"/>
    <w:rsid w:val="00E511D9"/>
    <w:rsid w:val="00E72CBE"/>
    <w:rsid w:val="00E72E9C"/>
    <w:rsid w:val="00E77FAE"/>
    <w:rsid w:val="00EB790C"/>
    <w:rsid w:val="00EC0A5D"/>
    <w:rsid w:val="00EC1EC4"/>
    <w:rsid w:val="00EC6E63"/>
    <w:rsid w:val="00ED18E8"/>
    <w:rsid w:val="00EE6EDC"/>
    <w:rsid w:val="00EF69EB"/>
    <w:rsid w:val="00F20E09"/>
    <w:rsid w:val="00F45B1B"/>
    <w:rsid w:val="00F65A72"/>
    <w:rsid w:val="00F667A5"/>
    <w:rsid w:val="00F83DAE"/>
    <w:rsid w:val="00F87978"/>
    <w:rsid w:val="00F92CF0"/>
    <w:rsid w:val="00F93D65"/>
    <w:rsid w:val="00FA01A5"/>
    <w:rsid w:val="00FC76B5"/>
    <w:rsid w:val="00FD7867"/>
    <w:rsid w:val="00FD7AA6"/>
    <w:rsid w:val="00FE5C88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EFE8"/>
  <w15:chartTrackingRefBased/>
  <w15:docId w15:val="{14A9B9D8-5827-42A0-BD53-26DED0A3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82"/>
  </w:style>
  <w:style w:type="paragraph" w:styleId="Footer">
    <w:name w:val="footer"/>
    <w:basedOn w:val="Normal"/>
    <w:link w:val="FooterChar"/>
    <w:uiPriority w:val="99"/>
    <w:unhideWhenUsed/>
    <w:rsid w:val="0086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82"/>
  </w:style>
  <w:style w:type="character" w:styleId="CommentReference">
    <w:name w:val="annotation reference"/>
    <w:basedOn w:val="DefaultParagraphFont"/>
    <w:uiPriority w:val="99"/>
    <w:semiHidden/>
    <w:unhideWhenUsed/>
    <w:rsid w:val="00FA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h@gdbla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9A2F-CA44-4D87-BCE7-DEABE1E0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5957</Characters>
  <Application>Microsoft Office Word</Application>
  <DocSecurity>4</DocSecurity>
  <PresentationFormat/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GDB Client Files\09999\001\MPQ\01191710.DOCX\Jay's Article on POAs w/MPQ edits</vt:lpstr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GDB Client Files\09999\001\MPQ\01191710.DOCX\Jay's Article on POAs w/MPQ edits</dc:title>
  <dc:subject>.</dc:subject>
  <dc:creator>Jay L. Hack</dc:creator>
  <cp:keywords/>
  <dc:description/>
  <cp:lastModifiedBy>Witkowski,John</cp:lastModifiedBy>
  <cp:revision>2</cp:revision>
  <dcterms:created xsi:type="dcterms:W3CDTF">2021-03-03T17:49:00Z</dcterms:created>
  <dcterms:modified xsi:type="dcterms:W3CDTF">2021-03-03T17:49:00Z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10/12/2020 11:27:04 AM</vt:lpwstr>
  </property>
</Properties>
</file>