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F5A7" w14:textId="77777777" w:rsidR="004C4F00" w:rsidRPr="0006263F" w:rsidRDefault="004C4F00" w:rsidP="009C7D32">
      <w:pPr>
        <w:tabs>
          <w:tab w:val="left" w:pos="540"/>
        </w:tabs>
        <w:rPr>
          <w:rStyle w:val="ICBAbold"/>
        </w:rPr>
      </w:pPr>
    </w:p>
    <w:p w14:paraId="0CFEC57D" w14:textId="2A332B02" w:rsidR="007A2F87" w:rsidRPr="0006263F" w:rsidRDefault="00864D38" w:rsidP="0006263F">
      <w:pPr>
        <w:tabs>
          <w:tab w:val="left" w:pos="540"/>
        </w:tabs>
        <w:jc w:val="center"/>
        <w:rPr>
          <w:rStyle w:val="ICBAbold"/>
          <w:sz w:val="44"/>
          <w:szCs w:val="44"/>
        </w:rPr>
      </w:pPr>
      <w:r>
        <w:rPr>
          <w:rStyle w:val="ICBAbold"/>
          <w:bCs/>
          <w:sz w:val="44"/>
          <w:szCs w:val="44"/>
        </w:rPr>
        <w:t>Do’s, Don’ts, and Maybes</w:t>
      </w:r>
    </w:p>
    <w:p w14:paraId="658FE2D6" w14:textId="6A11226A" w:rsidR="004C4F00" w:rsidRPr="009E10C0" w:rsidRDefault="00864D38" w:rsidP="00F7400C">
      <w:pPr>
        <w:tabs>
          <w:tab w:val="left" w:pos="540"/>
        </w:tabs>
        <w:jc w:val="center"/>
        <w:rPr>
          <w:rStyle w:val="ICBAbold"/>
          <w:sz w:val="28"/>
          <w:szCs w:val="28"/>
        </w:rPr>
      </w:pPr>
      <w:r>
        <w:rPr>
          <w:rStyle w:val="ICBAbold"/>
          <w:sz w:val="28"/>
          <w:szCs w:val="28"/>
        </w:rPr>
        <w:t>A set of simple rules to streamline portfolio management in 2021</w:t>
      </w:r>
      <w:r w:rsidR="00E35E3F">
        <w:rPr>
          <w:rStyle w:val="ICBAbold"/>
          <w:sz w:val="28"/>
          <w:szCs w:val="28"/>
        </w:rPr>
        <w:t>.</w:t>
      </w:r>
    </w:p>
    <w:p w14:paraId="3B6B13D4" w14:textId="2371AF8B" w:rsidR="002D72FA" w:rsidRPr="009E10C0" w:rsidRDefault="00773453" w:rsidP="0006263F">
      <w:pPr>
        <w:tabs>
          <w:tab w:val="left" w:pos="540"/>
        </w:tabs>
        <w:jc w:val="center"/>
        <w:rPr>
          <w:rStyle w:val="ICBAbold"/>
          <w:sz w:val="22"/>
          <w:szCs w:val="22"/>
        </w:rPr>
      </w:pPr>
      <w:r w:rsidRPr="009E10C0">
        <w:rPr>
          <w:rStyle w:val="ICBAbold"/>
          <w:sz w:val="22"/>
          <w:szCs w:val="22"/>
        </w:rPr>
        <w:t>By Jim Reber</w:t>
      </w:r>
    </w:p>
    <w:p w14:paraId="3D76A72A" w14:textId="4C0E5996" w:rsidR="002D72FA" w:rsidRPr="0006263F" w:rsidRDefault="002D72FA" w:rsidP="009C7D32">
      <w:pPr>
        <w:tabs>
          <w:tab w:val="left" w:pos="540"/>
        </w:tabs>
        <w:rPr>
          <w:rStyle w:val="ICBAbold"/>
          <w:b w:val="0"/>
        </w:rPr>
      </w:pPr>
    </w:p>
    <w:p w14:paraId="4948A831" w14:textId="1E45789D" w:rsidR="00E35E3F" w:rsidRDefault="00E35E3F" w:rsidP="009E10C0">
      <w:pPr>
        <w:tabs>
          <w:tab w:val="left" w:pos="540"/>
        </w:tabs>
        <w:jc w:val="both"/>
        <w:rPr>
          <w:rStyle w:val="ICBAbold"/>
          <w:b w:val="0"/>
        </w:rPr>
      </w:pPr>
      <w:r>
        <w:rPr>
          <w:rStyle w:val="ICBAbold"/>
          <w:b w:val="0"/>
        </w:rPr>
        <w:t xml:space="preserve">If my recent aggregate conversations with investment managers are an indication, there is still a lot of seat-of-the-pants decision making going on out there when it comes to portfolio strategies. And I hasten to add this is not a criticism; it’s merely an observation. </w:t>
      </w:r>
      <w:r w:rsidR="00C164B4">
        <w:rPr>
          <w:rStyle w:val="ICBAbold"/>
          <w:b w:val="0"/>
        </w:rPr>
        <w:t>Why should we expect anything else?</w:t>
      </w:r>
    </w:p>
    <w:p w14:paraId="772596A0" w14:textId="77777777" w:rsidR="00E35E3F" w:rsidRDefault="00E35E3F" w:rsidP="009E10C0">
      <w:pPr>
        <w:tabs>
          <w:tab w:val="left" w:pos="540"/>
        </w:tabs>
        <w:jc w:val="both"/>
        <w:rPr>
          <w:rStyle w:val="ICBAbold"/>
          <w:b w:val="0"/>
        </w:rPr>
      </w:pPr>
    </w:p>
    <w:p w14:paraId="2C1082DE" w14:textId="7A2A87DF" w:rsidR="004148C7" w:rsidRDefault="00E35E3F" w:rsidP="009E10C0">
      <w:pPr>
        <w:tabs>
          <w:tab w:val="left" w:pos="540"/>
        </w:tabs>
        <w:jc w:val="both"/>
        <w:rPr>
          <w:rStyle w:val="ICBAbold"/>
          <w:b w:val="0"/>
        </w:rPr>
      </w:pPr>
      <w:r>
        <w:rPr>
          <w:rStyle w:val="ICBAbold"/>
          <w:b w:val="0"/>
        </w:rPr>
        <w:t>Banks are still sitting on a lot of cash</w:t>
      </w:r>
      <w:r w:rsidR="001C04E4">
        <w:rPr>
          <w:rStyle w:val="ICBAbold"/>
          <w:b w:val="0"/>
        </w:rPr>
        <w:t xml:space="preserve">. The bond market is giving mixed signals with short rates being anchored at near-zero </w:t>
      </w:r>
      <w:r w:rsidR="00E834D8">
        <w:rPr>
          <w:rStyle w:val="ICBAbold"/>
          <w:b w:val="0"/>
        </w:rPr>
        <w:t>levels</w:t>
      </w:r>
      <w:r w:rsidR="00C164B4">
        <w:rPr>
          <w:rStyle w:val="ICBAbold"/>
          <w:b w:val="0"/>
        </w:rPr>
        <w:t xml:space="preserve"> while</w:t>
      </w:r>
      <w:r w:rsidR="001C04E4">
        <w:rPr>
          <w:rStyle w:val="ICBAbold"/>
          <w:b w:val="0"/>
        </w:rPr>
        <w:t xml:space="preserve"> the </w:t>
      </w:r>
      <w:r w:rsidR="00C164B4">
        <w:rPr>
          <w:rStyle w:val="ICBAbold"/>
          <w:b w:val="0"/>
        </w:rPr>
        <w:t xml:space="preserve">Treasury yield </w:t>
      </w:r>
      <w:r w:rsidR="001C04E4">
        <w:rPr>
          <w:rStyle w:val="ICBAbold"/>
          <w:b w:val="0"/>
        </w:rPr>
        <w:t xml:space="preserve">curve </w:t>
      </w:r>
      <w:r w:rsidR="00C164B4">
        <w:rPr>
          <w:rStyle w:val="ICBAbold"/>
          <w:b w:val="0"/>
        </w:rPr>
        <w:t>is its steepest in three years. Bond portfolios still have substantial unharvested gains</w:t>
      </w:r>
      <w:r w:rsidR="00E834D8">
        <w:rPr>
          <w:rStyle w:val="ICBAbold"/>
          <w:b w:val="0"/>
        </w:rPr>
        <w:t>, and</w:t>
      </w:r>
      <w:r w:rsidR="00C164B4">
        <w:rPr>
          <w:rStyle w:val="ICBAbold"/>
          <w:b w:val="0"/>
        </w:rPr>
        <w:t xml:space="preserve"> net interest margins are at record lows. PPP 2.0 has been launched, </w:t>
      </w:r>
      <w:r w:rsidR="00ED7850">
        <w:rPr>
          <w:rStyle w:val="ICBAbold"/>
          <w:b w:val="0"/>
        </w:rPr>
        <w:t>as</w:t>
      </w:r>
      <w:r w:rsidR="00C164B4">
        <w:rPr>
          <w:rStyle w:val="ICBAbold"/>
          <w:b w:val="0"/>
        </w:rPr>
        <w:t xml:space="preserve"> a new wave of fiscal stimulus is about to be unleashed on consumers and governments. </w:t>
      </w:r>
    </w:p>
    <w:p w14:paraId="52BFFDC3" w14:textId="2A76FC48" w:rsidR="00C164B4" w:rsidRDefault="00C164B4" w:rsidP="009E10C0">
      <w:pPr>
        <w:tabs>
          <w:tab w:val="left" w:pos="540"/>
        </w:tabs>
        <w:jc w:val="both"/>
        <w:rPr>
          <w:rStyle w:val="ICBAbold"/>
          <w:b w:val="0"/>
        </w:rPr>
      </w:pPr>
    </w:p>
    <w:p w14:paraId="31B912D9" w14:textId="14CD619F" w:rsidR="00C164B4" w:rsidRDefault="00C164B4" w:rsidP="009E10C0">
      <w:pPr>
        <w:tabs>
          <w:tab w:val="left" w:pos="540"/>
        </w:tabs>
        <w:jc w:val="both"/>
        <w:rPr>
          <w:rStyle w:val="ICBAbold"/>
          <w:b w:val="0"/>
        </w:rPr>
      </w:pPr>
      <w:r>
        <w:rPr>
          <w:rStyle w:val="ICBAbold"/>
          <w:b w:val="0"/>
        </w:rPr>
        <w:t xml:space="preserve">Given this bewildering set of variables, perhaps we can create a </w:t>
      </w:r>
      <w:r w:rsidR="00E269D6">
        <w:rPr>
          <w:rStyle w:val="ICBAbold"/>
          <w:b w:val="0"/>
        </w:rPr>
        <w:t xml:space="preserve">(relatively) </w:t>
      </w:r>
      <w:r>
        <w:rPr>
          <w:rStyle w:val="ICBAbold"/>
          <w:b w:val="0"/>
        </w:rPr>
        <w:t xml:space="preserve">simple set of ground rules that </w:t>
      </w:r>
      <w:r w:rsidR="00E269D6">
        <w:rPr>
          <w:rStyle w:val="ICBAbold"/>
          <w:b w:val="0"/>
        </w:rPr>
        <w:t>portfolio managers can refer to while trying to make sense of it all. I would like to emphasize that “maybe” is the unspoken theme to these guidelines, as every community bank has its own risk/size/earnings</w:t>
      </w:r>
      <w:r w:rsidR="00E834D8">
        <w:rPr>
          <w:rStyle w:val="ICBAbold"/>
          <w:b w:val="0"/>
        </w:rPr>
        <w:t>/ownership</w:t>
      </w:r>
      <w:r w:rsidR="00E269D6">
        <w:rPr>
          <w:rStyle w:val="ICBAbold"/>
          <w:b w:val="0"/>
        </w:rPr>
        <w:t xml:space="preserve"> profiles. But here goes:</w:t>
      </w:r>
    </w:p>
    <w:p w14:paraId="71586768" w14:textId="77777777" w:rsidR="00CD027F" w:rsidRDefault="00CD027F" w:rsidP="009E10C0">
      <w:pPr>
        <w:tabs>
          <w:tab w:val="left" w:pos="540"/>
        </w:tabs>
        <w:jc w:val="both"/>
        <w:rPr>
          <w:rStyle w:val="ICBAbold"/>
          <w:b w:val="0"/>
        </w:rPr>
      </w:pPr>
    </w:p>
    <w:p w14:paraId="7F005EEA" w14:textId="763DCD0E" w:rsidR="002E2328" w:rsidRDefault="00E269D6" w:rsidP="009E10C0">
      <w:pPr>
        <w:tabs>
          <w:tab w:val="left" w:pos="540"/>
        </w:tabs>
        <w:jc w:val="both"/>
        <w:rPr>
          <w:rStyle w:val="ICBAbold"/>
          <w:b w:val="0"/>
        </w:rPr>
      </w:pPr>
      <w:r>
        <w:rPr>
          <w:rStyle w:val="ICBAbold"/>
          <w:bCs/>
        </w:rPr>
        <w:t>Do</w:t>
      </w:r>
      <w:r w:rsidR="00CE774C" w:rsidRPr="00217C11">
        <w:rPr>
          <w:rStyle w:val="ICBAbold"/>
          <w:bCs/>
        </w:rPr>
        <w:t xml:space="preserve">: </w:t>
      </w:r>
      <w:r>
        <w:rPr>
          <w:rStyle w:val="ICBAbold"/>
          <w:b w:val="0"/>
        </w:rPr>
        <w:t>Stay invested. Cash yields zero, and will remain there for the remainder of the year</w:t>
      </w:r>
      <w:r w:rsidR="00E834D8">
        <w:rPr>
          <w:rStyle w:val="ICBAbold"/>
          <w:b w:val="0"/>
        </w:rPr>
        <w:t>, at least</w:t>
      </w:r>
      <w:r>
        <w:rPr>
          <w:rStyle w:val="ICBAbold"/>
          <w:b w:val="0"/>
        </w:rPr>
        <w:t xml:space="preserve">. A simple bond that yields even </w:t>
      </w:r>
      <w:r w:rsidR="00F60B30">
        <w:rPr>
          <w:rStyle w:val="ICBAbold"/>
          <w:b w:val="0"/>
        </w:rPr>
        <w:t>6</w:t>
      </w:r>
      <w:r>
        <w:rPr>
          <w:rStyle w:val="ICBAbold"/>
          <w:b w:val="0"/>
        </w:rPr>
        <w:t>0 basis points (.</w:t>
      </w:r>
      <w:r w:rsidR="00F60B30">
        <w:rPr>
          <w:rStyle w:val="ICBAbold"/>
          <w:b w:val="0"/>
        </w:rPr>
        <w:t>6</w:t>
      </w:r>
      <w:r>
        <w:rPr>
          <w:rStyle w:val="ICBAbold"/>
          <w:b w:val="0"/>
        </w:rPr>
        <w:t xml:space="preserve">0%) will probably produce a spread to your cost of funds, and will provide collateral for pledging purposes. </w:t>
      </w:r>
      <w:r w:rsidR="00C30D3B">
        <w:rPr>
          <w:rStyle w:val="ICBAbold"/>
          <w:b w:val="0"/>
        </w:rPr>
        <w:t>An example</w:t>
      </w:r>
      <w:r w:rsidR="003C2226">
        <w:rPr>
          <w:rStyle w:val="ICBAbold"/>
          <w:b w:val="0"/>
        </w:rPr>
        <w:t xml:space="preserve"> of a bond that yields 0.</w:t>
      </w:r>
      <w:r w:rsidR="00F60B30">
        <w:rPr>
          <w:rStyle w:val="ICBAbold"/>
          <w:b w:val="0"/>
        </w:rPr>
        <w:t>6</w:t>
      </w:r>
      <w:r w:rsidR="003C2226">
        <w:rPr>
          <w:rStyle w:val="ICBAbold"/>
          <w:b w:val="0"/>
        </w:rPr>
        <w:t>0%</w:t>
      </w:r>
      <w:r w:rsidR="00C30D3B">
        <w:rPr>
          <w:rStyle w:val="ICBAbold"/>
          <w:b w:val="0"/>
        </w:rPr>
        <w:t xml:space="preserve"> is a </w:t>
      </w:r>
      <w:r w:rsidR="00DA745D">
        <w:rPr>
          <w:rStyle w:val="ICBAbold"/>
          <w:b w:val="0"/>
        </w:rPr>
        <w:t xml:space="preserve">callable agency with a five-year maturity, and </w:t>
      </w:r>
      <w:r w:rsidR="007913EB">
        <w:rPr>
          <w:rStyle w:val="ICBAbold"/>
          <w:b w:val="0"/>
        </w:rPr>
        <w:t>one year</w:t>
      </w:r>
      <w:r w:rsidR="00DA745D">
        <w:rPr>
          <w:rStyle w:val="ICBAbold"/>
          <w:b w:val="0"/>
        </w:rPr>
        <w:t xml:space="preserve"> of call protection (“5/</w:t>
      </w:r>
      <w:r w:rsidR="007913EB">
        <w:rPr>
          <w:rStyle w:val="ICBAbold"/>
          <w:b w:val="0"/>
        </w:rPr>
        <w:t>1</w:t>
      </w:r>
      <w:r w:rsidR="00DA745D">
        <w:rPr>
          <w:rStyle w:val="ICBAbold"/>
          <w:b w:val="0"/>
        </w:rPr>
        <w:t xml:space="preserve"> callable”).</w:t>
      </w:r>
    </w:p>
    <w:p w14:paraId="124567E8" w14:textId="0BAFE9F4" w:rsidR="00DA745D" w:rsidRDefault="00DA745D" w:rsidP="009E10C0">
      <w:pPr>
        <w:tabs>
          <w:tab w:val="left" w:pos="540"/>
        </w:tabs>
        <w:jc w:val="both"/>
        <w:rPr>
          <w:rStyle w:val="ICBAbold"/>
          <w:b w:val="0"/>
        </w:rPr>
      </w:pPr>
    </w:p>
    <w:p w14:paraId="76AEF1BB" w14:textId="321D7037" w:rsidR="00DA745D" w:rsidRDefault="00DA745D" w:rsidP="009E10C0">
      <w:pPr>
        <w:tabs>
          <w:tab w:val="left" w:pos="540"/>
        </w:tabs>
        <w:jc w:val="both"/>
        <w:rPr>
          <w:rStyle w:val="ICBAbold"/>
          <w:b w:val="0"/>
        </w:rPr>
      </w:pPr>
      <w:r w:rsidRPr="00DA745D">
        <w:rPr>
          <w:rStyle w:val="ICBAbold"/>
          <w:bCs/>
        </w:rPr>
        <w:t>Don’t:</w:t>
      </w:r>
      <w:r>
        <w:rPr>
          <w:rStyle w:val="ICBAbold"/>
          <w:bCs/>
        </w:rPr>
        <w:t xml:space="preserve"> </w:t>
      </w:r>
      <w:r>
        <w:rPr>
          <w:rStyle w:val="ICBAbold"/>
          <w:b w:val="0"/>
        </w:rPr>
        <w:t>Keep buying the same old bonds just because. In just the last three years, community bank portfolios have changed tenor significantly. You know that banks own fewer tax-free securities since tax rates were cut in 2017, but did you know that both general market munis, and taxable munis, have picked up the slack?</w:t>
      </w:r>
      <w:r w:rsidR="00E834D8">
        <w:rPr>
          <w:rStyle w:val="ICBAbold"/>
          <w:b w:val="0"/>
        </w:rPr>
        <w:t xml:space="preserve"> The other big “new” bond sector is multifamily mortgage-backed securities (MBS), which follows…</w:t>
      </w:r>
    </w:p>
    <w:p w14:paraId="0EAD62CD" w14:textId="2CB400DB" w:rsidR="00F23B7F" w:rsidRDefault="00F23B7F" w:rsidP="009E10C0">
      <w:pPr>
        <w:tabs>
          <w:tab w:val="left" w:pos="540"/>
        </w:tabs>
        <w:jc w:val="both"/>
        <w:rPr>
          <w:rStyle w:val="ICBAbold"/>
          <w:b w:val="0"/>
        </w:rPr>
      </w:pPr>
    </w:p>
    <w:p w14:paraId="5A63E16D" w14:textId="3A6BD471" w:rsidR="00502FE2" w:rsidRDefault="00F23B7F" w:rsidP="009E10C0">
      <w:pPr>
        <w:tabs>
          <w:tab w:val="left" w:pos="540"/>
        </w:tabs>
        <w:jc w:val="both"/>
        <w:rPr>
          <w:rStyle w:val="ICBAbold"/>
          <w:b w:val="0"/>
        </w:rPr>
      </w:pPr>
      <w:r w:rsidRPr="00F23B7F">
        <w:rPr>
          <w:rStyle w:val="ICBAbold"/>
          <w:bCs/>
        </w:rPr>
        <w:t>Do:</w:t>
      </w:r>
      <w:r>
        <w:rPr>
          <w:rStyle w:val="ICBAbold"/>
          <w:bCs/>
        </w:rPr>
        <w:t xml:space="preserve"> </w:t>
      </w:r>
      <w:r>
        <w:rPr>
          <w:rStyle w:val="ICBAbold"/>
          <w:b w:val="0"/>
        </w:rPr>
        <w:t xml:space="preserve">Take action to normalize your bond portfolio’s cash flow. As low as </w:t>
      </w:r>
      <w:r w:rsidR="00C525E1">
        <w:rPr>
          <w:rStyle w:val="ICBAbold"/>
          <w:b w:val="0"/>
        </w:rPr>
        <w:t>return</w:t>
      </w:r>
      <w:r>
        <w:rPr>
          <w:rStyle w:val="ICBAbold"/>
          <w:b w:val="0"/>
        </w:rPr>
        <w:t xml:space="preserve">s (and spreads) are, the cost of eliminating optionality is an all-time low. </w:t>
      </w:r>
      <w:r w:rsidR="003C2226">
        <w:rPr>
          <w:rStyle w:val="ICBAbold"/>
          <w:b w:val="0"/>
        </w:rPr>
        <w:t>Case in point</w:t>
      </w:r>
      <w:r>
        <w:rPr>
          <w:rStyle w:val="ICBAbold"/>
          <w:b w:val="0"/>
        </w:rPr>
        <w:t>: a five-year non-callable agency</w:t>
      </w:r>
      <w:r w:rsidR="00D93E00">
        <w:rPr>
          <w:rStyle w:val="ICBAbold"/>
          <w:b w:val="0"/>
        </w:rPr>
        <w:t xml:space="preserve"> (aka “bullet”)</w:t>
      </w:r>
      <w:r w:rsidR="003C2226">
        <w:rPr>
          <w:rStyle w:val="ICBAbold"/>
          <w:b w:val="0"/>
        </w:rPr>
        <w:t xml:space="preserve"> </w:t>
      </w:r>
      <w:r w:rsidR="00C525E1">
        <w:rPr>
          <w:rStyle w:val="ICBAbold"/>
          <w:b w:val="0"/>
        </w:rPr>
        <w:t>yield</w:t>
      </w:r>
      <w:r w:rsidR="003C2226">
        <w:rPr>
          <w:rStyle w:val="ICBAbold"/>
          <w:b w:val="0"/>
        </w:rPr>
        <w:t>s about 0.</w:t>
      </w:r>
      <w:r w:rsidR="00F311B3">
        <w:rPr>
          <w:rStyle w:val="ICBAbold"/>
          <w:b w:val="0"/>
        </w:rPr>
        <w:t>5</w:t>
      </w:r>
      <w:r w:rsidR="003C2226">
        <w:rPr>
          <w:rStyle w:val="ICBAbold"/>
          <w:b w:val="0"/>
        </w:rPr>
        <w:t xml:space="preserve">7%, which means an investor surrenders </w:t>
      </w:r>
      <w:r w:rsidR="00C525E1">
        <w:rPr>
          <w:rStyle w:val="ICBAbold"/>
          <w:b w:val="0"/>
        </w:rPr>
        <w:t>three measly basis points</w:t>
      </w:r>
      <w:r w:rsidR="003C2226">
        <w:rPr>
          <w:rStyle w:val="ICBAbold"/>
          <w:b w:val="0"/>
        </w:rPr>
        <w:t xml:space="preserve"> to remove all cash flow uncertainty. </w:t>
      </w:r>
      <w:r w:rsidR="00C525E1">
        <w:rPr>
          <w:rStyle w:val="ICBAbold"/>
          <w:b w:val="0"/>
        </w:rPr>
        <w:t xml:space="preserve">In </w:t>
      </w:r>
      <w:r w:rsidR="002D359D">
        <w:rPr>
          <w:rStyle w:val="ICBAbold"/>
          <w:b w:val="0"/>
        </w:rPr>
        <w:t>a different sector, MBS, a similar set of dynamics is at play. You’ve read in this colu</w:t>
      </w:r>
      <w:r w:rsidR="007B2080">
        <w:rPr>
          <w:rStyle w:val="ICBAbold"/>
          <w:b w:val="0"/>
        </w:rPr>
        <w:t xml:space="preserve">mn recently that “prepayment friction” pools which consist of low balance loans can slow down refinance activity. The same outcomes can be achieved with “yield maintenance” provisions on multifamily MBS.  </w:t>
      </w:r>
    </w:p>
    <w:p w14:paraId="489BCB14" w14:textId="77777777" w:rsidR="007B2080" w:rsidRDefault="007B2080" w:rsidP="009E10C0">
      <w:pPr>
        <w:tabs>
          <w:tab w:val="left" w:pos="540"/>
        </w:tabs>
        <w:jc w:val="both"/>
        <w:rPr>
          <w:rStyle w:val="ICBAbold"/>
          <w:b w:val="0"/>
        </w:rPr>
      </w:pPr>
    </w:p>
    <w:p w14:paraId="5F62690A" w14:textId="2E17F31B" w:rsidR="00502FE2" w:rsidRDefault="00502FE2" w:rsidP="009E10C0">
      <w:pPr>
        <w:tabs>
          <w:tab w:val="left" w:pos="540"/>
        </w:tabs>
        <w:jc w:val="both"/>
        <w:rPr>
          <w:rStyle w:val="ICBAbold"/>
          <w:b w:val="0"/>
        </w:rPr>
      </w:pPr>
      <w:r w:rsidRPr="00502FE2">
        <w:rPr>
          <w:rStyle w:val="ICBAbold"/>
          <w:bCs/>
        </w:rPr>
        <w:t>Don’t</w:t>
      </w:r>
      <w:r>
        <w:rPr>
          <w:rStyle w:val="ICBAbold"/>
          <w:bCs/>
        </w:rPr>
        <w:t xml:space="preserve">: </w:t>
      </w:r>
      <w:r>
        <w:rPr>
          <w:rStyle w:val="ICBAbold"/>
          <w:b w:val="0"/>
        </w:rPr>
        <w:t xml:space="preserve">Worry (too much) about rates rising to the point that your collection of bonds is underwater from a market price standpoint. </w:t>
      </w:r>
      <w:r w:rsidR="00493B15">
        <w:rPr>
          <w:rStyle w:val="ICBAbold"/>
          <w:b w:val="0"/>
        </w:rPr>
        <w:t>If you</w:t>
      </w:r>
      <w:r w:rsidR="00C525E1">
        <w:rPr>
          <w:rStyle w:val="ICBAbold"/>
          <w:b w:val="0"/>
        </w:rPr>
        <w:t>r</w:t>
      </w:r>
      <w:r w:rsidR="00493B15">
        <w:rPr>
          <w:rStyle w:val="ICBAbold"/>
          <w:b w:val="0"/>
        </w:rPr>
        <w:t xml:space="preserve"> community bank is typical, it will benefit from a general rise in rates. For one thing, since banks own a whole lot of bonds at prices above par, </w:t>
      </w:r>
      <w:r w:rsidR="000C37B9">
        <w:rPr>
          <w:rStyle w:val="ICBAbold"/>
          <w:b w:val="0"/>
        </w:rPr>
        <w:t>interest rate increases</w:t>
      </w:r>
      <w:r w:rsidR="00493B15">
        <w:rPr>
          <w:rStyle w:val="ICBAbold"/>
          <w:b w:val="0"/>
        </w:rPr>
        <w:t xml:space="preserve"> will cause the current bonds’ yields to improve. For another, the rest of your bank’s earning assets will pretty quickly show some </w:t>
      </w:r>
      <w:r w:rsidR="00493B15">
        <w:rPr>
          <w:rStyle w:val="ICBAbold"/>
          <w:b w:val="0"/>
        </w:rPr>
        <w:lastRenderedPageBreak/>
        <w:t>improvement, whether the loan portfolio consists of floaters or shorter-duration fixed rate credits. Community banks’ asset/liability positions are built for rising rates.</w:t>
      </w:r>
    </w:p>
    <w:p w14:paraId="1587E0B5" w14:textId="18C44763" w:rsidR="00493B15" w:rsidRDefault="00493B15" w:rsidP="009E10C0">
      <w:pPr>
        <w:tabs>
          <w:tab w:val="left" w:pos="540"/>
        </w:tabs>
        <w:jc w:val="both"/>
        <w:rPr>
          <w:rStyle w:val="ICBAbold"/>
          <w:b w:val="0"/>
        </w:rPr>
      </w:pPr>
    </w:p>
    <w:p w14:paraId="3CF36D51" w14:textId="54AABB7B" w:rsidR="00493B15" w:rsidRDefault="00493B15" w:rsidP="009E10C0">
      <w:pPr>
        <w:tabs>
          <w:tab w:val="left" w:pos="540"/>
        </w:tabs>
        <w:jc w:val="both"/>
        <w:rPr>
          <w:rStyle w:val="ICBAbold"/>
          <w:b w:val="0"/>
        </w:rPr>
      </w:pPr>
      <w:r w:rsidRPr="00493B15">
        <w:rPr>
          <w:rStyle w:val="ICBAbold"/>
          <w:bCs/>
        </w:rPr>
        <w:t xml:space="preserve">Do: </w:t>
      </w:r>
      <w:r w:rsidR="0025296C" w:rsidRPr="0025296C">
        <w:rPr>
          <w:rStyle w:val="ICBAbold"/>
          <w:b w:val="0"/>
        </w:rPr>
        <w:t>S</w:t>
      </w:r>
      <w:r>
        <w:rPr>
          <w:rStyle w:val="ICBAbold"/>
          <w:b w:val="0"/>
        </w:rPr>
        <w:t>tay on top of your portfolio’s effective duration</w:t>
      </w:r>
      <w:r w:rsidR="0025296C">
        <w:rPr>
          <w:rStyle w:val="ICBAbold"/>
          <w:b w:val="0"/>
        </w:rPr>
        <w:t>,</w:t>
      </w:r>
      <w:r w:rsidR="0025296C" w:rsidRPr="0025296C">
        <w:rPr>
          <w:rStyle w:val="ICBAbold"/>
          <w:b w:val="0"/>
        </w:rPr>
        <w:t xml:space="preserve"> </w:t>
      </w:r>
      <w:r w:rsidR="0025296C">
        <w:rPr>
          <w:rStyle w:val="ICBAbold"/>
          <w:b w:val="0"/>
        </w:rPr>
        <w:t>to put your mind at ease about all of the above</w:t>
      </w:r>
      <w:r>
        <w:rPr>
          <w:rStyle w:val="ICBAbold"/>
          <w:b w:val="0"/>
        </w:rPr>
        <w:t xml:space="preserve">. We have seen this important barometer of price risk really whipsaw over the last year. At last look, most portfolios had returned to their pre-pandemic </w:t>
      </w:r>
      <w:r w:rsidR="004B2569">
        <w:rPr>
          <w:rStyle w:val="ICBAbold"/>
          <w:b w:val="0"/>
        </w:rPr>
        <w:t xml:space="preserve">durations of around 3.0 years, but that’s taken a lot of buying of a lot of longer-maturity bonds to get </w:t>
      </w:r>
      <w:r w:rsidR="0025296C">
        <w:rPr>
          <w:rStyle w:val="ICBAbold"/>
          <w:b w:val="0"/>
        </w:rPr>
        <w:t>there</w:t>
      </w:r>
      <w:r w:rsidR="004B2569">
        <w:rPr>
          <w:rStyle w:val="ICBAbold"/>
          <w:b w:val="0"/>
        </w:rPr>
        <w:t xml:space="preserve">. In mid-2020, they had shrunk, on average, to about 2.5 years. </w:t>
      </w:r>
      <w:r w:rsidR="00ED7850">
        <w:rPr>
          <w:rStyle w:val="ICBAbold"/>
          <w:b w:val="0"/>
        </w:rPr>
        <w:t>T</w:t>
      </w:r>
      <w:r w:rsidR="004B2569">
        <w:rPr>
          <w:rStyle w:val="ICBAbold"/>
          <w:b w:val="0"/>
        </w:rPr>
        <w:t xml:space="preserve">hat’s a 20% increase in two quarters. </w:t>
      </w:r>
    </w:p>
    <w:p w14:paraId="4305F55A" w14:textId="56A25B34" w:rsidR="00ED7850" w:rsidRDefault="00ED7850" w:rsidP="009E10C0">
      <w:pPr>
        <w:tabs>
          <w:tab w:val="left" w:pos="540"/>
        </w:tabs>
        <w:jc w:val="both"/>
        <w:rPr>
          <w:rStyle w:val="ICBAbold"/>
          <w:b w:val="0"/>
        </w:rPr>
      </w:pPr>
    </w:p>
    <w:p w14:paraId="0AC3048A" w14:textId="11132AC1" w:rsidR="00D93E00" w:rsidRDefault="005250CA" w:rsidP="009E10C0">
      <w:pPr>
        <w:tabs>
          <w:tab w:val="left" w:pos="540"/>
        </w:tabs>
        <w:jc w:val="both"/>
        <w:rPr>
          <w:rStyle w:val="ICBAbold"/>
          <w:b w:val="0"/>
        </w:rPr>
      </w:pPr>
      <w:r>
        <w:rPr>
          <w:rStyle w:val="ICBAbold"/>
          <w:bCs/>
        </w:rPr>
        <w:t xml:space="preserve">Maybe: </w:t>
      </w:r>
      <w:r>
        <w:rPr>
          <w:rStyle w:val="ICBAbold"/>
          <w:b w:val="0"/>
        </w:rPr>
        <w:t xml:space="preserve">Invest in some bond education for your staff and you. As the economy (and travel) begins to open back up, there will be a whole range of investment school options available, some virtual, some live, some hybrid. There </w:t>
      </w:r>
      <w:r w:rsidR="00E315D7">
        <w:rPr>
          <w:rStyle w:val="ICBAbold"/>
          <w:b w:val="0"/>
        </w:rPr>
        <w:t>is</w:t>
      </w:r>
      <w:r>
        <w:rPr>
          <w:rStyle w:val="ICBAbold"/>
          <w:b w:val="0"/>
        </w:rPr>
        <w:t xml:space="preserve"> also plenty of </w:t>
      </w:r>
      <w:r w:rsidR="002D60BC">
        <w:rPr>
          <w:rStyle w:val="ICBAbold"/>
          <w:b w:val="0"/>
        </w:rPr>
        <w:t xml:space="preserve">archival information that’s been accumulated over the last year as trade associations, brokers-dealers and consultants have figured out digital </w:t>
      </w:r>
      <w:r w:rsidR="0025296C">
        <w:rPr>
          <w:rStyle w:val="ICBAbold"/>
          <w:b w:val="0"/>
        </w:rPr>
        <w:t>delivery channels</w:t>
      </w:r>
      <w:r w:rsidR="002D60BC">
        <w:rPr>
          <w:rStyle w:val="ICBAbold"/>
          <w:b w:val="0"/>
        </w:rPr>
        <w:t>. So ask around your providers for offerings that may suit your needs.</w:t>
      </w:r>
      <w:r w:rsidR="00D93E00">
        <w:rPr>
          <w:rStyle w:val="ICBAbold"/>
          <w:b w:val="0"/>
        </w:rPr>
        <w:t xml:space="preserve"> </w:t>
      </w:r>
    </w:p>
    <w:p w14:paraId="5269629A" w14:textId="77777777" w:rsidR="00D93E00" w:rsidRDefault="00D93E00" w:rsidP="009E10C0">
      <w:pPr>
        <w:tabs>
          <w:tab w:val="left" w:pos="540"/>
        </w:tabs>
        <w:jc w:val="both"/>
        <w:rPr>
          <w:rStyle w:val="ICBAbold"/>
          <w:b w:val="0"/>
        </w:rPr>
      </w:pPr>
    </w:p>
    <w:p w14:paraId="2D91CE1B" w14:textId="584CAB66" w:rsidR="00ED7850" w:rsidRPr="00DE7BB3" w:rsidRDefault="00D93E00" w:rsidP="009E10C0">
      <w:pPr>
        <w:tabs>
          <w:tab w:val="left" w:pos="540"/>
        </w:tabs>
        <w:jc w:val="both"/>
        <w:rPr>
          <w:rStyle w:val="ICBAbold"/>
          <w:b w:val="0"/>
        </w:rPr>
      </w:pPr>
      <w:r>
        <w:rPr>
          <w:rStyle w:val="ICBAbold"/>
          <w:b w:val="0"/>
        </w:rPr>
        <w:t xml:space="preserve">And by all means, </w:t>
      </w:r>
      <w:r w:rsidRPr="00D93E00">
        <w:rPr>
          <w:rStyle w:val="ICBAbold"/>
          <w:bCs/>
        </w:rPr>
        <w:t>do</w:t>
      </w:r>
      <w:r>
        <w:rPr>
          <w:rStyle w:val="ICBAbold"/>
          <w:bCs/>
        </w:rPr>
        <w:t xml:space="preserve"> </w:t>
      </w:r>
      <w:r w:rsidR="00DE7BB3">
        <w:rPr>
          <w:rStyle w:val="ICBAbold"/>
          <w:b w:val="0"/>
        </w:rPr>
        <w:t>continue your due diligence and documentation of your actions. Investment portfolios have grown remarkably in the last year. They are likely to be a substantial driver of bank profits for the foreseeable future.</w:t>
      </w:r>
    </w:p>
    <w:p w14:paraId="0F0158FE" w14:textId="41BFD201" w:rsidR="002D60BC" w:rsidRDefault="002D60BC" w:rsidP="009E10C0">
      <w:pPr>
        <w:tabs>
          <w:tab w:val="left" w:pos="540"/>
        </w:tabs>
        <w:jc w:val="both"/>
        <w:rPr>
          <w:rStyle w:val="ICBAbold"/>
          <w:b w:val="0"/>
        </w:rPr>
      </w:pPr>
    </w:p>
    <w:p w14:paraId="5EECD358" w14:textId="07D051D1" w:rsidR="0006263F" w:rsidRPr="0006263F" w:rsidRDefault="0006263F" w:rsidP="00DE70B0">
      <w:pPr>
        <w:pStyle w:val="ListParagraph"/>
        <w:tabs>
          <w:tab w:val="left" w:pos="540"/>
        </w:tabs>
        <w:ind w:left="1263"/>
        <w:jc w:val="center"/>
        <w:rPr>
          <w:rStyle w:val="ICBAbold"/>
          <w:b w:val="0"/>
        </w:rPr>
      </w:pPr>
      <w:r>
        <w:rPr>
          <w:rStyle w:val="ICBAbold"/>
          <w:b w:val="0"/>
        </w:rPr>
        <w:t xml:space="preserve">*   *   *   *   </w:t>
      </w:r>
      <w:r w:rsidR="009D18FB">
        <w:rPr>
          <w:rStyle w:val="ICBAbold"/>
          <w:b w:val="0"/>
        </w:rPr>
        <w:t>*</w:t>
      </w:r>
    </w:p>
    <w:p w14:paraId="2831177E" w14:textId="281F9C85" w:rsidR="0006263F" w:rsidRDefault="002D60BC" w:rsidP="009E10C0">
      <w:pPr>
        <w:tabs>
          <w:tab w:val="left" w:pos="540"/>
        </w:tabs>
        <w:jc w:val="both"/>
        <w:rPr>
          <w:rStyle w:val="ICBAbold"/>
          <w:b w:val="0"/>
        </w:rPr>
      </w:pPr>
      <w:r>
        <w:rPr>
          <w:rStyle w:val="ICBAbold"/>
          <w:b w:val="0"/>
        </w:rPr>
        <w:t xml:space="preserve"> </w:t>
      </w:r>
    </w:p>
    <w:p w14:paraId="2D904E2E" w14:textId="77777777" w:rsidR="0006263F" w:rsidRPr="0006263F" w:rsidRDefault="0006263F" w:rsidP="009E10C0">
      <w:pPr>
        <w:tabs>
          <w:tab w:val="left" w:pos="540"/>
        </w:tabs>
        <w:jc w:val="both"/>
        <w:rPr>
          <w:i/>
        </w:rPr>
      </w:pPr>
      <w:r w:rsidRPr="0006263F">
        <w:rPr>
          <w:rStyle w:val="ICBAbold"/>
          <w:i/>
        </w:rPr>
        <w:t>Jim Reber</w:t>
      </w:r>
      <w:r w:rsidRPr="0006263F">
        <w:rPr>
          <w:i/>
        </w:rPr>
        <w:t xml:space="preserve"> (</w:t>
      </w:r>
      <w:hyperlink r:id="rId6" w:history="1">
        <w:r w:rsidRPr="0006263F">
          <w:rPr>
            <w:rStyle w:val="Hyperlink"/>
            <w:i/>
          </w:rPr>
          <w:t>jreber@icbasecurities.com</w:t>
        </w:r>
      </w:hyperlink>
      <w:r w:rsidRPr="0006263F">
        <w:rPr>
          <w:i/>
        </w:rPr>
        <w:t xml:space="preserve">) is president and CEO of ICBA Securities, ICBA’s institutional, fixed-income broker-dealer for community banks. </w:t>
      </w:r>
    </w:p>
    <w:p w14:paraId="07793CC3" w14:textId="77777777" w:rsidR="009E10C0" w:rsidRDefault="009E10C0" w:rsidP="009E10C0">
      <w:pPr>
        <w:tabs>
          <w:tab w:val="left" w:pos="540"/>
        </w:tabs>
        <w:jc w:val="both"/>
      </w:pPr>
    </w:p>
    <w:p w14:paraId="513B679F" w14:textId="77777777" w:rsidR="009E10C0" w:rsidRDefault="009E10C0" w:rsidP="009E10C0">
      <w:pPr>
        <w:ind w:left="-720" w:right="-720" w:firstLine="720"/>
        <w:jc w:val="both"/>
      </w:pPr>
      <w:r>
        <w:t>[Sidebar]</w:t>
      </w:r>
    </w:p>
    <w:p w14:paraId="2BE58820" w14:textId="77777777" w:rsidR="009E4A23" w:rsidRDefault="00C126FA" w:rsidP="00C126FA">
      <w:pPr>
        <w:jc w:val="both"/>
        <w:rPr>
          <w:rStyle w:val="ICBAbold"/>
        </w:rPr>
      </w:pPr>
      <w:r>
        <w:rPr>
          <w:rStyle w:val="ICBAbold"/>
        </w:rPr>
        <w:t xml:space="preserve">2021 </w:t>
      </w:r>
      <w:r w:rsidR="009E4A23">
        <w:rPr>
          <w:rStyle w:val="ICBAbold"/>
        </w:rPr>
        <w:t>ICBA Bond Academy announced</w:t>
      </w:r>
      <w:r>
        <w:rPr>
          <w:rStyle w:val="ICBAbold"/>
        </w:rPr>
        <w:t xml:space="preserve">      </w:t>
      </w:r>
    </w:p>
    <w:p w14:paraId="2B38DB86" w14:textId="1128DB9A" w:rsidR="00C126FA" w:rsidRDefault="009E4A23" w:rsidP="00C126FA">
      <w:pPr>
        <w:jc w:val="both"/>
        <w:rPr>
          <w:rStyle w:val="ICBAbold"/>
        </w:rPr>
      </w:pPr>
      <w:r>
        <w:rPr>
          <w:rStyle w:val="ICBAbold"/>
          <w:b w:val="0"/>
          <w:bCs/>
        </w:rPr>
        <w:t xml:space="preserve">ICBA Securities and its exclusively endorsed broker Vining Sparks will present the ICBA Bond Academy this spring. This virtual program, scheduled for April </w:t>
      </w:r>
      <w:r w:rsidR="002667B7">
        <w:rPr>
          <w:rStyle w:val="ICBAbold"/>
          <w:b w:val="0"/>
          <w:bCs/>
        </w:rPr>
        <w:t xml:space="preserve">19-22, </w:t>
      </w:r>
      <w:r>
        <w:rPr>
          <w:rStyle w:val="ICBAbold"/>
          <w:b w:val="0"/>
          <w:bCs/>
        </w:rPr>
        <w:t xml:space="preserve">is designed for </w:t>
      </w:r>
      <w:r w:rsidR="002667B7">
        <w:rPr>
          <w:rStyle w:val="ICBAbold"/>
          <w:b w:val="0"/>
          <w:bCs/>
        </w:rPr>
        <w:t xml:space="preserve">the </w:t>
      </w:r>
      <w:r>
        <w:rPr>
          <w:rStyle w:val="ICBAbold"/>
          <w:b w:val="0"/>
          <w:bCs/>
        </w:rPr>
        <w:t>entry-level portfolio manager</w:t>
      </w:r>
      <w:r w:rsidR="002667B7">
        <w:rPr>
          <w:rStyle w:val="ICBAbold"/>
        </w:rPr>
        <w:t xml:space="preserve">. </w:t>
      </w:r>
      <w:r w:rsidR="002667B7">
        <w:rPr>
          <w:rStyle w:val="ICBAbold"/>
          <w:b w:val="0"/>
          <w:bCs/>
        </w:rPr>
        <w:t xml:space="preserve">Attendees will learn the fundamentals of fixed-income products and strategies. Up to eight hours of CPE credit are offered. For more information visit </w:t>
      </w:r>
      <w:r w:rsidR="002667B7" w:rsidRPr="002667B7">
        <w:rPr>
          <w:rStyle w:val="ICBAbold"/>
          <w:b w:val="0"/>
          <w:bCs/>
          <w:i/>
          <w:iCs/>
          <w:color w:val="0000FF"/>
          <w:u w:val="single"/>
        </w:rPr>
        <w:t>www.icbasecurities.com</w:t>
      </w:r>
      <w:r w:rsidR="002667B7">
        <w:rPr>
          <w:rStyle w:val="ICBAbold"/>
          <w:b w:val="0"/>
          <w:bCs/>
        </w:rPr>
        <w:t>.</w:t>
      </w:r>
      <w:r w:rsidR="00C126FA">
        <w:rPr>
          <w:rStyle w:val="ICBAbold"/>
        </w:rPr>
        <w:tab/>
      </w:r>
      <w:r w:rsidR="00C126FA">
        <w:rPr>
          <w:rStyle w:val="ICBAbold"/>
        </w:rPr>
        <w:tab/>
      </w:r>
      <w:r w:rsidR="00C126FA">
        <w:rPr>
          <w:rStyle w:val="ICBAbold"/>
        </w:rPr>
        <w:tab/>
      </w:r>
    </w:p>
    <w:sectPr w:rsidR="00C126FA" w:rsidSect="00343E61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80E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5118"/>
    <w:multiLevelType w:val="hybridMultilevel"/>
    <w:tmpl w:val="1ABAB7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C93"/>
    <w:multiLevelType w:val="hybridMultilevel"/>
    <w:tmpl w:val="EBE44338"/>
    <w:lvl w:ilvl="0" w:tplc="0F9070F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1B2075"/>
    <w:multiLevelType w:val="hybridMultilevel"/>
    <w:tmpl w:val="5A561D84"/>
    <w:lvl w:ilvl="0" w:tplc="E64C74EE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48759A"/>
    <w:multiLevelType w:val="hybridMultilevel"/>
    <w:tmpl w:val="D9C63BB8"/>
    <w:lvl w:ilvl="0" w:tplc="88AA532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CDA7F2B"/>
    <w:multiLevelType w:val="hybridMultilevel"/>
    <w:tmpl w:val="2C04FDB0"/>
    <w:lvl w:ilvl="0" w:tplc="278A3BD0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E880ACD"/>
    <w:multiLevelType w:val="hybridMultilevel"/>
    <w:tmpl w:val="A9221EA8"/>
    <w:lvl w:ilvl="0" w:tplc="5FBE8F9A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64E8E"/>
    <w:multiLevelType w:val="hybridMultilevel"/>
    <w:tmpl w:val="DCA2D84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 w15:restartNumberingAfterBreak="0">
    <w:nsid w:val="22850E5C"/>
    <w:multiLevelType w:val="hybridMultilevel"/>
    <w:tmpl w:val="07EC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62772"/>
    <w:multiLevelType w:val="hybridMultilevel"/>
    <w:tmpl w:val="4FE0C608"/>
    <w:lvl w:ilvl="0" w:tplc="9A9245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67C60"/>
    <w:multiLevelType w:val="hybridMultilevel"/>
    <w:tmpl w:val="A0043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FC453C"/>
    <w:multiLevelType w:val="hybridMultilevel"/>
    <w:tmpl w:val="C56A0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4EF4"/>
    <w:multiLevelType w:val="hybridMultilevel"/>
    <w:tmpl w:val="6C8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A70C49"/>
    <w:multiLevelType w:val="hybridMultilevel"/>
    <w:tmpl w:val="71181E8A"/>
    <w:lvl w:ilvl="0" w:tplc="FC62CB9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602AEA"/>
    <w:multiLevelType w:val="hybridMultilevel"/>
    <w:tmpl w:val="168C81F0"/>
    <w:lvl w:ilvl="0" w:tplc="FBA80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291851"/>
    <w:multiLevelType w:val="hybridMultilevel"/>
    <w:tmpl w:val="3796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7731"/>
    <w:multiLevelType w:val="hybridMultilevel"/>
    <w:tmpl w:val="BEB8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1F84"/>
    <w:multiLevelType w:val="hybridMultilevel"/>
    <w:tmpl w:val="91F6F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04E07"/>
    <w:multiLevelType w:val="hybridMultilevel"/>
    <w:tmpl w:val="6D42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13CE"/>
    <w:multiLevelType w:val="hybridMultilevel"/>
    <w:tmpl w:val="9DECFA62"/>
    <w:lvl w:ilvl="0" w:tplc="D85CDD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2D151E"/>
    <w:multiLevelType w:val="hybridMultilevel"/>
    <w:tmpl w:val="8B64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C7887"/>
    <w:multiLevelType w:val="multilevel"/>
    <w:tmpl w:val="C5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147E8"/>
    <w:multiLevelType w:val="hybridMultilevel"/>
    <w:tmpl w:val="171A7F6A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605F9"/>
    <w:multiLevelType w:val="hybridMultilevel"/>
    <w:tmpl w:val="CBA88E16"/>
    <w:lvl w:ilvl="0" w:tplc="52702CA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0F6FD8"/>
    <w:multiLevelType w:val="multilevel"/>
    <w:tmpl w:val="C5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90E2E"/>
    <w:multiLevelType w:val="hybridMultilevel"/>
    <w:tmpl w:val="681C8228"/>
    <w:lvl w:ilvl="0" w:tplc="BC5E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523F4"/>
    <w:multiLevelType w:val="hybridMultilevel"/>
    <w:tmpl w:val="E8F0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F1C71"/>
    <w:multiLevelType w:val="hybridMultilevel"/>
    <w:tmpl w:val="BD3AE74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8" w15:restartNumberingAfterBreak="0">
    <w:nsid w:val="6C402380"/>
    <w:multiLevelType w:val="hybridMultilevel"/>
    <w:tmpl w:val="9EFCDB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868AE"/>
    <w:multiLevelType w:val="hybridMultilevel"/>
    <w:tmpl w:val="52029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86039"/>
    <w:multiLevelType w:val="hybridMultilevel"/>
    <w:tmpl w:val="9C18D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524A7"/>
    <w:multiLevelType w:val="hybridMultilevel"/>
    <w:tmpl w:val="061E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230D"/>
    <w:multiLevelType w:val="hybridMultilevel"/>
    <w:tmpl w:val="C4243D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4"/>
  </w:num>
  <w:num w:numId="4">
    <w:abstractNumId w:val="32"/>
  </w:num>
  <w:num w:numId="5">
    <w:abstractNumId w:val="11"/>
  </w:num>
  <w:num w:numId="6">
    <w:abstractNumId w:val="24"/>
  </w:num>
  <w:num w:numId="7">
    <w:abstractNumId w:val="21"/>
  </w:num>
  <w:num w:numId="8">
    <w:abstractNumId w:val="0"/>
  </w:num>
  <w:num w:numId="9">
    <w:abstractNumId w:val="22"/>
  </w:num>
  <w:num w:numId="10">
    <w:abstractNumId w:val="6"/>
  </w:num>
  <w:num w:numId="11">
    <w:abstractNumId w:val="25"/>
  </w:num>
  <w:num w:numId="12">
    <w:abstractNumId w:val="26"/>
  </w:num>
  <w:num w:numId="13">
    <w:abstractNumId w:val="16"/>
  </w:num>
  <w:num w:numId="14">
    <w:abstractNumId w:val="30"/>
  </w:num>
  <w:num w:numId="15">
    <w:abstractNumId w:val="19"/>
  </w:num>
  <w:num w:numId="16">
    <w:abstractNumId w:val="9"/>
  </w:num>
  <w:num w:numId="17">
    <w:abstractNumId w:val="23"/>
  </w:num>
  <w:num w:numId="18">
    <w:abstractNumId w:val="13"/>
  </w:num>
  <w:num w:numId="19">
    <w:abstractNumId w:val="2"/>
  </w:num>
  <w:num w:numId="20">
    <w:abstractNumId w:val="3"/>
  </w:num>
  <w:num w:numId="21">
    <w:abstractNumId w:val="28"/>
  </w:num>
  <w:num w:numId="22">
    <w:abstractNumId w:val="18"/>
  </w:num>
  <w:num w:numId="23">
    <w:abstractNumId w:val="5"/>
  </w:num>
  <w:num w:numId="24">
    <w:abstractNumId w:val="10"/>
  </w:num>
  <w:num w:numId="25">
    <w:abstractNumId w:val="12"/>
  </w:num>
  <w:num w:numId="26">
    <w:abstractNumId w:val="15"/>
  </w:num>
  <w:num w:numId="27">
    <w:abstractNumId w:val="31"/>
  </w:num>
  <w:num w:numId="28">
    <w:abstractNumId w:val="4"/>
  </w:num>
  <w:num w:numId="29">
    <w:abstractNumId w:val="1"/>
  </w:num>
  <w:num w:numId="30">
    <w:abstractNumId w:val="8"/>
  </w:num>
  <w:num w:numId="31">
    <w:abstractNumId w:val="20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7D"/>
    <w:rsid w:val="00002453"/>
    <w:rsid w:val="00002F33"/>
    <w:rsid w:val="000057FC"/>
    <w:rsid w:val="00005900"/>
    <w:rsid w:val="000076DD"/>
    <w:rsid w:val="00007AEB"/>
    <w:rsid w:val="00011679"/>
    <w:rsid w:val="00013966"/>
    <w:rsid w:val="00013A2D"/>
    <w:rsid w:val="00013AB6"/>
    <w:rsid w:val="000154A5"/>
    <w:rsid w:val="00015A62"/>
    <w:rsid w:val="00015F32"/>
    <w:rsid w:val="00016B59"/>
    <w:rsid w:val="0001766E"/>
    <w:rsid w:val="00017C0B"/>
    <w:rsid w:val="00017DB6"/>
    <w:rsid w:val="000204AE"/>
    <w:rsid w:val="00020EF5"/>
    <w:rsid w:val="000210E1"/>
    <w:rsid w:val="00021413"/>
    <w:rsid w:val="00021DBD"/>
    <w:rsid w:val="000247A7"/>
    <w:rsid w:val="00024ADE"/>
    <w:rsid w:val="00026487"/>
    <w:rsid w:val="00027F50"/>
    <w:rsid w:val="00030D9B"/>
    <w:rsid w:val="00030F53"/>
    <w:rsid w:val="00031F9E"/>
    <w:rsid w:val="00033824"/>
    <w:rsid w:val="0003389A"/>
    <w:rsid w:val="00034044"/>
    <w:rsid w:val="0003423B"/>
    <w:rsid w:val="0003446B"/>
    <w:rsid w:val="00035A10"/>
    <w:rsid w:val="00035F85"/>
    <w:rsid w:val="00036599"/>
    <w:rsid w:val="00036920"/>
    <w:rsid w:val="00037C88"/>
    <w:rsid w:val="0004114B"/>
    <w:rsid w:val="00041DC0"/>
    <w:rsid w:val="00042B0A"/>
    <w:rsid w:val="00045325"/>
    <w:rsid w:val="00046C83"/>
    <w:rsid w:val="00047077"/>
    <w:rsid w:val="000507C7"/>
    <w:rsid w:val="00050965"/>
    <w:rsid w:val="00050B4F"/>
    <w:rsid w:val="00050EA0"/>
    <w:rsid w:val="000518AE"/>
    <w:rsid w:val="000519F2"/>
    <w:rsid w:val="00053929"/>
    <w:rsid w:val="00053DFD"/>
    <w:rsid w:val="0005431A"/>
    <w:rsid w:val="00054BF5"/>
    <w:rsid w:val="00054CA4"/>
    <w:rsid w:val="000563F5"/>
    <w:rsid w:val="000608B9"/>
    <w:rsid w:val="00061D21"/>
    <w:rsid w:val="0006263F"/>
    <w:rsid w:val="00062887"/>
    <w:rsid w:val="00063A9F"/>
    <w:rsid w:val="0006438A"/>
    <w:rsid w:val="00064C61"/>
    <w:rsid w:val="000722B3"/>
    <w:rsid w:val="0007251A"/>
    <w:rsid w:val="00072A61"/>
    <w:rsid w:val="00073ED0"/>
    <w:rsid w:val="00075029"/>
    <w:rsid w:val="0007580B"/>
    <w:rsid w:val="000805FB"/>
    <w:rsid w:val="00080787"/>
    <w:rsid w:val="00080F1C"/>
    <w:rsid w:val="000814C3"/>
    <w:rsid w:val="00081F69"/>
    <w:rsid w:val="0008229C"/>
    <w:rsid w:val="00082D18"/>
    <w:rsid w:val="0008621A"/>
    <w:rsid w:val="00086D50"/>
    <w:rsid w:val="00091039"/>
    <w:rsid w:val="000931E0"/>
    <w:rsid w:val="0009339D"/>
    <w:rsid w:val="0009583A"/>
    <w:rsid w:val="00095C21"/>
    <w:rsid w:val="000A0045"/>
    <w:rsid w:val="000A031F"/>
    <w:rsid w:val="000A1541"/>
    <w:rsid w:val="000A1958"/>
    <w:rsid w:val="000A505B"/>
    <w:rsid w:val="000A6190"/>
    <w:rsid w:val="000A6B2C"/>
    <w:rsid w:val="000B055B"/>
    <w:rsid w:val="000B179F"/>
    <w:rsid w:val="000B1C44"/>
    <w:rsid w:val="000B3260"/>
    <w:rsid w:val="000B3652"/>
    <w:rsid w:val="000B57FE"/>
    <w:rsid w:val="000B5879"/>
    <w:rsid w:val="000B6C8E"/>
    <w:rsid w:val="000C0D94"/>
    <w:rsid w:val="000C2E96"/>
    <w:rsid w:val="000C3167"/>
    <w:rsid w:val="000C37B9"/>
    <w:rsid w:val="000C5B37"/>
    <w:rsid w:val="000C5B64"/>
    <w:rsid w:val="000C6B3E"/>
    <w:rsid w:val="000D1431"/>
    <w:rsid w:val="000D28BC"/>
    <w:rsid w:val="000D3680"/>
    <w:rsid w:val="000D3B4B"/>
    <w:rsid w:val="000D5018"/>
    <w:rsid w:val="000D596C"/>
    <w:rsid w:val="000D5B4D"/>
    <w:rsid w:val="000D5C33"/>
    <w:rsid w:val="000D627A"/>
    <w:rsid w:val="000D6F46"/>
    <w:rsid w:val="000E3B1F"/>
    <w:rsid w:val="000E4013"/>
    <w:rsid w:val="000E4059"/>
    <w:rsid w:val="000E4E1C"/>
    <w:rsid w:val="000E5FBC"/>
    <w:rsid w:val="000E68DB"/>
    <w:rsid w:val="000F0A9B"/>
    <w:rsid w:val="000F0B10"/>
    <w:rsid w:val="000F0F20"/>
    <w:rsid w:val="000F135D"/>
    <w:rsid w:val="000F1C6A"/>
    <w:rsid w:val="000F2FFC"/>
    <w:rsid w:val="000F4010"/>
    <w:rsid w:val="000F53E3"/>
    <w:rsid w:val="000F6AE6"/>
    <w:rsid w:val="000F7DC6"/>
    <w:rsid w:val="00100114"/>
    <w:rsid w:val="0010061D"/>
    <w:rsid w:val="001010C3"/>
    <w:rsid w:val="001013B2"/>
    <w:rsid w:val="00102BFC"/>
    <w:rsid w:val="00103CAD"/>
    <w:rsid w:val="0010723E"/>
    <w:rsid w:val="00107EE1"/>
    <w:rsid w:val="00111E18"/>
    <w:rsid w:val="00111E48"/>
    <w:rsid w:val="0011439A"/>
    <w:rsid w:val="001148E7"/>
    <w:rsid w:val="00114B3D"/>
    <w:rsid w:val="001151E4"/>
    <w:rsid w:val="00115557"/>
    <w:rsid w:val="001162C0"/>
    <w:rsid w:val="00117469"/>
    <w:rsid w:val="00117E2E"/>
    <w:rsid w:val="00120042"/>
    <w:rsid w:val="00121494"/>
    <w:rsid w:val="00121885"/>
    <w:rsid w:val="00121F17"/>
    <w:rsid w:val="001231BD"/>
    <w:rsid w:val="00124663"/>
    <w:rsid w:val="001246D8"/>
    <w:rsid w:val="00124A74"/>
    <w:rsid w:val="00127461"/>
    <w:rsid w:val="00130378"/>
    <w:rsid w:val="00131AD0"/>
    <w:rsid w:val="00131D76"/>
    <w:rsid w:val="001323A7"/>
    <w:rsid w:val="00135803"/>
    <w:rsid w:val="001365E8"/>
    <w:rsid w:val="00136CB5"/>
    <w:rsid w:val="00136DE6"/>
    <w:rsid w:val="00136DFC"/>
    <w:rsid w:val="00137AF8"/>
    <w:rsid w:val="00140A1B"/>
    <w:rsid w:val="00140B60"/>
    <w:rsid w:val="00141144"/>
    <w:rsid w:val="0014135D"/>
    <w:rsid w:val="00141F98"/>
    <w:rsid w:val="00142F7D"/>
    <w:rsid w:val="00143080"/>
    <w:rsid w:val="00144504"/>
    <w:rsid w:val="00144565"/>
    <w:rsid w:val="0014572B"/>
    <w:rsid w:val="00145E0D"/>
    <w:rsid w:val="001461EE"/>
    <w:rsid w:val="00146B35"/>
    <w:rsid w:val="00150BE6"/>
    <w:rsid w:val="00150C6F"/>
    <w:rsid w:val="00151099"/>
    <w:rsid w:val="00151AED"/>
    <w:rsid w:val="00152E5A"/>
    <w:rsid w:val="001550F4"/>
    <w:rsid w:val="00156B35"/>
    <w:rsid w:val="00162C4E"/>
    <w:rsid w:val="001633EC"/>
    <w:rsid w:val="00163CF2"/>
    <w:rsid w:val="001645E7"/>
    <w:rsid w:val="001647C7"/>
    <w:rsid w:val="00164B44"/>
    <w:rsid w:val="00164CE2"/>
    <w:rsid w:val="00164D77"/>
    <w:rsid w:val="001663A5"/>
    <w:rsid w:val="00167A04"/>
    <w:rsid w:val="00170A04"/>
    <w:rsid w:val="00170ED9"/>
    <w:rsid w:val="00172096"/>
    <w:rsid w:val="00172296"/>
    <w:rsid w:val="00172AF4"/>
    <w:rsid w:val="00173D79"/>
    <w:rsid w:val="00174D25"/>
    <w:rsid w:val="00174DF0"/>
    <w:rsid w:val="00175E9A"/>
    <w:rsid w:val="00176A00"/>
    <w:rsid w:val="00182318"/>
    <w:rsid w:val="00185262"/>
    <w:rsid w:val="00187870"/>
    <w:rsid w:val="00193D70"/>
    <w:rsid w:val="001941A3"/>
    <w:rsid w:val="001948D7"/>
    <w:rsid w:val="00194FF2"/>
    <w:rsid w:val="001957D7"/>
    <w:rsid w:val="00195963"/>
    <w:rsid w:val="001A0893"/>
    <w:rsid w:val="001A3102"/>
    <w:rsid w:val="001A468B"/>
    <w:rsid w:val="001A49E8"/>
    <w:rsid w:val="001A5B81"/>
    <w:rsid w:val="001A5E9A"/>
    <w:rsid w:val="001B04B5"/>
    <w:rsid w:val="001B13A0"/>
    <w:rsid w:val="001B1862"/>
    <w:rsid w:val="001B1BAC"/>
    <w:rsid w:val="001B27D6"/>
    <w:rsid w:val="001B2FFA"/>
    <w:rsid w:val="001B355F"/>
    <w:rsid w:val="001B4EE0"/>
    <w:rsid w:val="001B612B"/>
    <w:rsid w:val="001B7DEC"/>
    <w:rsid w:val="001C04E4"/>
    <w:rsid w:val="001C0D72"/>
    <w:rsid w:val="001C1350"/>
    <w:rsid w:val="001C16F3"/>
    <w:rsid w:val="001C3D2F"/>
    <w:rsid w:val="001C50C5"/>
    <w:rsid w:val="001C5436"/>
    <w:rsid w:val="001C5683"/>
    <w:rsid w:val="001C5FFD"/>
    <w:rsid w:val="001C6190"/>
    <w:rsid w:val="001C7F04"/>
    <w:rsid w:val="001D067F"/>
    <w:rsid w:val="001D1529"/>
    <w:rsid w:val="001D2293"/>
    <w:rsid w:val="001D2596"/>
    <w:rsid w:val="001D2C01"/>
    <w:rsid w:val="001D3258"/>
    <w:rsid w:val="001D390B"/>
    <w:rsid w:val="001D469D"/>
    <w:rsid w:val="001D46E3"/>
    <w:rsid w:val="001D4CE8"/>
    <w:rsid w:val="001D57DC"/>
    <w:rsid w:val="001D6974"/>
    <w:rsid w:val="001D6CB4"/>
    <w:rsid w:val="001D6D3C"/>
    <w:rsid w:val="001D76EB"/>
    <w:rsid w:val="001D7D62"/>
    <w:rsid w:val="001E0F7A"/>
    <w:rsid w:val="001E131C"/>
    <w:rsid w:val="001E2338"/>
    <w:rsid w:val="001E2B2D"/>
    <w:rsid w:val="001E2FB4"/>
    <w:rsid w:val="001E34F3"/>
    <w:rsid w:val="001E377F"/>
    <w:rsid w:val="001E59C5"/>
    <w:rsid w:val="001E5E37"/>
    <w:rsid w:val="001E6511"/>
    <w:rsid w:val="001E7851"/>
    <w:rsid w:val="001E7DB8"/>
    <w:rsid w:val="001F0721"/>
    <w:rsid w:val="001F21AB"/>
    <w:rsid w:val="001F256A"/>
    <w:rsid w:val="001F26FC"/>
    <w:rsid w:val="001F31D1"/>
    <w:rsid w:val="001F3DD9"/>
    <w:rsid w:val="001F4658"/>
    <w:rsid w:val="001F4CAB"/>
    <w:rsid w:val="001F4F8B"/>
    <w:rsid w:val="001F5357"/>
    <w:rsid w:val="001F5875"/>
    <w:rsid w:val="001F5E2E"/>
    <w:rsid w:val="001F6452"/>
    <w:rsid w:val="001F657B"/>
    <w:rsid w:val="001F65A9"/>
    <w:rsid w:val="001F686A"/>
    <w:rsid w:val="001F6BD1"/>
    <w:rsid w:val="001F7223"/>
    <w:rsid w:val="001F7CC7"/>
    <w:rsid w:val="001F7F4F"/>
    <w:rsid w:val="0020251A"/>
    <w:rsid w:val="0020375D"/>
    <w:rsid w:val="002066B2"/>
    <w:rsid w:val="00206D80"/>
    <w:rsid w:val="00211086"/>
    <w:rsid w:val="00211D91"/>
    <w:rsid w:val="00212537"/>
    <w:rsid w:val="00212F46"/>
    <w:rsid w:val="0021313A"/>
    <w:rsid w:val="002132C2"/>
    <w:rsid w:val="00214548"/>
    <w:rsid w:val="0021483C"/>
    <w:rsid w:val="00214BFB"/>
    <w:rsid w:val="00215152"/>
    <w:rsid w:val="0021580A"/>
    <w:rsid w:val="0021607F"/>
    <w:rsid w:val="00217C11"/>
    <w:rsid w:val="00222160"/>
    <w:rsid w:val="002227C2"/>
    <w:rsid w:val="00223CCB"/>
    <w:rsid w:val="0022502E"/>
    <w:rsid w:val="00225354"/>
    <w:rsid w:val="00225E52"/>
    <w:rsid w:val="00226624"/>
    <w:rsid w:val="00226B69"/>
    <w:rsid w:val="00227F86"/>
    <w:rsid w:val="002307D1"/>
    <w:rsid w:val="002322F1"/>
    <w:rsid w:val="00232DE7"/>
    <w:rsid w:val="0023344F"/>
    <w:rsid w:val="00233E8B"/>
    <w:rsid w:val="00235C73"/>
    <w:rsid w:val="002371FD"/>
    <w:rsid w:val="00237A7B"/>
    <w:rsid w:val="0024180A"/>
    <w:rsid w:val="00242665"/>
    <w:rsid w:val="00243274"/>
    <w:rsid w:val="00243549"/>
    <w:rsid w:val="00244542"/>
    <w:rsid w:val="00244C21"/>
    <w:rsid w:val="00244C98"/>
    <w:rsid w:val="00246B42"/>
    <w:rsid w:val="00251BC7"/>
    <w:rsid w:val="0025296C"/>
    <w:rsid w:val="00252BA7"/>
    <w:rsid w:val="00253731"/>
    <w:rsid w:val="00253E77"/>
    <w:rsid w:val="00254A8C"/>
    <w:rsid w:val="00254F19"/>
    <w:rsid w:val="002552E4"/>
    <w:rsid w:val="0025596B"/>
    <w:rsid w:val="00255BEA"/>
    <w:rsid w:val="00256FD3"/>
    <w:rsid w:val="0025757D"/>
    <w:rsid w:val="00257DA4"/>
    <w:rsid w:val="002613AF"/>
    <w:rsid w:val="00261C92"/>
    <w:rsid w:val="002628DC"/>
    <w:rsid w:val="00262F49"/>
    <w:rsid w:val="002642E3"/>
    <w:rsid w:val="00264475"/>
    <w:rsid w:val="00264E08"/>
    <w:rsid w:val="00265C53"/>
    <w:rsid w:val="002667B7"/>
    <w:rsid w:val="00266BA4"/>
    <w:rsid w:val="00270B73"/>
    <w:rsid w:val="002710AC"/>
    <w:rsid w:val="00271665"/>
    <w:rsid w:val="00271CBE"/>
    <w:rsid w:val="00274010"/>
    <w:rsid w:val="002743E5"/>
    <w:rsid w:val="00274F6B"/>
    <w:rsid w:val="0027549E"/>
    <w:rsid w:val="00276AD9"/>
    <w:rsid w:val="00277F53"/>
    <w:rsid w:val="00277F7F"/>
    <w:rsid w:val="00280067"/>
    <w:rsid w:val="002823BF"/>
    <w:rsid w:val="00282FE5"/>
    <w:rsid w:val="00283154"/>
    <w:rsid w:val="00283F95"/>
    <w:rsid w:val="002846EB"/>
    <w:rsid w:val="0028490C"/>
    <w:rsid w:val="00284A49"/>
    <w:rsid w:val="002855FF"/>
    <w:rsid w:val="0028565E"/>
    <w:rsid w:val="00285EE1"/>
    <w:rsid w:val="002869A1"/>
    <w:rsid w:val="00290505"/>
    <w:rsid w:val="00290D7D"/>
    <w:rsid w:val="00292D0D"/>
    <w:rsid w:val="0029405C"/>
    <w:rsid w:val="00294217"/>
    <w:rsid w:val="00294559"/>
    <w:rsid w:val="00295746"/>
    <w:rsid w:val="00295DF8"/>
    <w:rsid w:val="00296592"/>
    <w:rsid w:val="00296EEA"/>
    <w:rsid w:val="0029790A"/>
    <w:rsid w:val="00297D20"/>
    <w:rsid w:val="002A217E"/>
    <w:rsid w:val="002A4A40"/>
    <w:rsid w:val="002A6110"/>
    <w:rsid w:val="002A6BC7"/>
    <w:rsid w:val="002B4F7D"/>
    <w:rsid w:val="002B4FDC"/>
    <w:rsid w:val="002B6223"/>
    <w:rsid w:val="002B650B"/>
    <w:rsid w:val="002B7321"/>
    <w:rsid w:val="002B7A6D"/>
    <w:rsid w:val="002B7BEF"/>
    <w:rsid w:val="002B7C5F"/>
    <w:rsid w:val="002C03B0"/>
    <w:rsid w:val="002C0DFF"/>
    <w:rsid w:val="002C0E09"/>
    <w:rsid w:val="002C0F16"/>
    <w:rsid w:val="002C16F0"/>
    <w:rsid w:val="002C17D9"/>
    <w:rsid w:val="002C1831"/>
    <w:rsid w:val="002C1BBC"/>
    <w:rsid w:val="002C51E9"/>
    <w:rsid w:val="002C5749"/>
    <w:rsid w:val="002C57C5"/>
    <w:rsid w:val="002C5E50"/>
    <w:rsid w:val="002C6CED"/>
    <w:rsid w:val="002C70AE"/>
    <w:rsid w:val="002C75CC"/>
    <w:rsid w:val="002D0EE3"/>
    <w:rsid w:val="002D17D4"/>
    <w:rsid w:val="002D359D"/>
    <w:rsid w:val="002D3604"/>
    <w:rsid w:val="002D4C15"/>
    <w:rsid w:val="002D58FC"/>
    <w:rsid w:val="002D5A8E"/>
    <w:rsid w:val="002D5DBF"/>
    <w:rsid w:val="002D60BC"/>
    <w:rsid w:val="002D64EC"/>
    <w:rsid w:val="002D6C9D"/>
    <w:rsid w:val="002D7263"/>
    <w:rsid w:val="002D72FA"/>
    <w:rsid w:val="002D7B47"/>
    <w:rsid w:val="002E1027"/>
    <w:rsid w:val="002E2328"/>
    <w:rsid w:val="002E5DDF"/>
    <w:rsid w:val="002E5F32"/>
    <w:rsid w:val="002E76B0"/>
    <w:rsid w:val="002E7D4B"/>
    <w:rsid w:val="002E7EDA"/>
    <w:rsid w:val="002E7FD8"/>
    <w:rsid w:val="002F1295"/>
    <w:rsid w:val="002F2AC3"/>
    <w:rsid w:val="002F33C1"/>
    <w:rsid w:val="002F4CE8"/>
    <w:rsid w:val="002F521C"/>
    <w:rsid w:val="002F6153"/>
    <w:rsid w:val="002F6542"/>
    <w:rsid w:val="002F7374"/>
    <w:rsid w:val="002F7CFB"/>
    <w:rsid w:val="0030081F"/>
    <w:rsid w:val="00300E88"/>
    <w:rsid w:val="00300FE2"/>
    <w:rsid w:val="00301397"/>
    <w:rsid w:val="0030193A"/>
    <w:rsid w:val="00302345"/>
    <w:rsid w:val="00302487"/>
    <w:rsid w:val="00302DE1"/>
    <w:rsid w:val="0030324A"/>
    <w:rsid w:val="00303B3B"/>
    <w:rsid w:val="003044D2"/>
    <w:rsid w:val="00304527"/>
    <w:rsid w:val="00304791"/>
    <w:rsid w:val="00304E0F"/>
    <w:rsid w:val="0030587A"/>
    <w:rsid w:val="003070D1"/>
    <w:rsid w:val="00307623"/>
    <w:rsid w:val="00307D86"/>
    <w:rsid w:val="003100BF"/>
    <w:rsid w:val="00310C23"/>
    <w:rsid w:val="00310CBC"/>
    <w:rsid w:val="003140CE"/>
    <w:rsid w:val="003149DF"/>
    <w:rsid w:val="00315362"/>
    <w:rsid w:val="00315A2D"/>
    <w:rsid w:val="00316601"/>
    <w:rsid w:val="00317665"/>
    <w:rsid w:val="0031772C"/>
    <w:rsid w:val="003205BF"/>
    <w:rsid w:val="0032069E"/>
    <w:rsid w:val="0032092E"/>
    <w:rsid w:val="00320DED"/>
    <w:rsid w:val="00320E27"/>
    <w:rsid w:val="003245F8"/>
    <w:rsid w:val="00324641"/>
    <w:rsid w:val="003270B0"/>
    <w:rsid w:val="003319D9"/>
    <w:rsid w:val="00331BCE"/>
    <w:rsid w:val="0033292C"/>
    <w:rsid w:val="00332D8E"/>
    <w:rsid w:val="00333AD7"/>
    <w:rsid w:val="00333E63"/>
    <w:rsid w:val="00336356"/>
    <w:rsid w:val="00336821"/>
    <w:rsid w:val="00336B45"/>
    <w:rsid w:val="00336CE1"/>
    <w:rsid w:val="00342303"/>
    <w:rsid w:val="00342D48"/>
    <w:rsid w:val="0034313F"/>
    <w:rsid w:val="0034364E"/>
    <w:rsid w:val="00343675"/>
    <w:rsid w:val="00343E61"/>
    <w:rsid w:val="00345902"/>
    <w:rsid w:val="00345BFC"/>
    <w:rsid w:val="00345CCD"/>
    <w:rsid w:val="00346493"/>
    <w:rsid w:val="00350C14"/>
    <w:rsid w:val="00351C0C"/>
    <w:rsid w:val="00353718"/>
    <w:rsid w:val="00353CC8"/>
    <w:rsid w:val="00355F81"/>
    <w:rsid w:val="0035660F"/>
    <w:rsid w:val="00356C5B"/>
    <w:rsid w:val="003573A6"/>
    <w:rsid w:val="00357931"/>
    <w:rsid w:val="00361D81"/>
    <w:rsid w:val="00363D2F"/>
    <w:rsid w:val="00364289"/>
    <w:rsid w:val="0036458C"/>
    <w:rsid w:val="00364EB5"/>
    <w:rsid w:val="0036650F"/>
    <w:rsid w:val="0036659F"/>
    <w:rsid w:val="00366685"/>
    <w:rsid w:val="003700FB"/>
    <w:rsid w:val="003713BD"/>
    <w:rsid w:val="003723C0"/>
    <w:rsid w:val="0037253E"/>
    <w:rsid w:val="00374333"/>
    <w:rsid w:val="00376A48"/>
    <w:rsid w:val="00377210"/>
    <w:rsid w:val="0038176D"/>
    <w:rsid w:val="003817B3"/>
    <w:rsid w:val="0038297D"/>
    <w:rsid w:val="00382B91"/>
    <w:rsid w:val="003830DE"/>
    <w:rsid w:val="0038343B"/>
    <w:rsid w:val="00384C16"/>
    <w:rsid w:val="00385836"/>
    <w:rsid w:val="00386E53"/>
    <w:rsid w:val="00387089"/>
    <w:rsid w:val="003872A2"/>
    <w:rsid w:val="003903C3"/>
    <w:rsid w:val="003905DB"/>
    <w:rsid w:val="0039087A"/>
    <w:rsid w:val="003912F1"/>
    <w:rsid w:val="0039244A"/>
    <w:rsid w:val="00392A9C"/>
    <w:rsid w:val="00392BA2"/>
    <w:rsid w:val="0039315A"/>
    <w:rsid w:val="003931F6"/>
    <w:rsid w:val="00393B6D"/>
    <w:rsid w:val="00393BF2"/>
    <w:rsid w:val="003947B5"/>
    <w:rsid w:val="00394C1D"/>
    <w:rsid w:val="003962AB"/>
    <w:rsid w:val="003A0FC9"/>
    <w:rsid w:val="003A1A95"/>
    <w:rsid w:val="003A25A3"/>
    <w:rsid w:val="003A415B"/>
    <w:rsid w:val="003A6101"/>
    <w:rsid w:val="003A7044"/>
    <w:rsid w:val="003B0385"/>
    <w:rsid w:val="003B09EF"/>
    <w:rsid w:val="003B138B"/>
    <w:rsid w:val="003B19B8"/>
    <w:rsid w:val="003B4B4B"/>
    <w:rsid w:val="003B6125"/>
    <w:rsid w:val="003B69CD"/>
    <w:rsid w:val="003B6E6C"/>
    <w:rsid w:val="003C034B"/>
    <w:rsid w:val="003C04F6"/>
    <w:rsid w:val="003C1812"/>
    <w:rsid w:val="003C1E4B"/>
    <w:rsid w:val="003C2226"/>
    <w:rsid w:val="003C225B"/>
    <w:rsid w:val="003C2AC8"/>
    <w:rsid w:val="003C35B2"/>
    <w:rsid w:val="003C4BD6"/>
    <w:rsid w:val="003C6090"/>
    <w:rsid w:val="003C6BD5"/>
    <w:rsid w:val="003C6DA0"/>
    <w:rsid w:val="003C6F81"/>
    <w:rsid w:val="003C6F88"/>
    <w:rsid w:val="003D1919"/>
    <w:rsid w:val="003D213C"/>
    <w:rsid w:val="003D3059"/>
    <w:rsid w:val="003D3C4A"/>
    <w:rsid w:val="003D3D3C"/>
    <w:rsid w:val="003D4311"/>
    <w:rsid w:val="003D711F"/>
    <w:rsid w:val="003D7C98"/>
    <w:rsid w:val="003D7DB9"/>
    <w:rsid w:val="003E286B"/>
    <w:rsid w:val="003E3801"/>
    <w:rsid w:val="003E4240"/>
    <w:rsid w:val="003E4970"/>
    <w:rsid w:val="003E6188"/>
    <w:rsid w:val="003E6795"/>
    <w:rsid w:val="003E700A"/>
    <w:rsid w:val="003E721A"/>
    <w:rsid w:val="003E73B9"/>
    <w:rsid w:val="003E7E70"/>
    <w:rsid w:val="003F0482"/>
    <w:rsid w:val="003F2B51"/>
    <w:rsid w:val="003F2FE9"/>
    <w:rsid w:val="003F3F02"/>
    <w:rsid w:val="003F4EEA"/>
    <w:rsid w:val="003F538C"/>
    <w:rsid w:val="003F54A7"/>
    <w:rsid w:val="003F57BC"/>
    <w:rsid w:val="003F5AA8"/>
    <w:rsid w:val="003F6196"/>
    <w:rsid w:val="003F6F3E"/>
    <w:rsid w:val="003F79E2"/>
    <w:rsid w:val="004010A2"/>
    <w:rsid w:val="00401CE3"/>
    <w:rsid w:val="00404097"/>
    <w:rsid w:val="00404159"/>
    <w:rsid w:val="0040427A"/>
    <w:rsid w:val="0040427E"/>
    <w:rsid w:val="00405743"/>
    <w:rsid w:val="0040575E"/>
    <w:rsid w:val="00405E38"/>
    <w:rsid w:val="004073B1"/>
    <w:rsid w:val="00407B5F"/>
    <w:rsid w:val="00410121"/>
    <w:rsid w:val="00410AA4"/>
    <w:rsid w:val="0041123D"/>
    <w:rsid w:val="00411958"/>
    <w:rsid w:val="00411CAA"/>
    <w:rsid w:val="0041308E"/>
    <w:rsid w:val="004142F2"/>
    <w:rsid w:val="004148C7"/>
    <w:rsid w:val="00415378"/>
    <w:rsid w:val="0042017D"/>
    <w:rsid w:val="0042264D"/>
    <w:rsid w:val="0042276C"/>
    <w:rsid w:val="00422E64"/>
    <w:rsid w:val="0042343D"/>
    <w:rsid w:val="004248D4"/>
    <w:rsid w:val="00424BD6"/>
    <w:rsid w:val="00427ADD"/>
    <w:rsid w:val="00427FC8"/>
    <w:rsid w:val="00430154"/>
    <w:rsid w:val="004307BD"/>
    <w:rsid w:val="00433DE1"/>
    <w:rsid w:val="004347B4"/>
    <w:rsid w:val="0043499E"/>
    <w:rsid w:val="004368B1"/>
    <w:rsid w:val="00441D1D"/>
    <w:rsid w:val="00442E9B"/>
    <w:rsid w:val="00444018"/>
    <w:rsid w:val="004444EB"/>
    <w:rsid w:val="004455C4"/>
    <w:rsid w:val="00451EB4"/>
    <w:rsid w:val="0045295B"/>
    <w:rsid w:val="004545EF"/>
    <w:rsid w:val="0045519A"/>
    <w:rsid w:val="00455A98"/>
    <w:rsid w:val="00456E9C"/>
    <w:rsid w:val="0045712A"/>
    <w:rsid w:val="004619AC"/>
    <w:rsid w:val="00461EF7"/>
    <w:rsid w:val="00463D87"/>
    <w:rsid w:val="00465002"/>
    <w:rsid w:val="004650ED"/>
    <w:rsid w:val="00465583"/>
    <w:rsid w:val="0046697A"/>
    <w:rsid w:val="00466983"/>
    <w:rsid w:val="00466ECA"/>
    <w:rsid w:val="00466ED8"/>
    <w:rsid w:val="0046702C"/>
    <w:rsid w:val="0046713D"/>
    <w:rsid w:val="00467985"/>
    <w:rsid w:val="00467CAC"/>
    <w:rsid w:val="00470DB0"/>
    <w:rsid w:val="00471C22"/>
    <w:rsid w:val="00471E60"/>
    <w:rsid w:val="00471E89"/>
    <w:rsid w:val="00472D9D"/>
    <w:rsid w:val="00473602"/>
    <w:rsid w:val="00473A8A"/>
    <w:rsid w:val="00474E26"/>
    <w:rsid w:val="00474FAE"/>
    <w:rsid w:val="004761A8"/>
    <w:rsid w:val="004762F4"/>
    <w:rsid w:val="00476EDE"/>
    <w:rsid w:val="00477459"/>
    <w:rsid w:val="00477C7C"/>
    <w:rsid w:val="004803BD"/>
    <w:rsid w:val="00482657"/>
    <w:rsid w:val="00483345"/>
    <w:rsid w:val="004833D7"/>
    <w:rsid w:val="004840EF"/>
    <w:rsid w:val="004867BF"/>
    <w:rsid w:val="00492E1B"/>
    <w:rsid w:val="00493ADF"/>
    <w:rsid w:val="00493B15"/>
    <w:rsid w:val="00495ABD"/>
    <w:rsid w:val="00496C0B"/>
    <w:rsid w:val="00496E0E"/>
    <w:rsid w:val="004975C9"/>
    <w:rsid w:val="004A0F88"/>
    <w:rsid w:val="004A1085"/>
    <w:rsid w:val="004A110C"/>
    <w:rsid w:val="004A28D9"/>
    <w:rsid w:val="004A383B"/>
    <w:rsid w:val="004A4485"/>
    <w:rsid w:val="004A4EDF"/>
    <w:rsid w:val="004A535A"/>
    <w:rsid w:val="004A7E2A"/>
    <w:rsid w:val="004B0753"/>
    <w:rsid w:val="004B0F3C"/>
    <w:rsid w:val="004B152E"/>
    <w:rsid w:val="004B2569"/>
    <w:rsid w:val="004B2956"/>
    <w:rsid w:val="004B2D52"/>
    <w:rsid w:val="004B2F82"/>
    <w:rsid w:val="004B3550"/>
    <w:rsid w:val="004B5849"/>
    <w:rsid w:val="004B724D"/>
    <w:rsid w:val="004C03F2"/>
    <w:rsid w:val="004C1308"/>
    <w:rsid w:val="004C18EA"/>
    <w:rsid w:val="004C1949"/>
    <w:rsid w:val="004C1D9B"/>
    <w:rsid w:val="004C25DA"/>
    <w:rsid w:val="004C2842"/>
    <w:rsid w:val="004C4F00"/>
    <w:rsid w:val="004C5E7F"/>
    <w:rsid w:val="004C64E0"/>
    <w:rsid w:val="004C6D1A"/>
    <w:rsid w:val="004C6F22"/>
    <w:rsid w:val="004C7891"/>
    <w:rsid w:val="004C7C19"/>
    <w:rsid w:val="004D1C28"/>
    <w:rsid w:val="004D43C9"/>
    <w:rsid w:val="004D6B7D"/>
    <w:rsid w:val="004D6B98"/>
    <w:rsid w:val="004E0436"/>
    <w:rsid w:val="004E1096"/>
    <w:rsid w:val="004E157C"/>
    <w:rsid w:val="004E23FF"/>
    <w:rsid w:val="004E4072"/>
    <w:rsid w:val="004E40AE"/>
    <w:rsid w:val="004E4238"/>
    <w:rsid w:val="004E4FBF"/>
    <w:rsid w:val="004E5B52"/>
    <w:rsid w:val="004E631E"/>
    <w:rsid w:val="004E6344"/>
    <w:rsid w:val="004F0315"/>
    <w:rsid w:val="004F03B7"/>
    <w:rsid w:val="004F040D"/>
    <w:rsid w:val="004F2059"/>
    <w:rsid w:val="004F3678"/>
    <w:rsid w:val="004F3C65"/>
    <w:rsid w:val="004F4A10"/>
    <w:rsid w:val="004F4E88"/>
    <w:rsid w:val="004F5939"/>
    <w:rsid w:val="004F7654"/>
    <w:rsid w:val="004F7C79"/>
    <w:rsid w:val="004F7E2A"/>
    <w:rsid w:val="00501141"/>
    <w:rsid w:val="00501B7D"/>
    <w:rsid w:val="00502FE2"/>
    <w:rsid w:val="0050421E"/>
    <w:rsid w:val="00504A73"/>
    <w:rsid w:val="00505443"/>
    <w:rsid w:val="0050650D"/>
    <w:rsid w:val="00506F5A"/>
    <w:rsid w:val="00507C37"/>
    <w:rsid w:val="0051011D"/>
    <w:rsid w:val="005106DE"/>
    <w:rsid w:val="005107AC"/>
    <w:rsid w:val="005108CD"/>
    <w:rsid w:val="00510A17"/>
    <w:rsid w:val="005138D9"/>
    <w:rsid w:val="00513C03"/>
    <w:rsid w:val="005146AF"/>
    <w:rsid w:val="005152FD"/>
    <w:rsid w:val="00515EC3"/>
    <w:rsid w:val="00515EEF"/>
    <w:rsid w:val="00516703"/>
    <w:rsid w:val="00517049"/>
    <w:rsid w:val="005174D7"/>
    <w:rsid w:val="0051799F"/>
    <w:rsid w:val="0052049F"/>
    <w:rsid w:val="00520DDA"/>
    <w:rsid w:val="00521783"/>
    <w:rsid w:val="0052277E"/>
    <w:rsid w:val="00522B23"/>
    <w:rsid w:val="00522E94"/>
    <w:rsid w:val="00523EB6"/>
    <w:rsid w:val="005243EF"/>
    <w:rsid w:val="00524AEF"/>
    <w:rsid w:val="00524C5D"/>
    <w:rsid w:val="005250CA"/>
    <w:rsid w:val="00531F22"/>
    <w:rsid w:val="00532036"/>
    <w:rsid w:val="005349D5"/>
    <w:rsid w:val="00535C0F"/>
    <w:rsid w:val="00536D6C"/>
    <w:rsid w:val="00537013"/>
    <w:rsid w:val="00537B9E"/>
    <w:rsid w:val="00537DB4"/>
    <w:rsid w:val="00542823"/>
    <w:rsid w:val="00544D97"/>
    <w:rsid w:val="005454D6"/>
    <w:rsid w:val="00545A4E"/>
    <w:rsid w:val="00545F17"/>
    <w:rsid w:val="0054703E"/>
    <w:rsid w:val="005478DF"/>
    <w:rsid w:val="005522F1"/>
    <w:rsid w:val="005525C8"/>
    <w:rsid w:val="00556310"/>
    <w:rsid w:val="00556B8F"/>
    <w:rsid w:val="005575C3"/>
    <w:rsid w:val="00560401"/>
    <w:rsid w:val="00565BBB"/>
    <w:rsid w:val="00566100"/>
    <w:rsid w:val="00567661"/>
    <w:rsid w:val="005711EE"/>
    <w:rsid w:val="00571237"/>
    <w:rsid w:val="00571B88"/>
    <w:rsid w:val="00572C01"/>
    <w:rsid w:val="00572DB0"/>
    <w:rsid w:val="00573723"/>
    <w:rsid w:val="005749E3"/>
    <w:rsid w:val="005749EE"/>
    <w:rsid w:val="00575C8D"/>
    <w:rsid w:val="00576FB2"/>
    <w:rsid w:val="00580DDD"/>
    <w:rsid w:val="00580E95"/>
    <w:rsid w:val="0058188E"/>
    <w:rsid w:val="00581B0F"/>
    <w:rsid w:val="005822D0"/>
    <w:rsid w:val="00583313"/>
    <w:rsid w:val="00583BC5"/>
    <w:rsid w:val="00583F97"/>
    <w:rsid w:val="005847CF"/>
    <w:rsid w:val="0058548F"/>
    <w:rsid w:val="00585546"/>
    <w:rsid w:val="005867D6"/>
    <w:rsid w:val="0058726E"/>
    <w:rsid w:val="00591541"/>
    <w:rsid w:val="005916BF"/>
    <w:rsid w:val="00591C0B"/>
    <w:rsid w:val="00593D95"/>
    <w:rsid w:val="00594CA8"/>
    <w:rsid w:val="00595263"/>
    <w:rsid w:val="005964E0"/>
    <w:rsid w:val="00596CFD"/>
    <w:rsid w:val="0059742D"/>
    <w:rsid w:val="00597E77"/>
    <w:rsid w:val="005A052B"/>
    <w:rsid w:val="005A209B"/>
    <w:rsid w:val="005A2850"/>
    <w:rsid w:val="005A33AD"/>
    <w:rsid w:val="005A42CF"/>
    <w:rsid w:val="005A4387"/>
    <w:rsid w:val="005A45A2"/>
    <w:rsid w:val="005A6548"/>
    <w:rsid w:val="005A6808"/>
    <w:rsid w:val="005A6CD1"/>
    <w:rsid w:val="005A7703"/>
    <w:rsid w:val="005A773B"/>
    <w:rsid w:val="005A7E5B"/>
    <w:rsid w:val="005A7E79"/>
    <w:rsid w:val="005B0784"/>
    <w:rsid w:val="005B0CBC"/>
    <w:rsid w:val="005B1292"/>
    <w:rsid w:val="005B12D7"/>
    <w:rsid w:val="005B1C44"/>
    <w:rsid w:val="005B375B"/>
    <w:rsid w:val="005B428F"/>
    <w:rsid w:val="005B457C"/>
    <w:rsid w:val="005B4DD4"/>
    <w:rsid w:val="005B5233"/>
    <w:rsid w:val="005C2D8F"/>
    <w:rsid w:val="005C3D8F"/>
    <w:rsid w:val="005C4181"/>
    <w:rsid w:val="005C56CB"/>
    <w:rsid w:val="005C5B21"/>
    <w:rsid w:val="005C612F"/>
    <w:rsid w:val="005D0714"/>
    <w:rsid w:val="005D0805"/>
    <w:rsid w:val="005D0979"/>
    <w:rsid w:val="005D10E6"/>
    <w:rsid w:val="005D14FA"/>
    <w:rsid w:val="005D21F7"/>
    <w:rsid w:val="005D47CE"/>
    <w:rsid w:val="005D4C61"/>
    <w:rsid w:val="005D5305"/>
    <w:rsid w:val="005D63D1"/>
    <w:rsid w:val="005D7DEA"/>
    <w:rsid w:val="005E0875"/>
    <w:rsid w:val="005E1BCF"/>
    <w:rsid w:val="005E2D69"/>
    <w:rsid w:val="005E3687"/>
    <w:rsid w:val="005E5428"/>
    <w:rsid w:val="005E549E"/>
    <w:rsid w:val="005E5A35"/>
    <w:rsid w:val="005E6A7A"/>
    <w:rsid w:val="005E7207"/>
    <w:rsid w:val="005E7863"/>
    <w:rsid w:val="005F38F5"/>
    <w:rsid w:val="005F40B4"/>
    <w:rsid w:val="005F5F80"/>
    <w:rsid w:val="005F7CC0"/>
    <w:rsid w:val="00600920"/>
    <w:rsid w:val="00603181"/>
    <w:rsid w:val="00605CC5"/>
    <w:rsid w:val="00606765"/>
    <w:rsid w:val="006067A7"/>
    <w:rsid w:val="00610239"/>
    <w:rsid w:val="006109C1"/>
    <w:rsid w:val="00611EE2"/>
    <w:rsid w:val="00612A08"/>
    <w:rsid w:val="00612ED5"/>
    <w:rsid w:val="0062099B"/>
    <w:rsid w:val="00620B02"/>
    <w:rsid w:val="00622AB5"/>
    <w:rsid w:val="00623E90"/>
    <w:rsid w:val="0062508F"/>
    <w:rsid w:val="00625350"/>
    <w:rsid w:val="0062586E"/>
    <w:rsid w:val="006265D4"/>
    <w:rsid w:val="00627A1A"/>
    <w:rsid w:val="00632C81"/>
    <w:rsid w:val="0063330E"/>
    <w:rsid w:val="00633B04"/>
    <w:rsid w:val="0063665F"/>
    <w:rsid w:val="00636E7B"/>
    <w:rsid w:val="006375D0"/>
    <w:rsid w:val="00640380"/>
    <w:rsid w:val="006408A5"/>
    <w:rsid w:val="00641CBF"/>
    <w:rsid w:val="0064210E"/>
    <w:rsid w:val="0064216A"/>
    <w:rsid w:val="0064229C"/>
    <w:rsid w:val="006438FE"/>
    <w:rsid w:val="00643B5F"/>
    <w:rsid w:val="0064674C"/>
    <w:rsid w:val="006468A2"/>
    <w:rsid w:val="0064712A"/>
    <w:rsid w:val="00652490"/>
    <w:rsid w:val="006524ED"/>
    <w:rsid w:val="00652EB4"/>
    <w:rsid w:val="00653904"/>
    <w:rsid w:val="00653EED"/>
    <w:rsid w:val="006550A7"/>
    <w:rsid w:val="006568C9"/>
    <w:rsid w:val="00657419"/>
    <w:rsid w:val="00661C67"/>
    <w:rsid w:val="00662918"/>
    <w:rsid w:val="00663499"/>
    <w:rsid w:val="0066577C"/>
    <w:rsid w:val="006664DE"/>
    <w:rsid w:val="0066652C"/>
    <w:rsid w:val="006668DB"/>
    <w:rsid w:val="00666F0C"/>
    <w:rsid w:val="00667978"/>
    <w:rsid w:val="00667B79"/>
    <w:rsid w:val="00670C83"/>
    <w:rsid w:val="006730ED"/>
    <w:rsid w:val="00673D22"/>
    <w:rsid w:val="0067554F"/>
    <w:rsid w:val="00675633"/>
    <w:rsid w:val="00675A4E"/>
    <w:rsid w:val="006765B2"/>
    <w:rsid w:val="00676907"/>
    <w:rsid w:val="00676A4B"/>
    <w:rsid w:val="00676AD6"/>
    <w:rsid w:val="00680407"/>
    <w:rsid w:val="0068097A"/>
    <w:rsid w:val="00681155"/>
    <w:rsid w:val="006817B6"/>
    <w:rsid w:val="00681803"/>
    <w:rsid w:val="00681959"/>
    <w:rsid w:val="0068356E"/>
    <w:rsid w:val="00684C9A"/>
    <w:rsid w:val="006851D7"/>
    <w:rsid w:val="006857BA"/>
    <w:rsid w:val="00686579"/>
    <w:rsid w:val="006867F8"/>
    <w:rsid w:val="006905A7"/>
    <w:rsid w:val="00690651"/>
    <w:rsid w:val="00690BC8"/>
    <w:rsid w:val="00692335"/>
    <w:rsid w:val="006927A9"/>
    <w:rsid w:val="0069322E"/>
    <w:rsid w:val="00693DDC"/>
    <w:rsid w:val="00694C23"/>
    <w:rsid w:val="00695B20"/>
    <w:rsid w:val="00695FBD"/>
    <w:rsid w:val="0069630E"/>
    <w:rsid w:val="00696928"/>
    <w:rsid w:val="006978DA"/>
    <w:rsid w:val="006A0BE7"/>
    <w:rsid w:val="006A0E6D"/>
    <w:rsid w:val="006A14D0"/>
    <w:rsid w:val="006A18E8"/>
    <w:rsid w:val="006A27D0"/>
    <w:rsid w:val="006B1810"/>
    <w:rsid w:val="006B2719"/>
    <w:rsid w:val="006B2832"/>
    <w:rsid w:val="006B4E1A"/>
    <w:rsid w:val="006B5310"/>
    <w:rsid w:val="006B5556"/>
    <w:rsid w:val="006B634B"/>
    <w:rsid w:val="006B7154"/>
    <w:rsid w:val="006B7A5D"/>
    <w:rsid w:val="006B7AB7"/>
    <w:rsid w:val="006C1E63"/>
    <w:rsid w:val="006C2149"/>
    <w:rsid w:val="006C2199"/>
    <w:rsid w:val="006C284D"/>
    <w:rsid w:val="006C3446"/>
    <w:rsid w:val="006C5329"/>
    <w:rsid w:val="006C6DFC"/>
    <w:rsid w:val="006D0192"/>
    <w:rsid w:val="006D03C7"/>
    <w:rsid w:val="006D187A"/>
    <w:rsid w:val="006D3AAF"/>
    <w:rsid w:val="006D3B14"/>
    <w:rsid w:val="006D519E"/>
    <w:rsid w:val="006D51D9"/>
    <w:rsid w:val="006D5636"/>
    <w:rsid w:val="006D57FC"/>
    <w:rsid w:val="006D5C04"/>
    <w:rsid w:val="006D73C9"/>
    <w:rsid w:val="006D7724"/>
    <w:rsid w:val="006D7775"/>
    <w:rsid w:val="006D7B18"/>
    <w:rsid w:val="006E033D"/>
    <w:rsid w:val="006E2032"/>
    <w:rsid w:val="006E2355"/>
    <w:rsid w:val="006E23CC"/>
    <w:rsid w:val="006E2E6C"/>
    <w:rsid w:val="006E3F99"/>
    <w:rsid w:val="006E41E4"/>
    <w:rsid w:val="006E510A"/>
    <w:rsid w:val="006E5431"/>
    <w:rsid w:val="006E645F"/>
    <w:rsid w:val="006E7198"/>
    <w:rsid w:val="006E7243"/>
    <w:rsid w:val="006E798A"/>
    <w:rsid w:val="006F0697"/>
    <w:rsid w:val="006F2783"/>
    <w:rsid w:val="006F30C1"/>
    <w:rsid w:val="006F5BFD"/>
    <w:rsid w:val="006F6DA7"/>
    <w:rsid w:val="006F7337"/>
    <w:rsid w:val="006F767F"/>
    <w:rsid w:val="007003D9"/>
    <w:rsid w:val="0070066F"/>
    <w:rsid w:val="00701954"/>
    <w:rsid w:val="00702D9F"/>
    <w:rsid w:val="00703134"/>
    <w:rsid w:val="007035A1"/>
    <w:rsid w:val="00704246"/>
    <w:rsid w:val="00705A6C"/>
    <w:rsid w:val="00707352"/>
    <w:rsid w:val="007078F8"/>
    <w:rsid w:val="007120C2"/>
    <w:rsid w:val="00713045"/>
    <w:rsid w:val="00715552"/>
    <w:rsid w:val="00717DA3"/>
    <w:rsid w:val="00717DD7"/>
    <w:rsid w:val="007206A9"/>
    <w:rsid w:val="00720B58"/>
    <w:rsid w:val="00722912"/>
    <w:rsid w:val="007233C0"/>
    <w:rsid w:val="00723F00"/>
    <w:rsid w:val="00724163"/>
    <w:rsid w:val="00724486"/>
    <w:rsid w:val="00724779"/>
    <w:rsid w:val="007255E2"/>
    <w:rsid w:val="00725CE3"/>
    <w:rsid w:val="00726CAF"/>
    <w:rsid w:val="0072771C"/>
    <w:rsid w:val="0072771D"/>
    <w:rsid w:val="007277BE"/>
    <w:rsid w:val="00730EEF"/>
    <w:rsid w:val="007312BA"/>
    <w:rsid w:val="007325C9"/>
    <w:rsid w:val="00733DD2"/>
    <w:rsid w:val="00735247"/>
    <w:rsid w:val="007355BB"/>
    <w:rsid w:val="0073579B"/>
    <w:rsid w:val="00736999"/>
    <w:rsid w:val="00740FCD"/>
    <w:rsid w:val="007418DE"/>
    <w:rsid w:val="00741C08"/>
    <w:rsid w:val="00742F7D"/>
    <w:rsid w:val="00744664"/>
    <w:rsid w:val="007476D1"/>
    <w:rsid w:val="00750728"/>
    <w:rsid w:val="0075278D"/>
    <w:rsid w:val="00752A86"/>
    <w:rsid w:val="007535A5"/>
    <w:rsid w:val="00753965"/>
    <w:rsid w:val="00755C9B"/>
    <w:rsid w:val="00755E7F"/>
    <w:rsid w:val="00757692"/>
    <w:rsid w:val="00760B00"/>
    <w:rsid w:val="007620CB"/>
    <w:rsid w:val="0076219F"/>
    <w:rsid w:val="00762EE5"/>
    <w:rsid w:val="007633E7"/>
    <w:rsid w:val="007634B3"/>
    <w:rsid w:val="00763E4B"/>
    <w:rsid w:val="00764BF1"/>
    <w:rsid w:val="00766325"/>
    <w:rsid w:val="00767436"/>
    <w:rsid w:val="007721C8"/>
    <w:rsid w:val="00772933"/>
    <w:rsid w:val="00772CF7"/>
    <w:rsid w:val="00773453"/>
    <w:rsid w:val="0077402E"/>
    <w:rsid w:val="007746D9"/>
    <w:rsid w:val="00774B0F"/>
    <w:rsid w:val="00775D48"/>
    <w:rsid w:val="00776E5F"/>
    <w:rsid w:val="007773DD"/>
    <w:rsid w:val="0077744A"/>
    <w:rsid w:val="00780B1A"/>
    <w:rsid w:val="00780D11"/>
    <w:rsid w:val="00781600"/>
    <w:rsid w:val="00783873"/>
    <w:rsid w:val="007839C9"/>
    <w:rsid w:val="00783C46"/>
    <w:rsid w:val="007848AC"/>
    <w:rsid w:val="0078690F"/>
    <w:rsid w:val="00787E77"/>
    <w:rsid w:val="00790CD7"/>
    <w:rsid w:val="007913EB"/>
    <w:rsid w:val="0079284E"/>
    <w:rsid w:val="007963A1"/>
    <w:rsid w:val="00796982"/>
    <w:rsid w:val="00796AB0"/>
    <w:rsid w:val="00796B09"/>
    <w:rsid w:val="00797C1E"/>
    <w:rsid w:val="00797EA8"/>
    <w:rsid w:val="007A01F7"/>
    <w:rsid w:val="007A0F39"/>
    <w:rsid w:val="007A2F87"/>
    <w:rsid w:val="007A3A44"/>
    <w:rsid w:val="007A3A9A"/>
    <w:rsid w:val="007A4843"/>
    <w:rsid w:val="007A536C"/>
    <w:rsid w:val="007A5A68"/>
    <w:rsid w:val="007A6602"/>
    <w:rsid w:val="007A71D6"/>
    <w:rsid w:val="007A76ED"/>
    <w:rsid w:val="007B004A"/>
    <w:rsid w:val="007B0EB3"/>
    <w:rsid w:val="007B11FE"/>
    <w:rsid w:val="007B157B"/>
    <w:rsid w:val="007B1CC4"/>
    <w:rsid w:val="007B2080"/>
    <w:rsid w:val="007B2FC9"/>
    <w:rsid w:val="007B4FF2"/>
    <w:rsid w:val="007B542C"/>
    <w:rsid w:val="007B6C18"/>
    <w:rsid w:val="007B7377"/>
    <w:rsid w:val="007C0763"/>
    <w:rsid w:val="007C0D64"/>
    <w:rsid w:val="007C18AC"/>
    <w:rsid w:val="007C239E"/>
    <w:rsid w:val="007C25DE"/>
    <w:rsid w:val="007C3015"/>
    <w:rsid w:val="007C36CF"/>
    <w:rsid w:val="007C3879"/>
    <w:rsid w:val="007C3B73"/>
    <w:rsid w:val="007C3F8A"/>
    <w:rsid w:val="007C546F"/>
    <w:rsid w:val="007C6121"/>
    <w:rsid w:val="007C7441"/>
    <w:rsid w:val="007D4393"/>
    <w:rsid w:val="007D5366"/>
    <w:rsid w:val="007D56A3"/>
    <w:rsid w:val="007D5793"/>
    <w:rsid w:val="007D7098"/>
    <w:rsid w:val="007D7A26"/>
    <w:rsid w:val="007E0210"/>
    <w:rsid w:val="007E258B"/>
    <w:rsid w:val="007E261E"/>
    <w:rsid w:val="007E2E2E"/>
    <w:rsid w:val="007E2F96"/>
    <w:rsid w:val="007E371E"/>
    <w:rsid w:val="007E4553"/>
    <w:rsid w:val="007E459C"/>
    <w:rsid w:val="007E5BD8"/>
    <w:rsid w:val="007E6372"/>
    <w:rsid w:val="007E738C"/>
    <w:rsid w:val="007E741E"/>
    <w:rsid w:val="007E7C58"/>
    <w:rsid w:val="007F2551"/>
    <w:rsid w:val="007F34EE"/>
    <w:rsid w:val="007F49E7"/>
    <w:rsid w:val="007F6A63"/>
    <w:rsid w:val="007F731B"/>
    <w:rsid w:val="007F7AB8"/>
    <w:rsid w:val="007F7B8C"/>
    <w:rsid w:val="00800478"/>
    <w:rsid w:val="008014A9"/>
    <w:rsid w:val="00802304"/>
    <w:rsid w:val="00802F10"/>
    <w:rsid w:val="00803154"/>
    <w:rsid w:val="0080489A"/>
    <w:rsid w:val="00804E7C"/>
    <w:rsid w:val="00805663"/>
    <w:rsid w:val="00805779"/>
    <w:rsid w:val="00806F34"/>
    <w:rsid w:val="00807F56"/>
    <w:rsid w:val="008105C9"/>
    <w:rsid w:val="00810657"/>
    <w:rsid w:val="00810CAC"/>
    <w:rsid w:val="008117D9"/>
    <w:rsid w:val="00811AF0"/>
    <w:rsid w:val="00812A01"/>
    <w:rsid w:val="00812D61"/>
    <w:rsid w:val="00815B66"/>
    <w:rsid w:val="008163A3"/>
    <w:rsid w:val="00820166"/>
    <w:rsid w:val="008205C8"/>
    <w:rsid w:val="00820DE2"/>
    <w:rsid w:val="00824153"/>
    <w:rsid w:val="00824CC1"/>
    <w:rsid w:val="0082642C"/>
    <w:rsid w:val="0082651D"/>
    <w:rsid w:val="00826570"/>
    <w:rsid w:val="00826A2E"/>
    <w:rsid w:val="0082755B"/>
    <w:rsid w:val="00827613"/>
    <w:rsid w:val="00827B78"/>
    <w:rsid w:val="00827EEE"/>
    <w:rsid w:val="00830423"/>
    <w:rsid w:val="00831910"/>
    <w:rsid w:val="00831917"/>
    <w:rsid w:val="00832536"/>
    <w:rsid w:val="00835777"/>
    <w:rsid w:val="00836CD3"/>
    <w:rsid w:val="008414BF"/>
    <w:rsid w:val="00841A00"/>
    <w:rsid w:val="00842370"/>
    <w:rsid w:val="0084386C"/>
    <w:rsid w:val="0084460C"/>
    <w:rsid w:val="008448D6"/>
    <w:rsid w:val="008459CB"/>
    <w:rsid w:val="00845B87"/>
    <w:rsid w:val="00846290"/>
    <w:rsid w:val="00846B91"/>
    <w:rsid w:val="0084740C"/>
    <w:rsid w:val="00850824"/>
    <w:rsid w:val="00851A8B"/>
    <w:rsid w:val="0085255F"/>
    <w:rsid w:val="008534C3"/>
    <w:rsid w:val="0085400D"/>
    <w:rsid w:val="00854DBC"/>
    <w:rsid w:val="00855CA3"/>
    <w:rsid w:val="00855D33"/>
    <w:rsid w:val="00856D92"/>
    <w:rsid w:val="0086006B"/>
    <w:rsid w:val="008619F7"/>
    <w:rsid w:val="00861B0D"/>
    <w:rsid w:val="00864056"/>
    <w:rsid w:val="00864557"/>
    <w:rsid w:val="0086482E"/>
    <w:rsid w:val="008649C9"/>
    <w:rsid w:val="00864D38"/>
    <w:rsid w:val="00864F82"/>
    <w:rsid w:val="008731E3"/>
    <w:rsid w:val="00873893"/>
    <w:rsid w:val="008742B6"/>
    <w:rsid w:val="00874718"/>
    <w:rsid w:val="008758B7"/>
    <w:rsid w:val="00876363"/>
    <w:rsid w:val="008778C7"/>
    <w:rsid w:val="00877F65"/>
    <w:rsid w:val="0088057A"/>
    <w:rsid w:val="00880885"/>
    <w:rsid w:val="00882ABD"/>
    <w:rsid w:val="008831C3"/>
    <w:rsid w:val="008840D3"/>
    <w:rsid w:val="0088484F"/>
    <w:rsid w:val="00884A84"/>
    <w:rsid w:val="00884FE6"/>
    <w:rsid w:val="00887960"/>
    <w:rsid w:val="00891BA0"/>
    <w:rsid w:val="00891E82"/>
    <w:rsid w:val="00893571"/>
    <w:rsid w:val="00893675"/>
    <w:rsid w:val="00894411"/>
    <w:rsid w:val="00896968"/>
    <w:rsid w:val="00896FF1"/>
    <w:rsid w:val="008A052D"/>
    <w:rsid w:val="008A2036"/>
    <w:rsid w:val="008A4361"/>
    <w:rsid w:val="008A6443"/>
    <w:rsid w:val="008B0950"/>
    <w:rsid w:val="008B0B3D"/>
    <w:rsid w:val="008B1533"/>
    <w:rsid w:val="008B21E3"/>
    <w:rsid w:val="008B4611"/>
    <w:rsid w:val="008B4DED"/>
    <w:rsid w:val="008B60B3"/>
    <w:rsid w:val="008B62FC"/>
    <w:rsid w:val="008B7D78"/>
    <w:rsid w:val="008C00D7"/>
    <w:rsid w:val="008C0381"/>
    <w:rsid w:val="008C048B"/>
    <w:rsid w:val="008C048D"/>
    <w:rsid w:val="008C07D3"/>
    <w:rsid w:val="008C231E"/>
    <w:rsid w:val="008C3493"/>
    <w:rsid w:val="008C426D"/>
    <w:rsid w:val="008C484F"/>
    <w:rsid w:val="008C48FF"/>
    <w:rsid w:val="008C6EF2"/>
    <w:rsid w:val="008C70D3"/>
    <w:rsid w:val="008D174B"/>
    <w:rsid w:val="008D35CF"/>
    <w:rsid w:val="008D5D46"/>
    <w:rsid w:val="008E10A3"/>
    <w:rsid w:val="008E1327"/>
    <w:rsid w:val="008E1AED"/>
    <w:rsid w:val="008E3D29"/>
    <w:rsid w:val="008E4ADB"/>
    <w:rsid w:val="008E4EE0"/>
    <w:rsid w:val="008E51DB"/>
    <w:rsid w:val="008E5CB8"/>
    <w:rsid w:val="008E7207"/>
    <w:rsid w:val="008E7364"/>
    <w:rsid w:val="008E743C"/>
    <w:rsid w:val="008E7620"/>
    <w:rsid w:val="008E7700"/>
    <w:rsid w:val="008E7E5B"/>
    <w:rsid w:val="008F0C48"/>
    <w:rsid w:val="008F0F99"/>
    <w:rsid w:val="008F4540"/>
    <w:rsid w:val="008F4B49"/>
    <w:rsid w:val="008F5DC1"/>
    <w:rsid w:val="008F6DBB"/>
    <w:rsid w:val="008F7BEC"/>
    <w:rsid w:val="009001DF"/>
    <w:rsid w:val="00900B32"/>
    <w:rsid w:val="00900D96"/>
    <w:rsid w:val="00901AD5"/>
    <w:rsid w:val="00901AD6"/>
    <w:rsid w:val="00903511"/>
    <w:rsid w:val="00905507"/>
    <w:rsid w:val="00905725"/>
    <w:rsid w:val="00905727"/>
    <w:rsid w:val="00905892"/>
    <w:rsid w:val="009066C4"/>
    <w:rsid w:val="00906C0D"/>
    <w:rsid w:val="0090759D"/>
    <w:rsid w:val="00911557"/>
    <w:rsid w:val="00912273"/>
    <w:rsid w:val="00912DCE"/>
    <w:rsid w:val="00914521"/>
    <w:rsid w:val="009149DD"/>
    <w:rsid w:val="009151E3"/>
    <w:rsid w:val="009161AE"/>
    <w:rsid w:val="00916368"/>
    <w:rsid w:val="00916A23"/>
    <w:rsid w:val="00916DBD"/>
    <w:rsid w:val="00916ED0"/>
    <w:rsid w:val="00917102"/>
    <w:rsid w:val="009173DE"/>
    <w:rsid w:val="00917E0A"/>
    <w:rsid w:val="00920D8A"/>
    <w:rsid w:val="00920D8E"/>
    <w:rsid w:val="0092111A"/>
    <w:rsid w:val="009220F4"/>
    <w:rsid w:val="00922980"/>
    <w:rsid w:val="00922A63"/>
    <w:rsid w:val="0092452B"/>
    <w:rsid w:val="00924DF3"/>
    <w:rsid w:val="009270AB"/>
    <w:rsid w:val="009275B2"/>
    <w:rsid w:val="00927DD3"/>
    <w:rsid w:val="00931449"/>
    <w:rsid w:val="00932609"/>
    <w:rsid w:val="009329C6"/>
    <w:rsid w:val="00933106"/>
    <w:rsid w:val="00937CEA"/>
    <w:rsid w:val="00937D48"/>
    <w:rsid w:val="00941EA3"/>
    <w:rsid w:val="00942B51"/>
    <w:rsid w:val="00942F72"/>
    <w:rsid w:val="009437E9"/>
    <w:rsid w:val="00943D86"/>
    <w:rsid w:val="00944488"/>
    <w:rsid w:val="0094455C"/>
    <w:rsid w:val="00944F46"/>
    <w:rsid w:val="009451E4"/>
    <w:rsid w:val="00946705"/>
    <w:rsid w:val="009470B4"/>
    <w:rsid w:val="00951F96"/>
    <w:rsid w:val="009528B0"/>
    <w:rsid w:val="00952954"/>
    <w:rsid w:val="00952D30"/>
    <w:rsid w:val="009533EE"/>
    <w:rsid w:val="00954312"/>
    <w:rsid w:val="00955A11"/>
    <w:rsid w:val="00955BDC"/>
    <w:rsid w:val="009565D5"/>
    <w:rsid w:val="009601F6"/>
    <w:rsid w:val="00963555"/>
    <w:rsid w:val="00964E41"/>
    <w:rsid w:val="00965482"/>
    <w:rsid w:val="00966E12"/>
    <w:rsid w:val="0097080E"/>
    <w:rsid w:val="0097148E"/>
    <w:rsid w:val="00972F97"/>
    <w:rsid w:val="00973B55"/>
    <w:rsid w:val="00976565"/>
    <w:rsid w:val="0097762E"/>
    <w:rsid w:val="0097770D"/>
    <w:rsid w:val="00977EE8"/>
    <w:rsid w:val="009818D0"/>
    <w:rsid w:val="009827DF"/>
    <w:rsid w:val="0098348E"/>
    <w:rsid w:val="00983C33"/>
    <w:rsid w:val="00983C9A"/>
    <w:rsid w:val="00983D47"/>
    <w:rsid w:val="00984049"/>
    <w:rsid w:val="00986285"/>
    <w:rsid w:val="00986B21"/>
    <w:rsid w:val="009873BA"/>
    <w:rsid w:val="0098778C"/>
    <w:rsid w:val="0099002F"/>
    <w:rsid w:val="0099015F"/>
    <w:rsid w:val="009907C9"/>
    <w:rsid w:val="0099121F"/>
    <w:rsid w:val="00991382"/>
    <w:rsid w:val="009913E3"/>
    <w:rsid w:val="00991770"/>
    <w:rsid w:val="00991947"/>
    <w:rsid w:val="00993C78"/>
    <w:rsid w:val="00994366"/>
    <w:rsid w:val="009943C0"/>
    <w:rsid w:val="00994A78"/>
    <w:rsid w:val="009955EF"/>
    <w:rsid w:val="009959F5"/>
    <w:rsid w:val="00995A09"/>
    <w:rsid w:val="00996FC5"/>
    <w:rsid w:val="009972E2"/>
    <w:rsid w:val="009A0343"/>
    <w:rsid w:val="009A03C0"/>
    <w:rsid w:val="009A0E8D"/>
    <w:rsid w:val="009A0FAE"/>
    <w:rsid w:val="009A17B8"/>
    <w:rsid w:val="009A3885"/>
    <w:rsid w:val="009A4D99"/>
    <w:rsid w:val="009A64A6"/>
    <w:rsid w:val="009A7615"/>
    <w:rsid w:val="009A7B48"/>
    <w:rsid w:val="009B0524"/>
    <w:rsid w:val="009B21E5"/>
    <w:rsid w:val="009B2732"/>
    <w:rsid w:val="009B369B"/>
    <w:rsid w:val="009B3F69"/>
    <w:rsid w:val="009B46AF"/>
    <w:rsid w:val="009B5564"/>
    <w:rsid w:val="009B5595"/>
    <w:rsid w:val="009B5B7B"/>
    <w:rsid w:val="009C016F"/>
    <w:rsid w:val="009C019A"/>
    <w:rsid w:val="009C06CA"/>
    <w:rsid w:val="009C07A2"/>
    <w:rsid w:val="009C1A1E"/>
    <w:rsid w:val="009C2225"/>
    <w:rsid w:val="009C3527"/>
    <w:rsid w:val="009C36B1"/>
    <w:rsid w:val="009C3AB8"/>
    <w:rsid w:val="009C45E3"/>
    <w:rsid w:val="009C5CB9"/>
    <w:rsid w:val="009C6A63"/>
    <w:rsid w:val="009C7641"/>
    <w:rsid w:val="009C7D32"/>
    <w:rsid w:val="009D00CE"/>
    <w:rsid w:val="009D0F2B"/>
    <w:rsid w:val="009D18FB"/>
    <w:rsid w:val="009D1BEE"/>
    <w:rsid w:val="009D3157"/>
    <w:rsid w:val="009D6409"/>
    <w:rsid w:val="009E10C0"/>
    <w:rsid w:val="009E1A5A"/>
    <w:rsid w:val="009E321A"/>
    <w:rsid w:val="009E4A23"/>
    <w:rsid w:val="009E4F9D"/>
    <w:rsid w:val="009E53F7"/>
    <w:rsid w:val="009E58F3"/>
    <w:rsid w:val="009E5DE7"/>
    <w:rsid w:val="009E6C0E"/>
    <w:rsid w:val="009E6C37"/>
    <w:rsid w:val="009E7FFB"/>
    <w:rsid w:val="009F1565"/>
    <w:rsid w:val="009F20D0"/>
    <w:rsid w:val="009F287D"/>
    <w:rsid w:val="009F28AC"/>
    <w:rsid w:val="009F2A79"/>
    <w:rsid w:val="009F2ECE"/>
    <w:rsid w:val="009F3179"/>
    <w:rsid w:val="009F3922"/>
    <w:rsid w:val="009F4098"/>
    <w:rsid w:val="009F50A4"/>
    <w:rsid w:val="009F50D0"/>
    <w:rsid w:val="009F58E4"/>
    <w:rsid w:val="009F5CF4"/>
    <w:rsid w:val="009F5DAA"/>
    <w:rsid w:val="009F5F93"/>
    <w:rsid w:val="009F69F2"/>
    <w:rsid w:val="009F6AB3"/>
    <w:rsid w:val="00A00E89"/>
    <w:rsid w:val="00A00FA9"/>
    <w:rsid w:val="00A02285"/>
    <w:rsid w:val="00A02687"/>
    <w:rsid w:val="00A0309E"/>
    <w:rsid w:val="00A0408D"/>
    <w:rsid w:val="00A05777"/>
    <w:rsid w:val="00A05980"/>
    <w:rsid w:val="00A06B1E"/>
    <w:rsid w:val="00A0707D"/>
    <w:rsid w:val="00A071D6"/>
    <w:rsid w:val="00A10040"/>
    <w:rsid w:val="00A13200"/>
    <w:rsid w:val="00A1329C"/>
    <w:rsid w:val="00A156DC"/>
    <w:rsid w:val="00A168CC"/>
    <w:rsid w:val="00A169E2"/>
    <w:rsid w:val="00A2076F"/>
    <w:rsid w:val="00A21C64"/>
    <w:rsid w:val="00A22178"/>
    <w:rsid w:val="00A22C84"/>
    <w:rsid w:val="00A22FD7"/>
    <w:rsid w:val="00A23448"/>
    <w:rsid w:val="00A237AF"/>
    <w:rsid w:val="00A24C2F"/>
    <w:rsid w:val="00A263BB"/>
    <w:rsid w:val="00A2745C"/>
    <w:rsid w:val="00A27FAF"/>
    <w:rsid w:val="00A31705"/>
    <w:rsid w:val="00A327DB"/>
    <w:rsid w:val="00A3345D"/>
    <w:rsid w:val="00A33E1C"/>
    <w:rsid w:val="00A34F9C"/>
    <w:rsid w:val="00A36D95"/>
    <w:rsid w:val="00A37ED9"/>
    <w:rsid w:val="00A41C36"/>
    <w:rsid w:val="00A42015"/>
    <w:rsid w:val="00A42823"/>
    <w:rsid w:val="00A4436C"/>
    <w:rsid w:val="00A44E26"/>
    <w:rsid w:val="00A45384"/>
    <w:rsid w:val="00A45F8B"/>
    <w:rsid w:val="00A5068C"/>
    <w:rsid w:val="00A50EA2"/>
    <w:rsid w:val="00A535E8"/>
    <w:rsid w:val="00A543F7"/>
    <w:rsid w:val="00A564A4"/>
    <w:rsid w:val="00A56832"/>
    <w:rsid w:val="00A57377"/>
    <w:rsid w:val="00A57724"/>
    <w:rsid w:val="00A60F8C"/>
    <w:rsid w:val="00A6559F"/>
    <w:rsid w:val="00A67D5D"/>
    <w:rsid w:val="00A67EE0"/>
    <w:rsid w:val="00A70159"/>
    <w:rsid w:val="00A7049B"/>
    <w:rsid w:val="00A716B0"/>
    <w:rsid w:val="00A728A7"/>
    <w:rsid w:val="00A74246"/>
    <w:rsid w:val="00A7486E"/>
    <w:rsid w:val="00A74DC6"/>
    <w:rsid w:val="00A7523A"/>
    <w:rsid w:val="00A75FFB"/>
    <w:rsid w:val="00A77001"/>
    <w:rsid w:val="00A77578"/>
    <w:rsid w:val="00A77E38"/>
    <w:rsid w:val="00A81ACC"/>
    <w:rsid w:val="00A81C5D"/>
    <w:rsid w:val="00A81C64"/>
    <w:rsid w:val="00A826F0"/>
    <w:rsid w:val="00A82B37"/>
    <w:rsid w:val="00A85320"/>
    <w:rsid w:val="00A85AC6"/>
    <w:rsid w:val="00A87A0F"/>
    <w:rsid w:val="00A87D60"/>
    <w:rsid w:val="00A9021B"/>
    <w:rsid w:val="00A90C36"/>
    <w:rsid w:val="00A94BA2"/>
    <w:rsid w:val="00A95EE1"/>
    <w:rsid w:val="00A97BB6"/>
    <w:rsid w:val="00A97F14"/>
    <w:rsid w:val="00AA0237"/>
    <w:rsid w:val="00AA03FC"/>
    <w:rsid w:val="00AA089B"/>
    <w:rsid w:val="00AA1625"/>
    <w:rsid w:val="00AA235E"/>
    <w:rsid w:val="00AA24EF"/>
    <w:rsid w:val="00AA31B7"/>
    <w:rsid w:val="00AA3C26"/>
    <w:rsid w:val="00AA5A5A"/>
    <w:rsid w:val="00AA5C19"/>
    <w:rsid w:val="00AA5C41"/>
    <w:rsid w:val="00AA6EB6"/>
    <w:rsid w:val="00AA70F5"/>
    <w:rsid w:val="00AA7FDD"/>
    <w:rsid w:val="00AB024B"/>
    <w:rsid w:val="00AB1D71"/>
    <w:rsid w:val="00AB2DFF"/>
    <w:rsid w:val="00AB2F40"/>
    <w:rsid w:val="00AB2F6D"/>
    <w:rsid w:val="00AB407C"/>
    <w:rsid w:val="00AB4222"/>
    <w:rsid w:val="00AB4ED2"/>
    <w:rsid w:val="00AB6FE6"/>
    <w:rsid w:val="00AC2701"/>
    <w:rsid w:val="00AC2A84"/>
    <w:rsid w:val="00AC3423"/>
    <w:rsid w:val="00AC3897"/>
    <w:rsid w:val="00AC3F0E"/>
    <w:rsid w:val="00AC5F84"/>
    <w:rsid w:val="00AC7B94"/>
    <w:rsid w:val="00AD10E6"/>
    <w:rsid w:val="00AD34A8"/>
    <w:rsid w:val="00AD35F4"/>
    <w:rsid w:val="00AD373F"/>
    <w:rsid w:val="00AD4B18"/>
    <w:rsid w:val="00AD4C6D"/>
    <w:rsid w:val="00AD53C9"/>
    <w:rsid w:val="00AD6028"/>
    <w:rsid w:val="00AD641F"/>
    <w:rsid w:val="00AD7016"/>
    <w:rsid w:val="00AD7964"/>
    <w:rsid w:val="00AD7C1F"/>
    <w:rsid w:val="00AE083F"/>
    <w:rsid w:val="00AE18C3"/>
    <w:rsid w:val="00AE1C64"/>
    <w:rsid w:val="00AE2616"/>
    <w:rsid w:val="00AE3998"/>
    <w:rsid w:val="00AE4829"/>
    <w:rsid w:val="00AE4A06"/>
    <w:rsid w:val="00AE56AC"/>
    <w:rsid w:val="00AE578A"/>
    <w:rsid w:val="00AE5A26"/>
    <w:rsid w:val="00AF00C4"/>
    <w:rsid w:val="00AF07E0"/>
    <w:rsid w:val="00AF2A6D"/>
    <w:rsid w:val="00AF4D14"/>
    <w:rsid w:val="00AF5536"/>
    <w:rsid w:val="00AF6592"/>
    <w:rsid w:val="00AF6C9F"/>
    <w:rsid w:val="00AF796F"/>
    <w:rsid w:val="00B01E6D"/>
    <w:rsid w:val="00B02975"/>
    <w:rsid w:val="00B03860"/>
    <w:rsid w:val="00B03E6C"/>
    <w:rsid w:val="00B046C5"/>
    <w:rsid w:val="00B04717"/>
    <w:rsid w:val="00B047E4"/>
    <w:rsid w:val="00B04FA4"/>
    <w:rsid w:val="00B05324"/>
    <w:rsid w:val="00B05BBE"/>
    <w:rsid w:val="00B05D15"/>
    <w:rsid w:val="00B0761F"/>
    <w:rsid w:val="00B13240"/>
    <w:rsid w:val="00B13874"/>
    <w:rsid w:val="00B1494C"/>
    <w:rsid w:val="00B14B3D"/>
    <w:rsid w:val="00B15D94"/>
    <w:rsid w:val="00B1668C"/>
    <w:rsid w:val="00B1708B"/>
    <w:rsid w:val="00B172F1"/>
    <w:rsid w:val="00B17A28"/>
    <w:rsid w:val="00B20E81"/>
    <w:rsid w:val="00B22740"/>
    <w:rsid w:val="00B22B82"/>
    <w:rsid w:val="00B246B5"/>
    <w:rsid w:val="00B2500C"/>
    <w:rsid w:val="00B25B3B"/>
    <w:rsid w:val="00B25E55"/>
    <w:rsid w:val="00B27013"/>
    <w:rsid w:val="00B30E2E"/>
    <w:rsid w:val="00B311C9"/>
    <w:rsid w:val="00B31C87"/>
    <w:rsid w:val="00B3234C"/>
    <w:rsid w:val="00B327B2"/>
    <w:rsid w:val="00B3447A"/>
    <w:rsid w:val="00B3632F"/>
    <w:rsid w:val="00B364DA"/>
    <w:rsid w:val="00B36667"/>
    <w:rsid w:val="00B37076"/>
    <w:rsid w:val="00B37307"/>
    <w:rsid w:val="00B4014E"/>
    <w:rsid w:val="00B41F5C"/>
    <w:rsid w:val="00B4222A"/>
    <w:rsid w:val="00B4228E"/>
    <w:rsid w:val="00B42C23"/>
    <w:rsid w:val="00B42EC8"/>
    <w:rsid w:val="00B430A3"/>
    <w:rsid w:val="00B4329C"/>
    <w:rsid w:val="00B4356B"/>
    <w:rsid w:val="00B45F30"/>
    <w:rsid w:val="00B47E08"/>
    <w:rsid w:val="00B5017D"/>
    <w:rsid w:val="00B50D32"/>
    <w:rsid w:val="00B52008"/>
    <w:rsid w:val="00B53DAE"/>
    <w:rsid w:val="00B548CC"/>
    <w:rsid w:val="00B55697"/>
    <w:rsid w:val="00B56354"/>
    <w:rsid w:val="00B564FF"/>
    <w:rsid w:val="00B57934"/>
    <w:rsid w:val="00B57A54"/>
    <w:rsid w:val="00B57AA9"/>
    <w:rsid w:val="00B57DBF"/>
    <w:rsid w:val="00B6228F"/>
    <w:rsid w:val="00B62393"/>
    <w:rsid w:val="00B62455"/>
    <w:rsid w:val="00B624EE"/>
    <w:rsid w:val="00B63005"/>
    <w:rsid w:val="00B6532A"/>
    <w:rsid w:val="00B659DA"/>
    <w:rsid w:val="00B65BE8"/>
    <w:rsid w:val="00B67FAB"/>
    <w:rsid w:val="00B70422"/>
    <w:rsid w:val="00B7094E"/>
    <w:rsid w:val="00B70F3F"/>
    <w:rsid w:val="00B71C78"/>
    <w:rsid w:val="00B71F54"/>
    <w:rsid w:val="00B72246"/>
    <w:rsid w:val="00B72D50"/>
    <w:rsid w:val="00B73D0E"/>
    <w:rsid w:val="00B73FD0"/>
    <w:rsid w:val="00B7403C"/>
    <w:rsid w:val="00B74C8F"/>
    <w:rsid w:val="00B75404"/>
    <w:rsid w:val="00B76386"/>
    <w:rsid w:val="00B76798"/>
    <w:rsid w:val="00B771A3"/>
    <w:rsid w:val="00B77516"/>
    <w:rsid w:val="00B80A0C"/>
    <w:rsid w:val="00B8262E"/>
    <w:rsid w:val="00B83900"/>
    <w:rsid w:val="00B83FF3"/>
    <w:rsid w:val="00B84936"/>
    <w:rsid w:val="00B84DE5"/>
    <w:rsid w:val="00B861C2"/>
    <w:rsid w:val="00B8648D"/>
    <w:rsid w:val="00B86A05"/>
    <w:rsid w:val="00B905F5"/>
    <w:rsid w:val="00B9289F"/>
    <w:rsid w:val="00B93758"/>
    <w:rsid w:val="00B93A1E"/>
    <w:rsid w:val="00B93F51"/>
    <w:rsid w:val="00B94149"/>
    <w:rsid w:val="00B94AC4"/>
    <w:rsid w:val="00B979C4"/>
    <w:rsid w:val="00B97E92"/>
    <w:rsid w:val="00BA037B"/>
    <w:rsid w:val="00BA06EF"/>
    <w:rsid w:val="00BA09CD"/>
    <w:rsid w:val="00BA131B"/>
    <w:rsid w:val="00BA2111"/>
    <w:rsid w:val="00BA232A"/>
    <w:rsid w:val="00BA4763"/>
    <w:rsid w:val="00BA4F8F"/>
    <w:rsid w:val="00BA59FE"/>
    <w:rsid w:val="00BA6086"/>
    <w:rsid w:val="00BA68A4"/>
    <w:rsid w:val="00BA6D6B"/>
    <w:rsid w:val="00BA7172"/>
    <w:rsid w:val="00BB0A99"/>
    <w:rsid w:val="00BB11A0"/>
    <w:rsid w:val="00BB42C1"/>
    <w:rsid w:val="00BB5BAE"/>
    <w:rsid w:val="00BB5FA4"/>
    <w:rsid w:val="00BB671F"/>
    <w:rsid w:val="00BC34A2"/>
    <w:rsid w:val="00BC3772"/>
    <w:rsid w:val="00BC3F1C"/>
    <w:rsid w:val="00BC67F0"/>
    <w:rsid w:val="00BC70EF"/>
    <w:rsid w:val="00BC7241"/>
    <w:rsid w:val="00BC7985"/>
    <w:rsid w:val="00BD0A12"/>
    <w:rsid w:val="00BD0BAD"/>
    <w:rsid w:val="00BD3117"/>
    <w:rsid w:val="00BD4D1D"/>
    <w:rsid w:val="00BD552F"/>
    <w:rsid w:val="00BD5569"/>
    <w:rsid w:val="00BD732E"/>
    <w:rsid w:val="00BD7368"/>
    <w:rsid w:val="00BD7A68"/>
    <w:rsid w:val="00BD7DB9"/>
    <w:rsid w:val="00BD7EAB"/>
    <w:rsid w:val="00BE01D5"/>
    <w:rsid w:val="00BE1CAF"/>
    <w:rsid w:val="00BE240B"/>
    <w:rsid w:val="00BE2B2E"/>
    <w:rsid w:val="00BE39D9"/>
    <w:rsid w:val="00BE3D8B"/>
    <w:rsid w:val="00BE483E"/>
    <w:rsid w:val="00BE4A77"/>
    <w:rsid w:val="00BE5274"/>
    <w:rsid w:val="00BE62E9"/>
    <w:rsid w:val="00BE753D"/>
    <w:rsid w:val="00BE754A"/>
    <w:rsid w:val="00BF0973"/>
    <w:rsid w:val="00BF0EDD"/>
    <w:rsid w:val="00BF32BD"/>
    <w:rsid w:val="00BF4157"/>
    <w:rsid w:val="00BF4234"/>
    <w:rsid w:val="00BF601E"/>
    <w:rsid w:val="00BF6151"/>
    <w:rsid w:val="00BF69EA"/>
    <w:rsid w:val="00BF792D"/>
    <w:rsid w:val="00C0309B"/>
    <w:rsid w:val="00C040A8"/>
    <w:rsid w:val="00C053E4"/>
    <w:rsid w:val="00C06C13"/>
    <w:rsid w:val="00C06E7B"/>
    <w:rsid w:val="00C126FA"/>
    <w:rsid w:val="00C13146"/>
    <w:rsid w:val="00C13447"/>
    <w:rsid w:val="00C1431F"/>
    <w:rsid w:val="00C1451D"/>
    <w:rsid w:val="00C159D3"/>
    <w:rsid w:val="00C15A41"/>
    <w:rsid w:val="00C15EFA"/>
    <w:rsid w:val="00C162D5"/>
    <w:rsid w:val="00C164B4"/>
    <w:rsid w:val="00C16C3A"/>
    <w:rsid w:val="00C171E0"/>
    <w:rsid w:val="00C2019B"/>
    <w:rsid w:val="00C20348"/>
    <w:rsid w:val="00C213FB"/>
    <w:rsid w:val="00C22193"/>
    <w:rsid w:val="00C23933"/>
    <w:rsid w:val="00C24F46"/>
    <w:rsid w:val="00C25463"/>
    <w:rsid w:val="00C27010"/>
    <w:rsid w:val="00C30D3B"/>
    <w:rsid w:val="00C32625"/>
    <w:rsid w:val="00C33055"/>
    <w:rsid w:val="00C35116"/>
    <w:rsid w:val="00C3534B"/>
    <w:rsid w:val="00C3537D"/>
    <w:rsid w:val="00C37764"/>
    <w:rsid w:val="00C4086C"/>
    <w:rsid w:val="00C408A8"/>
    <w:rsid w:val="00C4101C"/>
    <w:rsid w:val="00C41F2E"/>
    <w:rsid w:val="00C42E05"/>
    <w:rsid w:val="00C4417B"/>
    <w:rsid w:val="00C450CC"/>
    <w:rsid w:val="00C4525B"/>
    <w:rsid w:val="00C4597C"/>
    <w:rsid w:val="00C50500"/>
    <w:rsid w:val="00C51A61"/>
    <w:rsid w:val="00C525E1"/>
    <w:rsid w:val="00C52888"/>
    <w:rsid w:val="00C52D30"/>
    <w:rsid w:val="00C5568C"/>
    <w:rsid w:val="00C60809"/>
    <w:rsid w:val="00C610AA"/>
    <w:rsid w:val="00C6187A"/>
    <w:rsid w:val="00C618C1"/>
    <w:rsid w:val="00C61C0B"/>
    <w:rsid w:val="00C61DAB"/>
    <w:rsid w:val="00C62342"/>
    <w:rsid w:val="00C631EB"/>
    <w:rsid w:val="00C63A1D"/>
    <w:rsid w:val="00C64456"/>
    <w:rsid w:val="00C6449E"/>
    <w:rsid w:val="00C649AB"/>
    <w:rsid w:val="00C6521B"/>
    <w:rsid w:val="00C6619C"/>
    <w:rsid w:val="00C6642A"/>
    <w:rsid w:val="00C664F9"/>
    <w:rsid w:val="00C66764"/>
    <w:rsid w:val="00C667AD"/>
    <w:rsid w:val="00C7042A"/>
    <w:rsid w:val="00C70ACE"/>
    <w:rsid w:val="00C7314C"/>
    <w:rsid w:val="00C73AF3"/>
    <w:rsid w:val="00C75754"/>
    <w:rsid w:val="00C75D52"/>
    <w:rsid w:val="00C75F05"/>
    <w:rsid w:val="00C76082"/>
    <w:rsid w:val="00C77605"/>
    <w:rsid w:val="00C805A1"/>
    <w:rsid w:val="00C80829"/>
    <w:rsid w:val="00C81CF4"/>
    <w:rsid w:val="00C83E83"/>
    <w:rsid w:val="00C84C14"/>
    <w:rsid w:val="00C84CD1"/>
    <w:rsid w:val="00C870FC"/>
    <w:rsid w:val="00C900AF"/>
    <w:rsid w:val="00C9018F"/>
    <w:rsid w:val="00C903BB"/>
    <w:rsid w:val="00C905E8"/>
    <w:rsid w:val="00C90774"/>
    <w:rsid w:val="00C911D5"/>
    <w:rsid w:val="00C91AA2"/>
    <w:rsid w:val="00C92CA1"/>
    <w:rsid w:val="00C93356"/>
    <w:rsid w:val="00C95EA6"/>
    <w:rsid w:val="00C9624D"/>
    <w:rsid w:val="00C975B9"/>
    <w:rsid w:val="00C97FB7"/>
    <w:rsid w:val="00CA0175"/>
    <w:rsid w:val="00CA07E1"/>
    <w:rsid w:val="00CA0FF2"/>
    <w:rsid w:val="00CA10B6"/>
    <w:rsid w:val="00CA1A75"/>
    <w:rsid w:val="00CA1B32"/>
    <w:rsid w:val="00CA1F8F"/>
    <w:rsid w:val="00CA48D3"/>
    <w:rsid w:val="00CA4B71"/>
    <w:rsid w:val="00CA6197"/>
    <w:rsid w:val="00CA7474"/>
    <w:rsid w:val="00CA7F03"/>
    <w:rsid w:val="00CB0443"/>
    <w:rsid w:val="00CB049E"/>
    <w:rsid w:val="00CB0666"/>
    <w:rsid w:val="00CB2C6A"/>
    <w:rsid w:val="00CB2FFD"/>
    <w:rsid w:val="00CB35B4"/>
    <w:rsid w:val="00CB35EF"/>
    <w:rsid w:val="00CB3898"/>
    <w:rsid w:val="00CB3CD5"/>
    <w:rsid w:val="00CB460A"/>
    <w:rsid w:val="00CB5861"/>
    <w:rsid w:val="00CC145B"/>
    <w:rsid w:val="00CC1C65"/>
    <w:rsid w:val="00CC25CA"/>
    <w:rsid w:val="00CC3B30"/>
    <w:rsid w:val="00CC3D5B"/>
    <w:rsid w:val="00CC5228"/>
    <w:rsid w:val="00CC53E1"/>
    <w:rsid w:val="00CC578D"/>
    <w:rsid w:val="00CC5D68"/>
    <w:rsid w:val="00CC610F"/>
    <w:rsid w:val="00CC7FF2"/>
    <w:rsid w:val="00CD027F"/>
    <w:rsid w:val="00CD1394"/>
    <w:rsid w:val="00CD14C3"/>
    <w:rsid w:val="00CD1AA9"/>
    <w:rsid w:val="00CD2DED"/>
    <w:rsid w:val="00CD32B0"/>
    <w:rsid w:val="00CD477A"/>
    <w:rsid w:val="00CD52C8"/>
    <w:rsid w:val="00CD56A0"/>
    <w:rsid w:val="00CD585D"/>
    <w:rsid w:val="00CD5C59"/>
    <w:rsid w:val="00CD606D"/>
    <w:rsid w:val="00CD6F6A"/>
    <w:rsid w:val="00CD764D"/>
    <w:rsid w:val="00CE1A3E"/>
    <w:rsid w:val="00CE36D7"/>
    <w:rsid w:val="00CE5DEA"/>
    <w:rsid w:val="00CE774C"/>
    <w:rsid w:val="00CE7C2D"/>
    <w:rsid w:val="00CF0867"/>
    <w:rsid w:val="00CF0969"/>
    <w:rsid w:val="00CF3964"/>
    <w:rsid w:val="00CF4BEF"/>
    <w:rsid w:val="00CF53B5"/>
    <w:rsid w:val="00CF5CD6"/>
    <w:rsid w:val="00CF68B0"/>
    <w:rsid w:val="00CF7FD1"/>
    <w:rsid w:val="00D00AD6"/>
    <w:rsid w:val="00D0149C"/>
    <w:rsid w:val="00D02404"/>
    <w:rsid w:val="00D0301B"/>
    <w:rsid w:val="00D05AFC"/>
    <w:rsid w:val="00D07638"/>
    <w:rsid w:val="00D10463"/>
    <w:rsid w:val="00D11757"/>
    <w:rsid w:val="00D13BAA"/>
    <w:rsid w:val="00D15EE1"/>
    <w:rsid w:val="00D1708E"/>
    <w:rsid w:val="00D17BCD"/>
    <w:rsid w:val="00D20B22"/>
    <w:rsid w:val="00D212BA"/>
    <w:rsid w:val="00D217C3"/>
    <w:rsid w:val="00D222B8"/>
    <w:rsid w:val="00D222C9"/>
    <w:rsid w:val="00D23807"/>
    <w:rsid w:val="00D25499"/>
    <w:rsid w:val="00D27566"/>
    <w:rsid w:val="00D27ADF"/>
    <w:rsid w:val="00D30622"/>
    <w:rsid w:val="00D31A12"/>
    <w:rsid w:val="00D357A3"/>
    <w:rsid w:val="00D36670"/>
    <w:rsid w:val="00D40228"/>
    <w:rsid w:val="00D410F9"/>
    <w:rsid w:val="00D4235F"/>
    <w:rsid w:val="00D42BB8"/>
    <w:rsid w:val="00D42BE2"/>
    <w:rsid w:val="00D42EC6"/>
    <w:rsid w:val="00D441CC"/>
    <w:rsid w:val="00D44E23"/>
    <w:rsid w:val="00D45D1F"/>
    <w:rsid w:val="00D46265"/>
    <w:rsid w:val="00D520AC"/>
    <w:rsid w:val="00D527DD"/>
    <w:rsid w:val="00D53A3D"/>
    <w:rsid w:val="00D55E27"/>
    <w:rsid w:val="00D56019"/>
    <w:rsid w:val="00D56612"/>
    <w:rsid w:val="00D57C3B"/>
    <w:rsid w:val="00D63963"/>
    <w:rsid w:val="00D63B87"/>
    <w:rsid w:val="00D63C68"/>
    <w:rsid w:val="00D63D24"/>
    <w:rsid w:val="00D65722"/>
    <w:rsid w:val="00D7041D"/>
    <w:rsid w:val="00D719B2"/>
    <w:rsid w:val="00D71B0A"/>
    <w:rsid w:val="00D733B7"/>
    <w:rsid w:val="00D75288"/>
    <w:rsid w:val="00D8090B"/>
    <w:rsid w:val="00D81B88"/>
    <w:rsid w:val="00D8354D"/>
    <w:rsid w:val="00D83877"/>
    <w:rsid w:val="00D83CBA"/>
    <w:rsid w:val="00D84F61"/>
    <w:rsid w:val="00D866C4"/>
    <w:rsid w:val="00D91A0C"/>
    <w:rsid w:val="00D91B34"/>
    <w:rsid w:val="00D92AF7"/>
    <w:rsid w:val="00D92FDA"/>
    <w:rsid w:val="00D9309B"/>
    <w:rsid w:val="00D93E00"/>
    <w:rsid w:val="00D94824"/>
    <w:rsid w:val="00D9505D"/>
    <w:rsid w:val="00D954E8"/>
    <w:rsid w:val="00D95502"/>
    <w:rsid w:val="00DA05FB"/>
    <w:rsid w:val="00DA067D"/>
    <w:rsid w:val="00DA12E6"/>
    <w:rsid w:val="00DA13DF"/>
    <w:rsid w:val="00DA3259"/>
    <w:rsid w:val="00DA4E0E"/>
    <w:rsid w:val="00DA5573"/>
    <w:rsid w:val="00DA69F3"/>
    <w:rsid w:val="00DA745D"/>
    <w:rsid w:val="00DA7CAB"/>
    <w:rsid w:val="00DB0A95"/>
    <w:rsid w:val="00DB0F5C"/>
    <w:rsid w:val="00DB21A1"/>
    <w:rsid w:val="00DB23F8"/>
    <w:rsid w:val="00DB297A"/>
    <w:rsid w:val="00DB5BF2"/>
    <w:rsid w:val="00DB6E17"/>
    <w:rsid w:val="00DB7C35"/>
    <w:rsid w:val="00DC0885"/>
    <w:rsid w:val="00DC0C7C"/>
    <w:rsid w:val="00DC23FE"/>
    <w:rsid w:val="00DC2AF8"/>
    <w:rsid w:val="00DC5E02"/>
    <w:rsid w:val="00DC70DA"/>
    <w:rsid w:val="00DD189F"/>
    <w:rsid w:val="00DD25FE"/>
    <w:rsid w:val="00DD3148"/>
    <w:rsid w:val="00DD3FC7"/>
    <w:rsid w:val="00DD42AB"/>
    <w:rsid w:val="00DD4997"/>
    <w:rsid w:val="00DD4B4A"/>
    <w:rsid w:val="00DD4C84"/>
    <w:rsid w:val="00DD4E74"/>
    <w:rsid w:val="00DE096C"/>
    <w:rsid w:val="00DE0B80"/>
    <w:rsid w:val="00DE1076"/>
    <w:rsid w:val="00DE161B"/>
    <w:rsid w:val="00DE2070"/>
    <w:rsid w:val="00DE3AC9"/>
    <w:rsid w:val="00DE407E"/>
    <w:rsid w:val="00DE5D96"/>
    <w:rsid w:val="00DE660C"/>
    <w:rsid w:val="00DE69A0"/>
    <w:rsid w:val="00DE70B0"/>
    <w:rsid w:val="00DE7A55"/>
    <w:rsid w:val="00DE7AAD"/>
    <w:rsid w:val="00DE7BB3"/>
    <w:rsid w:val="00DF0429"/>
    <w:rsid w:val="00DF0CA6"/>
    <w:rsid w:val="00DF1F02"/>
    <w:rsid w:val="00DF208D"/>
    <w:rsid w:val="00DF3078"/>
    <w:rsid w:val="00DF62FD"/>
    <w:rsid w:val="00DF6CE3"/>
    <w:rsid w:val="00DF7BA0"/>
    <w:rsid w:val="00DF7D9E"/>
    <w:rsid w:val="00DF7F7E"/>
    <w:rsid w:val="00E001BF"/>
    <w:rsid w:val="00E00E22"/>
    <w:rsid w:val="00E04F89"/>
    <w:rsid w:val="00E051C8"/>
    <w:rsid w:val="00E05BE2"/>
    <w:rsid w:val="00E0687E"/>
    <w:rsid w:val="00E06AC6"/>
    <w:rsid w:val="00E06D21"/>
    <w:rsid w:val="00E06F71"/>
    <w:rsid w:val="00E073AE"/>
    <w:rsid w:val="00E0742D"/>
    <w:rsid w:val="00E076D3"/>
    <w:rsid w:val="00E106CB"/>
    <w:rsid w:val="00E10DEA"/>
    <w:rsid w:val="00E1174A"/>
    <w:rsid w:val="00E1222E"/>
    <w:rsid w:val="00E131CC"/>
    <w:rsid w:val="00E14534"/>
    <w:rsid w:val="00E15958"/>
    <w:rsid w:val="00E15DE5"/>
    <w:rsid w:val="00E15E35"/>
    <w:rsid w:val="00E16E6F"/>
    <w:rsid w:val="00E16F46"/>
    <w:rsid w:val="00E17043"/>
    <w:rsid w:val="00E17349"/>
    <w:rsid w:val="00E20043"/>
    <w:rsid w:val="00E2053B"/>
    <w:rsid w:val="00E20B36"/>
    <w:rsid w:val="00E20EC2"/>
    <w:rsid w:val="00E21032"/>
    <w:rsid w:val="00E2154F"/>
    <w:rsid w:val="00E22FCB"/>
    <w:rsid w:val="00E2305E"/>
    <w:rsid w:val="00E2324A"/>
    <w:rsid w:val="00E23A3A"/>
    <w:rsid w:val="00E247FC"/>
    <w:rsid w:val="00E24DD7"/>
    <w:rsid w:val="00E269D6"/>
    <w:rsid w:val="00E27125"/>
    <w:rsid w:val="00E3019B"/>
    <w:rsid w:val="00E315D7"/>
    <w:rsid w:val="00E317BE"/>
    <w:rsid w:val="00E31E0A"/>
    <w:rsid w:val="00E3299A"/>
    <w:rsid w:val="00E33023"/>
    <w:rsid w:val="00E3314D"/>
    <w:rsid w:val="00E346ED"/>
    <w:rsid w:val="00E35068"/>
    <w:rsid w:val="00E35E3F"/>
    <w:rsid w:val="00E35FB3"/>
    <w:rsid w:val="00E361CF"/>
    <w:rsid w:val="00E37366"/>
    <w:rsid w:val="00E3789B"/>
    <w:rsid w:val="00E37E23"/>
    <w:rsid w:val="00E409A2"/>
    <w:rsid w:val="00E419FD"/>
    <w:rsid w:val="00E41E54"/>
    <w:rsid w:val="00E42F29"/>
    <w:rsid w:val="00E4320B"/>
    <w:rsid w:val="00E4385A"/>
    <w:rsid w:val="00E44453"/>
    <w:rsid w:val="00E4481F"/>
    <w:rsid w:val="00E44DB2"/>
    <w:rsid w:val="00E45235"/>
    <w:rsid w:val="00E45489"/>
    <w:rsid w:val="00E45868"/>
    <w:rsid w:val="00E45F47"/>
    <w:rsid w:val="00E50DF8"/>
    <w:rsid w:val="00E51606"/>
    <w:rsid w:val="00E5186D"/>
    <w:rsid w:val="00E51FEC"/>
    <w:rsid w:val="00E54795"/>
    <w:rsid w:val="00E54E45"/>
    <w:rsid w:val="00E568B5"/>
    <w:rsid w:val="00E57E0A"/>
    <w:rsid w:val="00E57F56"/>
    <w:rsid w:val="00E62746"/>
    <w:rsid w:val="00E63B98"/>
    <w:rsid w:val="00E66E22"/>
    <w:rsid w:val="00E70139"/>
    <w:rsid w:val="00E70284"/>
    <w:rsid w:val="00E7115B"/>
    <w:rsid w:val="00E71F84"/>
    <w:rsid w:val="00E722CB"/>
    <w:rsid w:val="00E724A6"/>
    <w:rsid w:val="00E72961"/>
    <w:rsid w:val="00E731C5"/>
    <w:rsid w:val="00E7478E"/>
    <w:rsid w:val="00E76656"/>
    <w:rsid w:val="00E7682F"/>
    <w:rsid w:val="00E77A49"/>
    <w:rsid w:val="00E77A75"/>
    <w:rsid w:val="00E77E2B"/>
    <w:rsid w:val="00E8067D"/>
    <w:rsid w:val="00E81F3D"/>
    <w:rsid w:val="00E8225A"/>
    <w:rsid w:val="00E834D8"/>
    <w:rsid w:val="00E8386B"/>
    <w:rsid w:val="00E84471"/>
    <w:rsid w:val="00E84AD8"/>
    <w:rsid w:val="00E85461"/>
    <w:rsid w:val="00E86AE4"/>
    <w:rsid w:val="00E873F4"/>
    <w:rsid w:val="00E92F05"/>
    <w:rsid w:val="00E931E9"/>
    <w:rsid w:val="00E945B7"/>
    <w:rsid w:val="00E971FA"/>
    <w:rsid w:val="00E9725D"/>
    <w:rsid w:val="00EA117C"/>
    <w:rsid w:val="00EA22BD"/>
    <w:rsid w:val="00EA28A7"/>
    <w:rsid w:val="00EA39BC"/>
    <w:rsid w:val="00EA4007"/>
    <w:rsid w:val="00EA4C2B"/>
    <w:rsid w:val="00EA4ED5"/>
    <w:rsid w:val="00EA51BA"/>
    <w:rsid w:val="00EA61E5"/>
    <w:rsid w:val="00EB02F9"/>
    <w:rsid w:val="00EB1195"/>
    <w:rsid w:val="00EB1B23"/>
    <w:rsid w:val="00EB2B78"/>
    <w:rsid w:val="00EB386B"/>
    <w:rsid w:val="00EB42C3"/>
    <w:rsid w:val="00EB4A66"/>
    <w:rsid w:val="00EB4EC4"/>
    <w:rsid w:val="00EB5942"/>
    <w:rsid w:val="00EC1566"/>
    <w:rsid w:val="00EC1E78"/>
    <w:rsid w:val="00EC2208"/>
    <w:rsid w:val="00EC4F33"/>
    <w:rsid w:val="00EC56A0"/>
    <w:rsid w:val="00EC5E42"/>
    <w:rsid w:val="00EC62D9"/>
    <w:rsid w:val="00EC6831"/>
    <w:rsid w:val="00EC6F9F"/>
    <w:rsid w:val="00EC7023"/>
    <w:rsid w:val="00EC735D"/>
    <w:rsid w:val="00EC7CE2"/>
    <w:rsid w:val="00ED0A7F"/>
    <w:rsid w:val="00ED148D"/>
    <w:rsid w:val="00ED1E00"/>
    <w:rsid w:val="00ED2708"/>
    <w:rsid w:val="00ED31DF"/>
    <w:rsid w:val="00ED3C65"/>
    <w:rsid w:val="00ED467C"/>
    <w:rsid w:val="00ED5F79"/>
    <w:rsid w:val="00ED7850"/>
    <w:rsid w:val="00EE089A"/>
    <w:rsid w:val="00EE094D"/>
    <w:rsid w:val="00EE0C8D"/>
    <w:rsid w:val="00EE0CCA"/>
    <w:rsid w:val="00EE0CDD"/>
    <w:rsid w:val="00EE0FFC"/>
    <w:rsid w:val="00EE1324"/>
    <w:rsid w:val="00EE23F5"/>
    <w:rsid w:val="00EE2554"/>
    <w:rsid w:val="00EE3DD7"/>
    <w:rsid w:val="00EE4291"/>
    <w:rsid w:val="00EE48FC"/>
    <w:rsid w:val="00EE49DE"/>
    <w:rsid w:val="00EE5840"/>
    <w:rsid w:val="00EE63D1"/>
    <w:rsid w:val="00EE657A"/>
    <w:rsid w:val="00EE72CD"/>
    <w:rsid w:val="00EF11DC"/>
    <w:rsid w:val="00EF3CCA"/>
    <w:rsid w:val="00EF5419"/>
    <w:rsid w:val="00EF668D"/>
    <w:rsid w:val="00F003F2"/>
    <w:rsid w:val="00F007A8"/>
    <w:rsid w:val="00F009BC"/>
    <w:rsid w:val="00F00B6C"/>
    <w:rsid w:val="00F015F3"/>
    <w:rsid w:val="00F021D3"/>
    <w:rsid w:val="00F0228C"/>
    <w:rsid w:val="00F0341C"/>
    <w:rsid w:val="00F03C5F"/>
    <w:rsid w:val="00F03C9C"/>
    <w:rsid w:val="00F0475D"/>
    <w:rsid w:val="00F051DB"/>
    <w:rsid w:val="00F06EB6"/>
    <w:rsid w:val="00F10EE8"/>
    <w:rsid w:val="00F112FB"/>
    <w:rsid w:val="00F129E5"/>
    <w:rsid w:val="00F12D00"/>
    <w:rsid w:val="00F13443"/>
    <w:rsid w:val="00F1346E"/>
    <w:rsid w:val="00F136C0"/>
    <w:rsid w:val="00F13833"/>
    <w:rsid w:val="00F141F4"/>
    <w:rsid w:val="00F150EB"/>
    <w:rsid w:val="00F167B4"/>
    <w:rsid w:val="00F17055"/>
    <w:rsid w:val="00F20ACE"/>
    <w:rsid w:val="00F20B1B"/>
    <w:rsid w:val="00F20D32"/>
    <w:rsid w:val="00F21297"/>
    <w:rsid w:val="00F23299"/>
    <w:rsid w:val="00F23B7F"/>
    <w:rsid w:val="00F24BB4"/>
    <w:rsid w:val="00F2504F"/>
    <w:rsid w:val="00F26E4C"/>
    <w:rsid w:val="00F2762D"/>
    <w:rsid w:val="00F30522"/>
    <w:rsid w:val="00F305C4"/>
    <w:rsid w:val="00F30C47"/>
    <w:rsid w:val="00F311B3"/>
    <w:rsid w:val="00F312EF"/>
    <w:rsid w:val="00F32A1B"/>
    <w:rsid w:val="00F33172"/>
    <w:rsid w:val="00F33D01"/>
    <w:rsid w:val="00F33D36"/>
    <w:rsid w:val="00F34AF5"/>
    <w:rsid w:val="00F35E80"/>
    <w:rsid w:val="00F369C7"/>
    <w:rsid w:val="00F36F92"/>
    <w:rsid w:val="00F4068E"/>
    <w:rsid w:val="00F42F75"/>
    <w:rsid w:val="00F447D5"/>
    <w:rsid w:val="00F45096"/>
    <w:rsid w:val="00F45572"/>
    <w:rsid w:val="00F4598E"/>
    <w:rsid w:val="00F45A2B"/>
    <w:rsid w:val="00F4656B"/>
    <w:rsid w:val="00F4721B"/>
    <w:rsid w:val="00F503E2"/>
    <w:rsid w:val="00F5050E"/>
    <w:rsid w:val="00F50D94"/>
    <w:rsid w:val="00F51802"/>
    <w:rsid w:val="00F51C8D"/>
    <w:rsid w:val="00F54749"/>
    <w:rsid w:val="00F55B8A"/>
    <w:rsid w:val="00F56A43"/>
    <w:rsid w:val="00F5736E"/>
    <w:rsid w:val="00F57E27"/>
    <w:rsid w:val="00F60273"/>
    <w:rsid w:val="00F6086D"/>
    <w:rsid w:val="00F60B30"/>
    <w:rsid w:val="00F611EF"/>
    <w:rsid w:val="00F6394B"/>
    <w:rsid w:val="00F64C10"/>
    <w:rsid w:val="00F6521D"/>
    <w:rsid w:val="00F65398"/>
    <w:rsid w:val="00F67C64"/>
    <w:rsid w:val="00F70697"/>
    <w:rsid w:val="00F71113"/>
    <w:rsid w:val="00F713E7"/>
    <w:rsid w:val="00F71C1A"/>
    <w:rsid w:val="00F722D7"/>
    <w:rsid w:val="00F725D2"/>
    <w:rsid w:val="00F73184"/>
    <w:rsid w:val="00F7400C"/>
    <w:rsid w:val="00F74295"/>
    <w:rsid w:val="00F7436B"/>
    <w:rsid w:val="00F749A8"/>
    <w:rsid w:val="00F7654E"/>
    <w:rsid w:val="00F77123"/>
    <w:rsid w:val="00F77FCA"/>
    <w:rsid w:val="00F82230"/>
    <w:rsid w:val="00F82E40"/>
    <w:rsid w:val="00F834D4"/>
    <w:rsid w:val="00F83F5E"/>
    <w:rsid w:val="00F84078"/>
    <w:rsid w:val="00F84320"/>
    <w:rsid w:val="00F8492E"/>
    <w:rsid w:val="00F84B83"/>
    <w:rsid w:val="00F864EA"/>
    <w:rsid w:val="00F86DC4"/>
    <w:rsid w:val="00F86F96"/>
    <w:rsid w:val="00F872A7"/>
    <w:rsid w:val="00F87705"/>
    <w:rsid w:val="00F91C84"/>
    <w:rsid w:val="00F9205A"/>
    <w:rsid w:val="00F9417B"/>
    <w:rsid w:val="00F9583B"/>
    <w:rsid w:val="00F966ED"/>
    <w:rsid w:val="00FA0551"/>
    <w:rsid w:val="00FA1880"/>
    <w:rsid w:val="00FA29CE"/>
    <w:rsid w:val="00FA3316"/>
    <w:rsid w:val="00FA343E"/>
    <w:rsid w:val="00FA3484"/>
    <w:rsid w:val="00FA3C2C"/>
    <w:rsid w:val="00FA4278"/>
    <w:rsid w:val="00FA4882"/>
    <w:rsid w:val="00FA72B0"/>
    <w:rsid w:val="00FB0C4B"/>
    <w:rsid w:val="00FB0D80"/>
    <w:rsid w:val="00FB20AE"/>
    <w:rsid w:val="00FB21FA"/>
    <w:rsid w:val="00FB2B07"/>
    <w:rsid w:val="00FB39D4"/>
    <w:rsid w:val="00FB3C7B"/>
    <w:rsid w:val="00FB4621"/>
    <w:rsid w:val="00FB502A"/>
    <w:rsid w:val="00FB50E1"/>
    <w:rsid w:val="00FB76B8"/>
    <w:rsid w:val="00FB7BB4"/>
    <w:rsid w:val="00FC02D6"/>
    <w:rsid w:val="00FC0BDF"/>
    <w:rsid w:val="00FC187B"/>
    <w:rsid w:val="00FC2582"/>
    <w:rsid w:val="00FC25F6"/>
    <w:rsid w:val="00FC2B12"/>
    <w:rsid w:val="00FC31AC"/>
    <w:rsid w:val="00FC34C7"/>
    <w:rsid w:val="00FC5349"/>
    <w:rsid w:val="00FC57E1"/>
    <w:rsid w:val="00FC6015"/>
    <w:rsid w:val="00FD161C"/>
    <w:rsid w:val="00FD1896"/>
    <w:rsid w:val="00FD4168"/>
    <w:rsid w:val="00FD4263"/>
    <w:rsid w:val="00FD46F1"/>
    <w:rsid w:val="00FD5600"/>
    <w:rsid w:val="00FD563C"/>
    <w:rsid w:val="00FD5FFE"/>
    <w:rsid w:val="00FD6D39"/>
    <w:rsid w:val="00FE0390"/>
    <w:rsid w:val="00FE1737"/>
    <w:rsid w:val="00FE2465"/>
    <w:rsid w:val="00FE2C44"/>
    <w:rsid w:val="00FE2F44"/>
    <w:rsid w:val="00FE30DB"/>
    <w:rsid w:val="00FE42C0"/>
    <w:rsid w:val="00FE4B16"/>
    <w:rsid w:val="00FE53DB"/>
    <w:rsid w:val="00FE5A90"/>
    <w:rsid w:val="00FE5AB0"/>
    <w:rsid w:val="00FE6ADB"/>
    <w:rsid w:val="00FE7A98"/>
    <w:rsid w:val="00FF1878"/>
    <w:rsid w:val="00FF1A21"/>
    <w:rsid w:val="00FF1C5E"/>
    <w:rsid w:val="00FF2E3F"/>
    <w:rsid w:val="00FF2F33"/>
    <w:rsid w:val="00FF3079"/>
    <w:rsid w:val="00FF338D"/>
    <w:rsid w:val="00FF46C9"/>
    <w:rsid w:val="00FF4953"/>
    <w:rsid w:val="00FF4E25"/>
    <w:rsid w:val="00FF57C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0A9CA"/>
  <w15:docId w15:val="{475FAC97-36FA-4573-B348-2E822DC0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1A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6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2F6D"/>
    <w:rPr>
      <w:color w:val="0000FF"/>
      <w:u w:val="single"/>
    </w:rPr>
  </w:style>
  <w:style w:type="paragraph" w:styleId="BalloonText">
    <w:name w:val="Balloon Text"/>
    <w:basedOn w:val="Normal"/>
    <w:semiHidden/>
    <w:rsid w:val="00E23A3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61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9161AE"/>
    <w:pPr>
      <w:spacing w:after="120"/>
    </w:pPr>
  </w:style>
  <w:style w:type="paragraph" w:styleId="Subtitle">
    <w:name w:val="Subtitle"/>
    <w:basedOn w:val="Normal"/>
    <w:qFormat/>
    <w:rsid w:val="009161A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yline">
    <w:name w:val="Byline"/>
    <w:basedOn w:val="BodyText"/>
    <w:rsid w:val="009161AE"/>
  </w:style>
  <w:style w:type="character" w:styleId="CommentReference">
    <w:name w:val="annotation reference"/>
    <w:rsid w:val="000B6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6C8E"/>
  </w:style>
  <w:style w:type="paragraph" w:styleId="CommentSubject">
    <w:name w:val="annotation subject"/>
    <w:basedOn w:val="CommentText"/>
    <w:next w:val="CommentText"/>
    <w:link w:val="CommentSubjectChar"/>
    <w:rsid w:val="000B6C8E"/>
    <w:rPr>
      <w:b/>
      <w:bCs/>
    </w:rPr>
  </w:style>
  <w:style w:type="character" w:customStyle="1" w:styleId="CommentSubjectChar">
    <w:name w:val="Comment Subject Char"/>
    <w:link w:val="CommentSubject"/>
    <w:rsid w:val="000B6C8E"/>
    <w:rPr>
      <w:b/>
      <w:bCs/>
    </w:rPr>
  </w:style>
  <w:style w:type="character" w:customStyle="1" w:styleId="ICBAbold">
    <w:name w:val="ICBA bold"/>
    <w:rsid w:val="008C048D"/>
    <w:rPr>
      <w:b/>
    </w:rPr>
  </w:style>
  <w:style w:type="character" w:customStyle="1" w:styleId="ICBAital">
    <w:name w:val="ICBA ital"/>
    <w:rsid w:val="008C048D"/>
    <w:rPr>
      <w:i/>
    </w:rPr>
  </w:style>
  <w:style w:type="character" w:customStyle="1" w:styleId="ICBAhyperlinks">
    <w:name w:val="ICBA hyperlinks"/>
    <w:rsid w:val="008C048D"/>
    <w:rPr>
      <w:b/>
      <w:i/>
    </w:rPr>
  </w:style>
  <w:style w:type="character" w:customStyle="1" w:styleId="icbabold0">
    <w:name w:val="icbabold"/>
    <w:rsid w:val="00675A4E"/>
    <w:rPr>
      <w:b/>
      <w:bCs/>
    </w:rPr>
  </w:style>
  <w:style w:type="character" w:customStyle="1" w:styleId="BodyTextChar">
    <w:name w:val="Body Text Char"/>
    <w:link w:val="BodyText"/>
    <w:rsid w:val="008C048D"/>
    <w:rPr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3140CE"/>
    <w:rPr>
      <w:sz w:val="24"/>
      <w:szCs w:val="24"/>
    </w:rPr>
  </w:style>
  <w:style w:type="paragraph" w:customStyle="1" w:styleId="LightList-Accent31">
    <w:name w:val="Light List - Accent 31"/>
    <w:hidden/>
    <w:uiPriority w:val="71"/>
    <w:rsid w:val="007773DD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C42E05"/>
    <w:rPr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7E45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2230"/>
    <w:pPr>
      <w:ind w:left="720"/>
      <w:contextualSpacing/>
    </w:pPr>
  </w:style>
  <w:style w:type="paragraph" w:styleId="Revision">
    <w:name w:val="Revision"/>
    <w:hidden/>
    <w:uiPriority w:val="99"/>
    <w:semiHidden/>
    <w:rsid w:val="00A42015"/>
    <w:rPr>
      <w:sz w:val="24"/>
      <w:szCs w:val="24"/>
    </w:rPr>
  </w:style>
  <w:style w:type="character" w:customStyle="1" w:styleId="emailaddress">
    <w:name w:val="emailaddress"/>
    <w:basedOn w:val="DefaultParagraphFont"/>
    <w:rsid w:val="004B5849"/>
  </w:style>
  <w:style w:type="character" w:styleId="FollowedHyperlink">
    <w:name w:val="FollowedHyperlink"/>
    <w:basedOn w:val="DefaultParagraphFont"/>
    <w:semiHidden/>
    <w:unhideWhenUsed/>
    <w:rsid w:val="001D46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eber@icbasecurit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9C14-438F-4B4A-B789-F6F14366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812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Beware Falling Rates:  Will Margin Compression Accompany Lower Rates</vt:lpstr>
    </vt:vector>
  </TitlesOfParts>
  <Company>Vining Sparks</Company>
  <LinksUpToDate>false</LinksUpToDate>
  <CharactersWithSpaces>5077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http://www.icbasecurities.com/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Beware Falling Rates:  Will Margin Compression Accompany Lower Rates</dc:title>
  <dc:creator>Reber, Jim - ICBA Securities</dc:creator>
  <cp:lastModifiedBy>Reber, Jim - ICBA Securities</cp:lastModifiedBy>
  <cp:revision>19</cp:revision>
  <cp:lastPrinted>2017-05-09T18:55:00Z</cp:lastPrinted>
  <dcterms:created xsi:type="dcterms:W3CDTF">2021-02-11T21:11:00Z</dcterms:created>
  <dcterms:modified xsi:type="dcterms:W3CDTF">2021-02-16T16:54:00Z</dcterms:modified>
</cp:coreProperties>
</file>