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8651" w14:textId="7B9FFF28" w:rsidR="0072065B" w:rsidRPr="0072065B" w:rsidRDefault="00BE1BF7" w:rsidP="00E47C78">
      <w:pPr>
        <w:pStyle w:val="NoSpacing"/>
        <w:tabs>
          <w:tab w:val="center" w:pos="4680"/>
        </w:tabs>
        <w:rPr>
          <w:rFonts w:ascii="Helvetica" w:hAnsi="Helvetica" w:cs="Helvetica"/>
          <w:sz w:val="20"/>
          <w:szCs w:val="20"/>
        </w:rPr>
      </w:pPr>
      <w:r>
        <w:rPr>
          <w:rFonts w:ascii="Helvetica" w:hAnsi="Helvetica" w:cs="Helvetica"/>
          <w:noProof/>
          <w:sz w:val="20"/>
          <w:szCs w:val="20"/>
        </w:rPr>
        <w:drawing>
          <wp:anchor distT="0" distB="0" distL="114300" distR="114300" simplePos="0" relativeHeight="251658240" behindDoc="1" locked="0" layoutInCell="1" allowOverlap="1" wp14:anchorId="7734C96A" wp14:editId="47BB133A">
            <wp:simplePos x="0" y="0"/>
            <wp:positionH relativeFrom="margin">
              <wp:align>right</wp:align>
            </wp:positionH>
            <wp:positionV relativeFrom="paragraph">
              <wp:posOffset>-238125</wp:posOffset>
            </wp:positionV>
            <wp:extent cx="2350008" cy="237744"/>
            <wp:effectExtent l="0" t="0" r="0" b="0"/>
            <wp:wrapNone/>
            <wp:docPr id="1837213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0008" cy="237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C78">
        <w:rPr>
          <w:rFonts w:ascii="Helvetica" w:hAnsi="Helvetica" w:cs="Helvetica"/>
          <w:sz w:val="20"/>
          <w:szCs w:val="20"/>
        </w:rPr>
        <w:tab/>
      </w:r>
    </w:p>
    <w:p w14:paraId="00064C20" w14:textId="235D4DCF" w:rsidR="00631CF6" w:rsidRDefault="00631CF6" w:rsidP="000A6FB5">
      <w:pPr>
        <w:pStyle w:val="NoSpacing"/>
        <w:rPr>
          <w:rFonts w:ascii="Helvetica" w:hAnsi="Helvetica" w:cs="Helvetica"/>
          <w:sz w:val="20"/>
          <w:szCs w:val="20"/>
        </w:rPr>
      </w:pPr>
    </w:p>
    <w:p w14:paraId="6989F826" w14:textId="397F7F8B" w:rsidR="00631CF6" w:rsidRDefault="00631CF6" w:rsidP="000A6FB5">
      <w:pPr>
        <w:pStyle w:val="NoSpacing"/>
        <w:rPr>
          <w:rFonts w:ascii="Helvetica" w:hAnsi="Helvetica" w:cs="Helvetica"/>
          <w:sz w:val="20"/>
          <w:szCs w:val="20"/>
        </w:rPr>
      </w:pPr>
    </w:p>
    <w:p w14:paraId="32ADB663" w14:textId="77777777" w:rsidR="00D26743" w:rsidRDefault="00D26743" w:rsidP="000A6FB5">
      <w:pPr>
        <w:pStyle w:val="NoSpacing"/>
        <w:rPr>
          <w:rFonts w:ascii="Helvetica" w:hAnsi="Helvetica" w:cs="Helvetica"/>
          <w:sz w:val="20"/>
          <w:szCs w:val="20"/>
          <w:highlight w:val="yellow"/>
        </w:rPr>
      </w:pPr>
    </w:p>
    <w:p w14:paraId="79220973" w14:textId="37CFC64C" w:rsidR="000A6FB5" w:rsidRPr="00C07643" w:rsidRDefault="00133686" w:rsidP="000A6FB5">
      <w:pPr>
        <w:pStyle w:val="NoSpacing"/>
        <w:rPr>
          <w:rFonts w:ascii="Helvetica" w:hAnsi="Helvetica" w:cs="Helvetica"/>
          <w:sz w:val="20"/>
          <w:szCs w:val="20"/>
        </w:rPr>
      </w:pPr>
      <w:r>
        <w:rPr>
          <w:rFonts w:ascii="Helvetica" w:hAnsi="Helvetica" w:cs="Helvetica"/>
          <w:sz w:val="20"/>
          <w:szCs w:val="20"/>
        </w:rPr>
        <w:t xml:space="preserve">March </w:t>
      </w:r>
      <w:r w:rsidRPr="00B4675C">
        <w:rPr>
          <w:rFonts w:ascii="Helvetica" w:hAnsi="Helvetica" w:cs="Helvetica"/>
          <w:sz w:val="20"/>
          <w:szCs w:val="20"/>
          <w:highlight w:val="yellow"/>
        </w:rPr>
        <w:t>17</w:t>
      </w:r>
      <w:r>
        <w:rPr>
          <w:rFonts w:ascii="Helvetica" w:hAnsi="Helvetica" w:cs="Helvetica"/>
          <w:sz w:val="20"/>
          <w:szCs w:val="20"/>
        </w:rPr>
        <w:t>, 2026</w:t>
      </w:r>
    </w:p>
    <w:p w14:paraId="29D17FEF" w14:textId="30758959" w:rsidR="000A6FB5" w:rsidRPr="00C07643" w:rsidRDefault="000A6FB5" w:rsidP="000A6FB5">
      <w:pPr>
        <w:pStyle w:val="NoSpacing"/>
        <w:rPr>
          <w:rFonts w:ascii="Helvetica" w:hAnsi="Helvetica" w:cs="Helvetica"/>
          <w:sz w:val="20"/>
          <w:szCs w:val="20"/>
        </w:rPr>
      </w:pPr>
    </w:p>
    <w:p w14:paraId="6525B0BD" w14:textId="22113AAB" w:rsidR="000A6FB5" w:rsidRPr="00C07643" w:rsidRDefault="000A6FB5" w:rsidP="000A6FB5">
      <w:pPr>
        <w:pStyle w:val="NoSpacing"/>
        <w:rPr>
          <w:rFonts w:ascii="Helvetica" w:hAnsi="Helvetica" w:cs="Helvetica"/>
          <w:sz w:val="20"/>
          <w:szCs w:val="20"/>
        </w:rPr>
      </w:pPr>
      <w:r w:rsidRPr="00C07643">
        <w:rPr>
          <w:rFonts w:ascii="Helvetica" w:hAnsi="Helvetica" w:cs="Helvetica"/>
          <w:sz w:val="20"/>
          <w:szCs w:val="20"/>
        </w:rPr>
        <w:t xml:space="preserve">The Honorable </w:t>
      </w:r>
      <w:r w:rsidR="008C71F9">
        <w:rPr>
          <w:rFonts w:ascii="Helvetica" w:hAnsi="Helvetica" w:cs="Helvetica"/>
          <w:sz w:val="20"/>
          <w:szCs w:val="20"/>
        </w:rPr>
        <w:t>Pilar Schiavo</w:t>
      </w:r>
    </w:p>
    <w:p w14:paraId="71FA3659" w14:textId="2614781C" w:rsidR="000A6FB5" w:rsidRPr="00C07643" w:rsidRDefault="000A6FB5" w:rsidP="000A6FB5">
      <w:pPr>
        <w:pStyle w:val="NoSpacing"/>
        <w:rPr>
          <w:rFonts w:ascii="Helvetica" w:hAnsi="Helvetica" w:cs="Helvetica"/>
          <w:sz w:val="20"/>
          <w:szCs w:val="20"/>
        </w:rPr>
      </w:pPr>
      <w:r w:rsidRPr="00C07643">
        <w:rPr>
          <w:rFonts w:ascii="Helvetica" w:hAnsi="Helvetica" w:cs="Helvetica"/>
          <w:sz w:val="20"/>
          <w:szCs w:val="20"/>
        </w:rPr>
        <w:t xml:space="preserve">California State </w:t>
      </w:r>
      <w:r w:rsidR="003F5406">
        <w:rPr>
          <w:rFonts w:ascii="Helvetica" w:hAnsi="Helvetica" w:cs="Helvetica"/>
          <w:sz w:val="20"/>
          <w:szCs w:val="20"/>
        </w:rPr>
        <w:t>Assembly</w:t>
      </w:r>
    </w:p>
    <w:p w14:paraId="2703DF8E" w14:textId="2AEAC37A" w:rsidR="000A6FB5" w:rsidRPr="00C07643" w:rsidRDefault="000A6FB5" w:rsidP="000A6FB5">
      <w:pPr>
        <w:pStyle w:val="NoSpacing"/>
        <w:rPr>
          <w:rFonts w:ascii="Helvetica" w:hAnsi="Helvetica" w:cs="Helvetica"/>
          <w:sz w:val="20"/>
          <w:szCs w:val="20"/>
        </w:rPr>
      </w:pPr>
      <w:r>
        <w:rPr>
          <w:rFonts w:ascii="Helvetica" w:hAnsi="Helvetica" w:cs="Helvetica"/>
          <w:sz w:val="20"/>
          <w:szCs w:val="20"/>
        </w:rPr>
        <w:t xml:space="preserve">1021 O Street, Suite </w:t>
      </w:r>
      <w:r w:rsidR="004806ED">
        <w:rPr>
          <w:rFonts w:ascii="Helvetica" w:hAnsi="Helvetica" w:cs="Helvetica"/>
          <w:sz w:val="20"/>
          <w:szCs w:val="20"/>
        </w:rPr>
        <w:t>4140</w:t>
      </w:r>
    </w:p>
    <w:p w14:paraId="5AA421BA" w14:textId="77777777" w:rsidR="000A6FB5" w:rsidRPr="00C07643" w:rsidRDefault="000A6FB5" w:rsidP="000A6FB5">
      <w:pPr>
        <w:pStyle w:val="NoSpacing"/>
        <w:rPr>
          <w:rFonts w:ascii="Helvetica" w:hAnsi="Helvetica" w:cs="Helvetica"/>
          <w:sz w:val="20"/>
          <w:szCs w:val="20"/>
        </w:rPr>
      </w:pPr>
      <w:r w:rsidRPr="00C07643">
        <w:rPr>
          <w:rFonts w:ascii="Helvetica" w:hAnsi="Helvetica" w:cs="Helvetica"/>
          <w:sz w:val="20"/>
          <w:szCs w:val="20"/>
        </w:rPr>
        <w:t>Sacramento, CA 95814</w:t>
      </w:r>
    </w:p>
    <w:p w14:paraId="65AEBFEC" w14:textId="77777777" w:rsidR="000A6FB5" w:rsidRPr="00C07643" w:rsidRDefault="000A6FB5" w:rsidP="000A6FB5">
      <w:pPr>
        <w:pStyle w:val="NoSpacing"/>
        <w:rPr>
          <w:rFonts w:ascii="Helvetica" w:hAnsi="Helvetica" w:cs="Helvetica"/>
          <w:sz w:val="20"/>
          <w:szCs w:val="20"/>
        </w:rPr>
      </w:pPr>
    </w:p>
    <w:p w14:paraId="7C05BB63" w14:textId="38538280" w:rsidR="000A6FB5" w:rsidRPr="00C07643" w:rsidRDefault="000A6FB5" w:rsidP="000A6FB5">
      <w:pPr>
        <w:pStyle w:val="NoSpacing"/>
        <w:ind w:left="1440" w:hanging="1440"/>
        <w:rPr>
          <w:rFonts w:ascii="Helvetica" w:hAnsi="Helvetica" w:cs="Helvetica"/>
          <w:b/>
          <w:bCs/>
          <w:sz w:val="20"/>
          <w:szCs w:val="20"/>
        </w:rPr>
      </w:pPr>
      <w:r w:rsidRPr="00C07643">
        <w:rPr>
          <w:rFonts w:ascii="Helvetica" w:hAnsi="Helvetica" w:cs="Helvetica"/>
          <w:b/>
          <w:bCs/>
          <w:sz w:val="20"/>
          <w:szCs w:val="20"/>
        </w:rPr>
        <w:t>SUBJECT:</w:t>
      </w:r>
      <w:r w:rsidRPr="00C07643">
        <w:rPr>
          <w:rFonts w:ascii="Helvetica" w:hAnsi="Helvetica" w:cs="Helvetica"/>
          <w:b/>
          <w:bCs/>
          <w:sz w:val="20"/>
          <w:szCs w:val="20"/>
        </w:rPr>
        <w:tab/>
      </w:r>
      <w:r w:rsidR="008C71F9">
        <w:rPr>
          <w:rFonts w:ascii="Helvetica" w:hAnsi="Helvetica" w:cs="Helvetica"/>
          <w:b/>
          <w:bCs/>
          <w:sz w:val="20"/>
          <w:szCs w:val="20"/>
        </w:rPr>
        <w:t>AB 2021</w:t>
      </w:r>
      <w:r>
        <w:rPr>
          <w:rFonts w:ascii="Helvetica" w:hAnsi="Helvetica" w:cs="Helvetica"/>
          <w:b/>
          <w:bCs/>
          <w:sz w:val="20"/>
          <w:szCs w:val="20"/>
        </w:rPr>
        <w:t xml:space="preserve"> (</w:t>
      </w:r>
      <w:r w:rsidR="008C71F9">
        <w:rPr>
          <w:rFonts w:ascii="Helvetica" w:hAnsi="Helvetica" w:cs="Helvetica"/>
          <w:b/>
          <w:bCs/>
          <w:sz w:val="20"/>
          <w:szCs w:val="20"/>
        </w:rPr>
        <w:t>SCHIAVO</w:t>
      </w:r>
      <w:r>
        <w:rPr>
          <w:rFonts w:ascii="Helvetica" w:hAnsi="Helvetica" w:cs="Helvetica"/>
          <w:b/>
          <w:bCs/>
          <w:sz w:val="20"/>
          <w:szCs w:val="20"/>
        </w:rPr>
        <w:t>)</w:t>
      </w:r>
      <w:r w:rsidR="009471EA">
        <w:rPr>
          <w:rFonts w:ascii="Helvetica" w:hAnsi="Helvetica" w:cs="Helvetica"/>
          <w:b/>
          <w:bCs/>
          <w:sz w:val="20"/>
          <w:szCs w:val="20"/>
        </w:rPr>
        <w:t xml:space="preserve"> </w:t>
      </w:r>
      <w:r w:rsidR="006A7992">
        <w:rPr>
          <w:rFonts w:ascii="Helvetica" w:hAnsi="Helvetica" w:cs="Helvetica"/>
          <w:b/>
          <w:bCs/>
          <w:sz w:val="20"/>
          <w:szCs w:val="20"/>
        </w:rPr>
        <w:t>CALIFORNIA CONSUMER PRIVACY ACT OF 2018: WHI</w:t>
      </w:r>
      <w:r w:rsidR="00FB19AD">
        <w:rPr>
          <w:rFonts w:ascii="Helvetica" w:hAnsi="Helvetica" w:cs="Helvetica"/>
          <w:b/>
          <w:bCs/>
          <w:sz w:val="20"/>
          <w:szCs w:val="20"/>
        </w:rPr>
        <w:t>S</w:t>
      </w:r>
      <w:r w:rsidR="006A7992">
        <w:rPr>
          <w:rFonts w:ascii="Helvetica" w:hAnsi="Helvetica" w:cs="Helvetica"/>
          <w:b/>
          <w:bCs/>
          <w:sz w:val="20"/>
          <w:szCs w:val="20"/>
        </w:rPr>
        <w:t>TLEBLOWER COMPLAINTS</w:t>
      </w:r>
    </w:p>
    <w:p w14:paraId="02F2D26F" w14:textId="03702CCC" w:rsidR="000A6FB5" w:rsidRDefault="000A6FB5" w:rsidP="000A6FB5">
      <w:pPr>
        <w:pStyle w:val="NoSpacing"/>
        <w:ind w:left="1440" w:hanging="1440"/>
        <w:rPr>
          <w:rFonts w:ascii="Helvetica" w:hAnsi="Helvetica" w:cs="Helvetica"/>
          <w:b/>
          <w:bCs/>
          <w:sz w:val="20"/>
          <w:szCs w:val="20"/>
        </w:rPr>
      </w:pPr>
      <w:r w:rsidRPr="00C07643">
        <w:rPr>
          <w:rFonts w:ascii="Helvetica" w:hAnsi="Helvetica" w:cs="Helvetica"/>
          <w:b/>
          <w:bCs/>
          <w:sz w:val="20"/>
          <w:szCs w:val="20"/>
        </w:rPr>
        <w:tab/>
      </w:r>
      <w:r w:rsidR="006D7413">
        <w:rPr>
          <w:rFonts w:ascii="Helvetica" w:hAnsi="Helvetica" w:cs="Helvetica"/>
          <w:b/>
          <w:bCs/>
          <w:sz w:val="20"/>
          <w:szCs w:val="20"/>
        </w:rPr>
        <w:t>OPPOSE</w:t>
      </w:r>
      <w:r w:rsidRPr="00C07643">
        <w:rPr>
          <w:rFonts w:ascii="Helvetica" w:hAnsi="Helvetica" w:cs="Helvetica"/>
          <w:b/>
          <w:bCs/>
          <w:sz w:val="20"/>
          <w:szCs w:val="20"/>
        </w:rPr>
        <w:t xml:space="preserve">– AS </w:t>
      </w:r>
      <w:r w:rsidR="00442939">
        <w:rPr>
          <w:rFonts w:ascii="Helvetica" w:hAnsi="Helvetica" w:cs="Helvetica"/>
          <w:b/>
          <w:bCs/>
          <w:sz w:val="20"/>
          <w:szCs w:val="20"/>
        </w:rPr>
        <w:t>INTRODUCED FEBRUARY 17, 2026</w:t>
      </w:r>
    </w:p>
    <w:p w14:paraId="66B9A94F" w14:textId="77777777" w:rsidR="00930651" w:rsidRPr="00402B8A" w:rsidRDefault="00930651" w:rsidP="000A6FB5">
      <w:pPr>
        <w:pStyle w:val="NoSpacing"/>
        <w:ind w:left="1440" w:hanging="1440"/>
        <w:rPr>
          <w:rFonts w:ascii="Helvetica" w:hAnsi="Helvetica" w:cs="Helvetica"/>
          <w:sz w:val="20"/>
          <w:szCs w:val="20"/>
        </w:rPr>
      </w:pPr>
    </w:p>
    <w:p w14:paraId="4C1D1CE2" w14:textId="7BBB17D8" w:rsidR="00930651" w:rsidRPr="00402B8A" w:rsidRDefault="00930651" w:rsidP="000A6FB5">
      <w:pPr>
        <w:pStyle w:val="NoSpacing"/>
        <w:ind w:left="1440" w:hanging="1440"/>
        <w:rPr>
          <w:rFonts w:ascii="Helvetica" w:hAnsi="Helvetica" w:cs="Helvetica"/>
          <w:sz w:val="20"/>
          <w:szCs w:val="20"/>
        </w:rPr>
      </w:pPr>
      <w:r w:rsidRPr="00402B8A">
        <w:rPr>
          <w:rFonts w:ascii="Helvetica" w:hAnsi="Helvetica" w:cs="Helvetica"/>
          <w:sz w:val="20"/>
          <w:szCs w:val="20"/>
        </w:rPr>
        <w:t>Dear</w:t>
      </w:r>
      <w:r w:rsidR="00402B8A" w:rsidRPr="00402B8A">
        <w:rPr>
          <w:rFonts w:ascii="Helvetica" w:hAnsi="Helvetica" w:cs="Helvetica"/>
          <w:sz w:val="20"/>
          <w:szCs w:val="20"/>
        </w:rPr>
        <w:t xml:space="preserve"> </w:t>
      </w:r>
      <w:r w:rsidR="006A7992">
        <w:rPr>
          <w:rFonts w:ascii="Helvetica" w:hAnsi="Helvetica" w:cs="Helvetica"/>
          <w:sz w:val="20"/>
          <w:szCs w:val="20"/>
        </w:rPr>
        <w:t>Assemblymember Schiavo</w:t>
      </w:r>
      <w:r w:rsidR="00402B8A" w:rsidRPr="00402B8A">
        <w:rPr>
          <w:rFonts w:ascii="Helvetica" w:hAnsi="Helvetica" w:cs="Helvetica"/>
          <w:sz w:val="20"/>
          <w:szCs w:val="20"/>
        </w:rPr>
        <w:t>:</w:t>
      </w:r>
    </w:p>
    <w:p w14:paraId="20EE82F1" w14:textId="77777777" w:rsidR="000A6FB5" w:rsidRPr="00402B8A" w:rsidRDefault="000A6FB5" w:rsidP="00452C29">
      <w:pPr>
        <w:pStyle w:val="NoSpacing"/>
        <w:jc w:val="both"/>
        <w:rPr>
          <w:rFonts w:ascii="Helvetica" w:hAnsi="Helvetica" w:cs="Helvetica"/>
          <w:sz w:val="20"/>
          <w:szCs w:val="20"/>
        </w:rPr>
      </w:pPr>
    </w:p>
    <w:p w14:paraId="680DF66F" w14:textId="33113085" w:rsidR="00C33870" w:rsidRDefault="00E7342E" w:rsidP="00C33870">
      <w:pPr>
        <w:pStyle w:val="NoSpacing"/>
        <w:spacing w:after="240"/>
        <w:jc w:val="both"/>
        <w:rPr>
          <w:rFonts w:ascii="Helvetica" w:hAnsi="Helvetica" w:cs="Helvetica"/>
          <w:sz w:val="20"/>
          <w:szCs w:val="20"/>
        </w:rPr>
      </w:pPr>
      <w:r w:rsidRPr="00E15497">
        <w:rPr>
          <w:rFonts w:ascii="Helvetica" w:hAnsi="Helvetica" w:cs="Helvetica"/>
          <w:sz w:val="20"/>
          <w:szCs w:val="20"/>
        </w:rPr>
        <w:t>The California Chamber of Commer</w:t>
      </w:r>
      <w:r>
        <w:rPr>
          <w:rFonts w:ascii="Helvetica" w:hAnsi="Helvetica" w:cs="Helvetica"/>
          <w:sz w:val="20"/>
          <w:szCs w:val="20"/>
        </w:rPr>
        <w:t>ce</w:t>
      </w:r>
      <w:r w:rsidR="0062492C">
        <w:rPr>
          <w:rFonts w:ascii="Helvetica" w:hAnsi="Helvetica" w:cs="Helvetica"/>
          <w:sz w:val="20"/>
          <w:szCs w:val="20"/>
        </w:rPr>
        <w:t xml:space="preserve"> </w:t>
      </w:r>
      <w:r>
        <w:rPr>
          <w:rFonts w:ascii="Helvetica" w:hAnsi="Helvetica" w:cs="Helvetica"/>
          <w:sz w:val="20"/>
          <w:szCs w:val="20"/>
        </w:rPr>
        <w:t>respectfully</w:t>
      </w:r>
      <w:r w:rsidRPr="00FF411E">
        <w:rPr>
          <w:rFonts w:ascii="Helvetica" w:hAnsi="Helvetica" w:cs="Helvetica"/>
          <w:sz w:val="20"/>
          <w:szCs w:val="20"/>
        </w:rPr>
        <w:t xml:space="preserve"> </w:t>
      </w:r>
      <w:r w:rsidRPr="00FF411E">
        <w:rPr>
          <w:rFonts w:ascii="Helvetica" w:hAnsi="Helvetica" w:cs="Helvetica"/>
          <w:b/>
          <w:sz w:val="20"/>
          <w:szCs w:val="20"/>
        </w:rPr>
        <w:t>OPPOSE</w:t>
      </w:r>
      <w:r w:rsidR="004672F9">
        <w:rPr>
          <w:rFonts w:ascii="Helvetica" w:hAnsi="Helvetica" w:cs="Helvetica"/>
          <w:b/>
          <w:sz w:val="20"/>
          <w:szCs w:val="20"/>
        </w:rPr>
        <w:t>S</w:t>
      </w:r>
      <w:r w:rsidR="00B93EDB">
        <w:rPr>
          <w:rFonts w:ascii="Helvetica" w:hAnsi="Helvetica" w:cs="Helvetica"/>
          <w:b/>
          <w:sz w:val="20"/>
          <w:szCs w:val="20"/>
        </w:rPr>
        <w:t xml:space="preserve"> </w:t>
      </w:r>
      <w:r w:rsidRPr="00FF411E">
        <w:rPr>
          <w:rFonts w:ascii="Helvetica" w:hAnsi="Helvetica" w:cs="Helvetica"/>
          <w:sz w:val="20"/>
          <w:szCs w:val="20"/>
        </w:rPr>
        <w:t>you</w:t>
      </w:r>
      <w:r w:rsidR="00930F39">
        <w:rPr>
          <w:rFonts w:ascii="Helvetica" w:hAnsi="Helvetica" w:cs="Helvetica"/>
          <w:sz w:val="20"/>
          <w:szCs w:val="20"/>
        </w:rPr>
        <w:t>r</w:t>
      </w:r>
      <w:r w:rsidR="00A82FE9">
        <w:rPr>
          <w:rFonts w:ascii="Helvetica" w:hAnsi="Helvetica" w:cs="Helvetica"/>
          <w:sz w:val="20"/>
          <w:szCs w:val="20"/>
        </w:rPr>
        <w:t xml:space="preserve"> </w:t>
      </w:r>
      <w:r w:rsidR="006A7992">
        <w:rPr>
          <w:rFonts w:ascii="Helvetica" w:hAnsi="Helvetica" w:cs="Helvetica"/>
          <w:b/>
          <w:sz w:val="20"/>
          <w:szCs w:val="20"/>
        </w:rPr>
        <w:t>AB 202</w:t>
      </w:r>
      <w:r w:rsidR="0049224F">
        <w:rPr>
          <w:rFonts w:ascii="Helvetica" w:hAnsi="Helvetica" w:cs="Helvetica"/>
          <w:b/>
          <w:sz w:val="20"/>
          <w:szCs w:val="20"/>
        </w:rPr>
        <w:t>1</w:t>
      </w:r>
      <w:r w:rsidRPr="00FF411E">
        <w:rPr>
          <w:rFonts w:ascii="Helvetica" w:hAnsi="Helvetica" w:cs="Helvetica"/>
          <w:sz w:val="20"/>
          <w:szCs w:val="20"/>
        </w:rPr>
        <w:t xml:space="preserve"> </w:t>
      </w:r>
      <w:r w:rsidRPr="00FF411E">
        <w:rPr>
          <w:rFonts w:ascii="Helvetica" w:hAnsi="Helvetica" w:cs="Helvetica"/>
          <w:b/>
          <w:bCs/>
          <w:sz w:val="20"/>
          <w:szCs w:val="20"/>
        </w:rPr>
        <w:t>(</w:t>
      </w:r>
      <w:r w:rsidR="0049224F">
        <w:rPr>
          <w:rFonts w:ascii="Helvetica" w:hAnsi="Helvetica" w:cs="Helvetica"/>
          <w:b/>
          <w:bCs/>
          <w:sz w:val="20"/>
          <w:szCs w:val="20"/>
        </w:rPr>
        <w:t>Schiavo</w:t>
      </w:r>
      <w:r w:rsidRPr="00FF411E">
        <w:rPr>
          <w:rFonts w:ascii="Helvetica" w:hAnsi="Helvetica" w:cs="Helvetica"/>
          <w:b/>
          <w:bCs/>
          <w:sz w:val="20"/>
          <w:szCs w:val="20"/>
        </w:rPr>
        <w:t>)</w:t>
      </w:r>
      <w:r w:rsidRPr="00FF411E">
        <w:rPr>
          <w:rFonts w:ascii="Helvetica" w:hAnsi="Helvetica" w:cs="Helvetica"/>
          <w:sz w:val="20"/>
          <w:szCs w:val="20"/>
        </w:rPr>
        <w:t xml:space="preserve"> as </w:t>
      </w:r>
      <w:r w:rsidR="00442939">
        <w:rPr>
          <w:rFonts w:ascii="Helvetica" w:hAnsi="Helvetica" w:cs="Helvetica"/>
          <w:sz w:val="20"/>
          <w:szCs w:val="20"/>
        </w:rPr>
        <w:t xml:space="preserve">introduced February </w:t>
      </w:r>
      <w:r w:rsidR="009842F4">
        <w:rPr>
          <w:rFonts w:ascii="Helvetica" w:hAnsi="Helvetica" w:cs="Helvetica"/>
          <w:sz w:val="20"/>
          <w:szCs w:val="20"/>
        </w:rPr>
        <w:t xml:space="preserve">17, </w:t>
      </w:r>
      <w:r w:rsidR="00EA3701">
        <w:rPr>
          <w:rFonts w:ascii="Helvetica" w:hAnsi="Helvetica" w:cs="Helvetica"/>
          <w:sz w:val="20"/>
          <w:szCs w:val="20"/>
        </w:rPr>
        <w:t xml:space="preserve">2026, </w:t>
      </w:r>
      <w:r w:rsidR="00430962">
        <w:rPr>
          <w:rFonts w:ascii="Helvetica" w:hAnsi="Helvetica" w:cs="Helvetica"/>
          <w:sz w:val="20"/>
          <w:szCs w:val="20"/>
        </w:rPr>
        <w:t xml:space="preserve">as a </w:t>
      </w:r>
      <w:r w:rsidR="00430962" w:rsidRPr="00430962">
        <w:rPr>
          <w:rFonts w:ascii="Helvetica" w:hAnsi="Helvetica" w:cs="Helvetica"/>
          <w:b/>
          <w:bCs/>
          <w:sz w:val="20"/>
          <w:szCs w:val="20"/>
        </w:rPr>
        <w:t>COST DRIVER</w:t>
      </w:r>
      <w:r w:rsidR="00430962">
        <w:rPr>
          <w:rFonts w:ascii="Helvetica" w:hAnsi="Helvetica" w:cs="Helvetica"/>
          <w:sz w:val="20"/>
          <w:szCs w:val="20"/>
        </w:rPr>
        <w:t xml:space="preserve"> </w:t>
      </w:r>
      <w:r w:rsidR="00EA3701">
        <w:rPr>
          <w:rFonts w:ascii="Helvetica" w:hAnsi="Helvetica" w:cs="Helvetica"/>
          <w:sz w:val="20"/>
          <w:szCs w:val="20"/>
        </w:rPr>
        <w:t>because</w:t>
      </w:r>
      <w:r w:rsidR="00AB0EE4">
        <w:rPr>
          <w:rFonts w:ascii="Helvetica" w:hAnsi="Helvetica" w:cs="Helvetica"/>
          <w:sz w:val="20"/>
          <w:szCs w:val="20"/>
        </w:rPr>
        <w:t xml:space="preserve"> it </w:t>
      </w:r>
      <w:r w:rsidR="00B575FD" w:rsidRPr="00B575FD">
        <w:rPr>
          <w:rFonts w:ascii="Helvetica" w:hAnsi="Helvetica" w:cs="Helvetica"/>
          <w:sz w:val="20"/>
          <w:szCs w:val="20"/>
        </w:rPr>
        <w:t xml:space="preserve">expressly incentivizes individuals to bring claims of California Consumer Privacy Act (CCPA) violations, effectively deputizing employees and consumers as private attorneys enforcing the CCPA under the promise of a </w:t>
      </w:r>
      <w:r w:rsidR="00A314E9">
        <w:rPr>
          <w:rFonts w:ascii="Helvetica" w:hAnsi="Helvetica" w:cs="Helvetica"/>
          <w:sz w:val="20"/>
          <w:szCs w:val="20"/>
        </w:rPr>
        <w:t xml:space="preserve">financial </w:t>
      </w:r>
      <w:r w:rsidR="00413CE2">
        <w:rPr>
          <w:rFonts w:ascii="Helvetica" w:hAnsi="Helvetica" w:cs="Helvetica"/>
          <w:sz w:val="20"/>
          <w:szCs w:val="20"/>
        </w:rPr>
        <w:t>bounty</w:t>
      </w:r>
      <w:r w:rsidR="00687DA2">
        <w:rPr>
          <w:rFonts w:ascii="Helvetica" w:hAnsi="Helvetica" w:cs="Helvetica"/>
          <w:sz w:val="20"/>
          <w:szCs w:val="20"/>
        </w:rPr>
        <w:t>. I</w:t>
      </w:r>
      <w:r w:rsidR="00687DA2" w:rsidRPr="00687DA2">
        <w:rPr>
          <w:rFonts w:ascii="Helvetica" w:hAnsi="Helvetica" w:cs="Helvetica"/>
          <w:sz w:val="20"/>
          <w:szCs w:val="20"/>
        </w:rPr>
        <w:t xml:space="preserve">n doing so, the bill </w:t>
      </w:r>
      <w:r w:rsidR="00687DA2">
        <w:rPr>
          <w:rFonts w:ascii="Helvetica" w:hAnsi="Helvetica" w:cs="Helvetica"/>
          <w:sz w:val="20"/>
          <w:szCs w:val="20"/>
        </w:rPr>
        <w:t>not only</w:t>
      </w:r>
      <w:r w:rsidR="00B46B20">
        <w:rPr>
          <w:rFonts w:ascii="Helvetica" w:hAnsi="Helvetica" w:cs="Helvetica"/>
          <w:sz w:val="20"/>
          <w:szCs w:val="20"/>
        </w:rPr>
        <w:t xml:space="preserve"> encourages </w:t>
      </w:r>
      <w:r w:rsidR="00A314E9">
        <w:rPr>
          <w:rFonts w:ascii="Helvetica" w:hAnsi="Helvetica" w:cs="Helvetica"/>
          <w:sz w:val="20"/>
          <w:szCs w:val="20"/>
        </w:rPr>
        <w:t>opportunistic</w:t>
      </w:r>
      <w:r w:rsidR="00B46B20">
        <w:rPr>
          <w:rFonts w:ascii="Helvetica" w:hAnsi="Helvetica" w:cs="Helvetica"/>
          <w:sz w:val="20"/>
          <w:szCs w:val="20"/>
        </w:rPr>
        <w:t xml:space="preserve"> litigation </w:t>
      </w:r>
      <w:r w:rsidR="00B46B20" w:rsidRPr="00C05EE0">
        <w:rPr>
          <w:rFonts w:ascii="Helvetica" w:hAnsi="Helvetica" w:cs="Helvetica"/>
          <w:sz w:val="20"/>
          <w:szCs w:val="20"/>
        </w:rPr>
        <w:t xml:space="preserve">over </w:t>
      </w:r>
      <w:r w:rsidR="00A314E9" w:rsidRPr="00C05EE0">
        <w:rPr>
          <w:rFonts w:ascii="Helvetica" w:hAnsi="Helvetica" w:cs="Helvetica"/>
          <w:sz w:val="20"/>
          <w:szCs w:val="20"/>
        </w:rPr>
        <w:t>technical</w:t>
      </w:r>
      <w:r w:rsidR="00B46B20" w:rsidRPr="00C05EE0">
        <w:rPr>
          <w:rFonts w:ascii="Helvetica" w:hAnsi="Helvetica" w:cs="Helvetica"/>
          <w:sz w:val="20"/>
          <w:szCs w:val="20"/>
        </w:rPr>
        <w:t xml:space="preserve"> or immaterial </w:t>
      </w:r>
      <w:r w:rsidR="00A314E9" w:rsidRPr="00C05EE0">
        <w:rPr>
          <w:rFonts w:ascii="Helvetica" w:hAnsi="Helvetica" w:cs="Helvetica"/>
          <w:sz w:val="20"/>
          <w:szCs w:val="20"/>
        </w:rPr>
        <w:t>violations</w:t>
      </w:r>
      <w:r w:rsidR="005D5D2C" w:rsidRPr="00C05EE0">
        <w:rPr>
          <w:rFonts w:ascii="Helvetica" w:hAnsi="Helvetica" w:cs="Helvetica"/>
          <w:sz w:val="20"/>
          <w:szCs w:val="20"/>
        </w:rPr>
        <w:t>—</w:t>
      </w:r>
      <w:r w:rsidR="00035DD5" w:rsidRPr="00C05EE0">
        <w:rPr>
          <w:rFonts w:ascii="Helvetica" w:hAnsi="Helvetica" w:cs="Helvetica"/>
          <w:sz w:val="20"/>
          <w:szCs w:val="20"/>
        </w:rPr>
        <w:t>d</w:t>
      </w:r>
      <w:r w:rsidR="00A314E9" w:rsidRPr="00C05EE0">
        <w:rPr>
          <w:rFonts w:ascii="Helvetica" w:hAnsi="Helvetica" w:cs="Helvetica"/>
          <w:sz w:val="20"/>
          <w:szCs w:val="20"/>
        </w:rPr>
        <w:t xml:space="preserve">iverting resources away from meaningful privacy compliance </w:t>
      </w:r>
      <w:r w:rsidR="00FE2B5A" w:rsidRPr="00C05EE0">
        <w:rPr>
          <w:rFonts w:ascii="Helvetica" w:hAnsi="Helvetica" w:cs="Helvetica"/>
          <w:sz w:val="20"/>
          <w:szCs w:val="20"/>
        </w:rPr>
        <w:t xml:space="preserve">efforts </w:t>
      </w:r>
      <w:r w:rsidR="003357BF" w:rsidRPr="00C05EE0">
        <w:rPr>
          <w:rFonts w:ascii="Helvetica" w:hAnsi="Helvetica" w:cs="Helvetica"/>
          <w:sz w:val="20"/>
          <w:szCs w:val="20"/>
        </w:rPr>
        <w:t>and</w:t>
      </w:r>
      <w:r w:rsidR="00A314E9" w:rsidRPr="00C05EE0">
        <w:rPr>
          <w:rFonts w:ascii="Helvetica" w:hAnsi="Helvetica" w:cs="Helvetica"/>
          <w:sz w:val="20"/>
          <w:szCs w:val="20"/>
        </w:rPr>
        <w:t xml:space="preserve"> toward defending bounty-drive</w:t>
      </w:r>
      <w:r w:rsidR="00035DD5" w:rsidRPr="00C05EE0">
        <w:rPr>
          <w:rFonts w:ascii="Helvetica" w:hAnsi="Helvetica" w:cs="Helvetica"/>
          <w:sz w:val="20"/>
          <w:szCs w:val="20"/>
        </w:rPr>
        <w:t>n</w:t>
      </w:r>
      <w:r w:rsidR="00A314E9" w:rsidRPr="00C05EE0">
        <w:rPr>
          <w:rFonts w:ascii="Helvetica" w:hAnsi="Helvetica" w:cs="Helvetica"/>
          <w:sz w:val="20"/>
          <w:szCs w:val="20"/>
        </w:rPr>
        <w:t xml:space="preserve"> claims</w:t>
      </w:r>
      <w:r w:rsidR="005D5D2C" w:rsidRPr="00C05EE0">
        <w:rPr>
          <w:rFonts w:ascii="Helvetica" w:hAnsi="Helvetica" w:cs="Helvetica"/>
          <w:sz w:val="20"/>
          <w:szCs w:val="20"/>
        </w:rPr>
        <w:t>—</w:t>
      </w:r>
      <w:r w:rsidR="00030074" w:rsidRPr="00C05EE0">
        <w:rPr>
          <w:rFonts w:ascii="Helvetica" w:hAnsi="Helvetica" w:cs="Helvetica"/>
          <w:sz w:val="20"/>
          <w:szCs w:val="20"/>
        </w:rPr>
        <w:t>but</w:t>
      </w:r>
      <w:r w:rsidR="00035DD5" w:rsidRPr="00C05EE0">
        <w:rPr>
          <w:rFonts w:ascii="Helvetica" w:hAnsi="Helvetica" w:cs="Helvetica"/>
          <w:sz w:val="20"/>
          <w:szCs w:val="20"/>
        </w:rPr>
        <w:t xml:space="preserve"> also</w:t>
      </w:r>
      <w:r w:rsidR="00030074" w:rsidRPr="00C05EE0">
        <w:rPr>
          <w:rFonts w:ascii="Helvetica" w:hAnsi="Helvetica" w:cs="Helvetica"/>
          <w:sz w:val="20"/>
          <w:szCs w:val="20"/>
        </w:rPr>
        <w:t xml:space="preserve"> </w:t>
      </w:r>
      <w:r w:rsidR="003E6798" w:rsidRPr="00C05EE0">
        <w:rPr>
          <w:rFonts w:ascii="Helvetica" w:hAnsi="Helvetica" w:cs="Helvetica"/>
          <w:sz w:val="20"/>
          <w:szCs w:val="20"/>
        </w:rPr>
        <w:t>circumvent</w:t>
      </w:r>
      <w:r w:rsidR="004968FF" w:rsidRPr="00C05EE0">
        <w:rPr>
          <w:rFonts w:ascii="Helvetica" w:hAnsi="Helvetica" w:cs="Helvetica"/>
          <w:sz w:val="20"/>
          <w:szCs w:val="20"/>
        </w:rPr>
        <w:t>s</w:t>
      </w:r>
      <w:r w:rsidR="003E6798" w:rsidRPr="00C05EE0">
        <w:rPr>
          <w:rFonts w:ascii="Helvetica" w:hAnsi="Helvetica" w:cs="Helvetica"/>
          <w:sz w:val="20"/>
          <w:szCs w:val="20"/>
        </w:rPr>
        <w:t xml:space="preserve"> the calibrated limits </w:t>
      </w:r>
      <w:r w:rsidR="00C05EE0" w:rsidRPr="00C05EE0">
        <w:rPr>
          <w:rFonts w:ascii="Helvetica" w:hAnsi="Helvetica" w:cs="Helvetica"/>
          <w:sz w:val="20"/>
          <w:szCs w:val="20"/>
        </w:rPr>
        <w:t xml:space="preserve">the Legislature and voters </w:t>
      </w:r>
      <w:r w:rsidR="003E6798" w:rsidRPr="00C05EE0">
        <w:rPr>
          <w:rFonts w:ascii="Helvetica" w:hAnsi="Helvetica" w:cs="Helvetica"/>
          <w:sz w:val="20"/>
          <w:szCs w:val="20"/>
        </w:rPr>
        <w:t>placed</w:t>
      </w:r>
      <w:r w:rsidR="00EA307A" w:rsidRPr="00C05EE0">
        <w:rPr>
          <w:rFonts w:ascii="Helvetica" w:hAnsi="Helvetica" w:cs="Helvetica"/>
          <w:sz w:val="20"/>
          <w:szCs w:val="20"/>
        </w:rPr>
        <w:t xml:space="preserve"> </w:t>
      </w:r>
      <w:r w:rsidR="003E6798" w:rsidRPr="00C05EE0">
        <w:rPr>
          <w:rFonts w:ascii="Helvetica" w:hAnsi="Helvetica" w:cs="Helvetica"/>
          <w:sz w:val="20"/>
          <w:szCs w:val="20"/>
        </w:rPr>
        <w:t>on private enforcement</w:t>
      </w:r>
      <w:r w:rsidR="003357BF" w:rsidRPr="00C05EE0">
        <w:rPr>
          <w:rFonts w:ascii="Helvetica" w:hAnsi="Helvetica" w:cs="Helvetica"/>
          <w:sz w:val="20"/>
          <w:szCs w:val="20"/>
        </w:rPr>
        <w:t xml:space="preserve"> </w:t>
      </w:r>
      <w:r w:rsidR="004968FF" w:rsidRPr="00C05EE0">
        <w:rPr>
          <w:rFonts w:ascii="Helvetica" w:hAnsi="Helvetica" w:cs="Helvetica"/>
          <w:sz w:val="20"/>
          <w:szCs w:val="20"/>
        </w:rPr>
        <w:t>and</w:t>
      </w:r>
      <w:r w:rsidR="003357BF" w:rsidRPr="00C05EE0">
        <w:rPr>
          <w:rFonts w:ascii="Helvetica" w:hAnsi="Helvetica" w:cs="Helvetica"/>
          <w:sz w:val="20"/>
          <w:szCs w:val="20"/>
        </w:rPr>
        <w:t xml:space="preserve"> undermine</w:t>
      </w:r>
      <w:r w:rsidR="004968FF" w:rsidRPr="00C05EE0">
        <w:rPr>
          <w:rFonts w:ascii="Helvetica" w:hAnsi="Helvetica" w:cs="Helvetica"/>
          <w:sz w:val="20"/>
          <w:szCs w:val="20"/>
        </w:rPr>
        <w:t>s</w:t>
      </w:r>
      <w:r w:rsidR="003357BF" w:rsidRPr="00C05EE0">
        <w:rPr>
          <w:rFonts w:ascii="Helvetica" w:hAnsi="Helvetica" w:cs="Helvetica"/>
          <w:sz w:val="20"/>
          <w:szCs w:val="20"/>
        </w:rPr>
        <w:t xml:space="preserve"> </w:t>
      </w:r>
      <w:r w:rsidR="007A1173" w:rsidRPr="00C05EE0">
        <w:rPr>
          <w:rFonts w:ascii="Helvetica" w:hAnsi="Helvetica" w:cs="Helvetica"/>
          <w:sz w:val="20"/>
          <w:szCs w:val="20"/>
        </w:rPr>
        <w:t xml:space="preserve">a deliberate </w:t>
      </w:r>
      <w:r w:rsidR="00687DA2" w:rsidRPr="00C05EE0">
        <w:rPr>
          <w:rFonts w:ascii="Helvetica" w:hAnsi="Helvetica" w:cs="Helvetica"/>
          <w:sz w:val="20"/>
          <w:szCs w:val="20"/>
        </w:rPr>
        <w:t xml:space="preserve">enforcement structure which reserves </w:t>
      </w:r>
      <w:r w:rsidR="00B832F3" w:rsidRPr="00C05EE0">
        <w:rPr>
          <w:rFonts w:ascii="Helvetica" w:hAnsi="Helvetica" w:cs="Helvetica"/>
          <w:sz w:val="20"/>
          <w:szCs w:val="20"/>
        </w:rPr>
        <w:t xml:space="preserve">public enforcement </w:t>
      </w:r>
      <w:r w:rsidR="00687DA2" w:rsidRPr="00C05EE0">
        <w:rPr>
          <w:rFonts w:ascii="Helvetica" w:hAnsi="Helvetica" w:cs="Helvetica"/>
          <w:sz w:val="20"/>
          <w:szCs w:val="20"/>
        </w:rPr>
        <w:t>authority over non–data breach CCPA violations</w:t>
      </w:r>
      <w:r w:rsidR="00C05EE0" w:rsidRPr="00C05EE0">
        <w:rPr>
          <w:rFonts w:ascii="Helvetica" w:hAnsi="Helvetica" w:cs="Helvetica"/>
          <w:sz w:val="20"/>
          <w:szCs w:val="20"/>
        </w:rPr>
        <w:t xml:space="preserve"> to the Attorney General (AG) and the California Privacy Protection Agency (CPPA)</w:t>
      </w:r>
      <w:r w:rsidR="00440D47" w:rsidRPr="00C05EE0">
        <w:rPr>
          <w:rFonts w:ascii="Helvetica" w:hAnsi="Helvetica" w:cs="Helvetica"/>
          <w:sz w:val="20"/>
          <w:szCs w:val="20"/>
        </w:rPr>
        <w:t>.</w:t>
      </w:r>
      <w:r w:rsidR="00FE2B5A" w:rsidRPr="00C05EE0">
        <w:rPr>
          <w:rFonts w:ascii="Helvetica" w:hAnsi="Helvetica" w:cs="Helvetica"/>
          <w:sz w:val="20"/>
          <w:szCs w:val="20"/>
        </w:rPr>
        <w:t xml:space="preserve"> We </w:t>
      </w:r>
      <w:r w:rsidR="003C30B8" w:rsidRPr="00C05EE0">
        <w:rPr>
          <w:rFonts w:ascii="Helvetica" w:hAnsi="Helvetica" w:cs="Helvetica"/>
          <w:sz w:val="20"/>
          <w:szCs w:val="20"/>
        </w:rPr>
        <w:t xml:space="preserve">strongly </w:t>
      </w:r>
      <w:r w:rsidR="00FE2B5A" w:rsidRPr="00C05EE0">
        <w:rPr>
          <w:rFonts w:ascii="Helvetica" w:hAnsi="Helvetica" w:cs="Helvetica"/>
          <w:sz w:val="20"/>
          <w:szCs w:val="20"/>
        </w:rPr>
        <w:t>believe</w:t>
      </w:r>
      <w:r w:rsidR="003C30B8" w:rsidRPr="00C05EE0">
        <w:rPr>
          <w:rFonts w:ascii="Helvetica" w:hAnsi="Helvetica" w:cs="Helvetica"/>
          <w:sz w:val="20"/>
          <w:szCs w:val="20"/>
        </w:rPr>
        <w:t xml:space="preserve"> that</w:t>
      </w:r>
      <w:r w:rsidR="00FE2B5A" w:rsidRPr="00C05EE0">
        <w:rPr>
          <w:rFonts w:ascii="Helvetica" w:hAnsi="Helvetica" w:cs="Helvetica"/>
          <w:sz w:val="20"/>
          <w:szCs w:val="20"/>
        </w:rPr>
        <w:t xml:space="preserve"> far more good could be </w:t>
      </w:r>
      <w:r w:rsidR="003C30B8" w:rsidRPr="00C05EE0">
        <w:rPr>
          <w:rFonts w:ascii="Helvetica" w:hAnsi="Helvetica" w:cs="Helvetica"/>
          <w:sz w:val="20"/>
          <w:szCs w:val="20"/>
        </w:rPr>
        <w:t>achieved</w:t>
      </w:r>
      <w:r w:rsidR="0048072E" w:rsidRPr="00C05EE0">
        <w:rPr>
          <w:rFonts w:ascii="Helvetica" w:hAnsi="Helvetica" w:cs="Helvetica"/>
          <w:sz w:val="20"/>
          <w:szCs w:val="20"/>
        </w:rPr>
        <w:t xml:space="preserve"> on behalf of California</w:t>
      </w:r>
      <w:r w:rsidR="003C30B8" w:rsidRPr="00C05EE0">
        <w:rPr>
          <w:rFonts w:ascii="Helvetica" w:hAnsi="Helvetica" w:cs="Helvetica"/>
          <w:sz w:val="20"/>
          <w:szCs w:val="20"/>
        </w:rPr>
        <w:t>ns</w:t>
      </w:r>
      <w:r w:rsidR="0048072E" w:rsidRPr="00C05EE0">
        <w:rPr>
          <w:rFonts w:ascii="Helvetica" w:hAnsi="Helvetica" w:cs="Helvetica"/>
          <w:sz w:val="20"/>
          <w:szCs w:val="20"/>
        </w:rPr>
        <w:t xml:space="preserve"> if those funds were invested in things like education and compliance guidance for businesses.</w:t>
      </w:r>
      <w:r w:rsidR="0048072E">
        <w:rPr>
          <w:rFonts w:ascii="Helvetica" w:hAnsi="Helvetica" w:cs="Helvetica"/>
          <w:sz w:val="20"/>
          <w:szCs w:val="20"/>
        </w:rPr>
        <w:t xml:space="preserve"> </w:t>
      </w:r>
    </w:p>
    <w:p w14:paraId="2D02B7AE" w14:textId="4F5460EA" w:rsidR="00FD72EA" w:rsidRPr="00B963A6" w:rsidRDefault="00A771F9" w:rsidP="00C33870">
      <w:pPr>
        <w:pStyle w:val="NoSpacing"/>
        <w:spacing w:after="240"/>
        <w:jc w:val="both"/>
        <w:rPr>
          <w:rFonts w:ascii="Helvetica" w:hAnsi="Helvetica" w:cs="Helvetica"/>
          <w:b/>
          <w:bCs/>
          <w:sz w:val="20"/>
          <w:szCs w:val="20"/>
          <w:u w:val="single"/>
        </w:rPr>
      </w:pPr>
      <w:r w:rsidRPr="00B963A6">
        <w:rPr>
          <w:rFonts w:ascii="Helvetica" w:hAnsi="Helvetica" w:cs="Helvetica"/>
          <w:b/>
          <w:bCs/>
          <w:sz w:val="20"/>
          <w:szCs w:val="20"/>
          <w:u w:val="single"/>
        </w:rPr>
        <w:t xml:space="preserve">Deputizing employees and </w:t>
      </w:r>
      <w:r w:rsidR="00413CE2" w:rsidRPr="00B963A6">
        <w:rPr>
          <w:rFonts w:ascii="Helvetica" w:hAnsi="Helvetica" w:cs="Helvetica"/>
          <w:b/>
          <w:bCs/>
          <w:sz w:val="20"/>
          <w:szCs w:val="20"/>
          <w:u w:val="single"/>
        </w:rPr>
        <w:t>consumers</w:t>
      </w:r>
      <w:r w:rsidRPr="00B963A6">
        <w:rPr>
          <w:rFonts w:ascii="Helvetica" w:hAnsi="Helvetica" w:cs="Helvetica"/>
          <w:b/>
          <w:bCs/>
          <w:sz w:val="20"/>
          <w:szCs w:val="20"/>
          <w:u w:val="single"/>
        </w:rPr>
        <w:t xml:space="preserve"> to bring forth claims of violations under the promise of a financial bounty</w:t>
      </w:r>
      <w:r w:rsidR="006476FC" w:rsidRPr="00B963A6">
        <w:rPr>
          <w:rFonts w:ascii="Helvetica" w:hAnsi="Helvetica" w:cs="Helvetica"/>
          <w:b/>
          <w:bCs/>
          <w:sz w:val="20"/>
          <w:szCs w:val="20"/>
          <w:u w:val="single"/>
        </w:rPr>
        <w:t xml:space="preserve"> causes more harm than good for a law that is rife with vagueness</w:t>
      </w:r>
    </w:p>
    <w:p w14:paraId="65BE5057" w14:textId="4C43460E" w:rsidR="005C47B6" w:rsidRDefault="00422BD5" w:rsidP="00B877A0">
      <w:pPr>
        <w:pStyle w:val="NoSpacing"/>
        <w:spacing w:after="240"/>
        <w:jc w:val="both"/>
        <w:rPr>
          <w:rFonts w:ascii="Helvetica" w:hAnsi="Helvetica" w:cs="Helvetica"/>
          <w:sz w:val="20"/>
          <w:szCs w:val="20"/>
        </w:rPr>
      </w:pPr>
      <w:r w:rsidRPr="005B0E4B">
        <w:rPr>
          <w:rFonts w:ascii="Helvetica" w:hAnsi="Helvetica" w:cs="Helvetica"/>
          <w:b/>
          <w:bCs/>
          <w:sz w:val="20"/>
          <w:szCs w:val="20"/>
        </w:rPr>
        <w:t>AB 2021</w:t>
      </w:r>
      <w:r>
        <w:rPr>
          <w:rFonts w:ascii="Helvetica" w:hAnsi="Helvetica" w:cs="Helvetica"/>
          <w:sz w:val="20"/>
          <w:szCs w:val="20"/>
        </w:rPr>
        <w:t xml:space="preserve"> seeks to enact a </w:t>
      </w:r>
      <w:r w:rsidR="006C2852">
        <w:rPr>
          <w:rFonts w:ascii="Helvetica" w:hAnsi="Helvetica" w:cs="Helvetica"/>
          <w:sz w:val="20"/>
          <w:szCs w:val="20"/>
        </w:rPr>
        <w:t xml:space="preserve">statute </w:t>
      </w:r>
      <w:r w:rsidR="006C2852" w:rsidRPr="00F45685">
        <w:rPr>
          <w:rFonts w:ascii="Helvetica" w:hAnsi="Helvetica" w:cs="Helvetica"/>
          <w:sz w:val="20"/>
          <w:szCs w:val="20"/>
        </w:rPr>
        <w:t>exclusively</w:t>
      </w:r>
      <w:r w:rsidR="00390D2D">
        <w:rPr>
          <w:rFonts w:ascii="Helvetica" w:hAnsi="Helvetica" w:cs="Helvetica"/>
          <w:sz w:val="20"/>
          <w:szCs w:val="20"/>
        </w:rPr>
        <w:t xml:space="preserve"> for</w:t>
      </w:r>
      <w:r w:rsidRPr="00F45685">
        <w:rPr>
          <w:rFonts w:ascii="Helvetica" w:hAnsi="Helvetica" w:cs="Helvetica"/>
          <w:sz w:val="20"/>
          <w:szCs w:val="20"/>
        </w:rPr>
        <w:t xml:space="preserve"> </w:t>
      </w:r>
      <w:r>
        <w:rPr>
          <w:rFonts w:ascii="Helvetica" w:hAnsi="Helvetica" w:cs="Helvetica"/>
          <w:sz w:val="20"/>
          <w:szCs w:val="20"/>
        </w:rPr>
        <w:t xml:space="preserve">reporting violations of </w:t>
      </w:r>
      <w:r w:rsidR="006C2852">
        <w:rPr>
          <w:rFonts w:ascii="Helvetica" w:hAnsi="Helvetica" w:cs="Helvetica"/>
          <w:sz w:val="20"/>
          <w:szCs w:val="20"/>
        </w:rPr>
        <w:t>the CCPA</w:t>
      </w:r>
      <w:r w:rsidR="006064D1">
        <w:rPr>
          <w:rFonts w:ascii="Helvetica" w:hAnsi="Helvetica" w:cs="Helvetica"/>
          <w:sz w:val="20"/>
          <w:szCs w:val="20"/>
        </w:rPr>
        <w:t>, a relatively new law that is</w:t>
      </w:r>
      <w:r w:rsidR="00EB64C6">
        <w:rPr>
          <w:rFonts w:ascii="Helvetica" w:hAnsi="Helvetica" w:cs="Helvetica"/>
          <w:sz w:val="20"/>
          <w:szCs w:val="20"/>
        </w:rPr>
        <w:t xml:space="preserve"> </w:t>
      </w:r>
      <w:r w:rsidR="006064D1">
        <w:rPr>
          <w:rFonts w:ascii="Helvetica" w:hAnsi="Helvetica" w:cs="Helvetica"/>
          <w:sz w:val="20"/>
          <w:szCs w:val="20"/>
        </w:rPr>
        <w:t>rife with vagueness</w:t>
      </w:r>
      <w:r w:rsidR="00EB64C6">
        <w:rPr>
          <w:rFonts w:ascii="Helvetica" w:hAnsi="Helvetica" w:cs="Helvetica"/>
          <w:sz w:val="20"/>
          <w:szCs w:val="20"/>
        </w:rPr>
        <w:t xml:space="preserve"> </w:t>
      </w:r>
      <w:r w:rsidR="005C47B6">
        <w:rPr>
          <w:rFonts w:ascii="Helvetica" w:hAnsi="Helvetica" w:cs="Helvetica"/>
          <w:sz w:val="20"/>
          <w:szCs w:val="20"/>
        </w:rPr>
        <w:t>and heavily dependent</w:t>
      </w:r>
      <w:r w:rsidR="00EB64C6">
        <w:rPr>
          <w:rFonts w:ascii="Helvetica" w:hAnsi="Helvetica" w:cs="Helvetica"/>
          <w:sz w:val="20"/>
          <w:szCs w:val="20"/>
        </w:rPr>
        <w:t xml:space="preserve"> on implementing regulations to give it meaning</w:t>
      </w:r>
      <w:r>
        <w:rPr>
          <w:rFonts w:ascii="Helvetica" w:hAnsi="Helvetica" w:cs="Helvetica"/>
          <w:sz w:val="20"/>
          <w:szCs w:val="20"/>
        </w:rPr>
        <w:t>.</w:t>
      </w:r>
      <w:r w:rsidR="00BF68FD">
        <w:rPr>
          <w:rFonts w:ascii="Helvetica" w:hAnsi="Helvetica" w:cs="Helvetica"/>
          <w:sz w:val="20"/>
          <w:szCs w:val="20"/>
        </w:rPr>
        <w:t xml:space="preserve"> </w:t>
      </w:r>
    </w:p>
    <w:p w14:paraId="776940D1" w14:textId="77777777" w:rsidR="00705885" w:rsidRDefault="005C47B6" w:rsidP="00B877A0">
      <w:pPr>
        <w:pStyle w:val="NoSpacing"/>
        <w:spacing w:after="240"/>
        <w:jc w:val="both"/>
        <w:rPr>
          <w:rFonts w:ascii="Helvetica" w:hAnsi="Helvetica" w:cs="Helvetica"/>
          <w:sz w:val="20"/>
          <w:szCs w:val="20"/>
        </w:rPr>
      </w:pPr>
      <w:r>
        <w:rPr>
          <w:rFonts w:ascii="Helvetica" w:hAnsi="Helvetica" w:cs="Helvetica"/>
          <w:sz w:val="20"/>
          <w:szCs w:val="20"/>
        </w:rPr>
        <w:t>To illustrate this point, s</w:t>
      </w:r>
      <w:r w:rsidR="00B05D22">
        <w:rPr>
          <w:rFonts w:ascii="Helvetica" w:hAnsi="Helvetica" w:cs="Helvetica"/>
          <w:sz w:val="20"/>
          <w:szCs w:val="20"/>
        </w:rPr>
        <w:t>everal</w:t>
      </w:r>
      <w:r>
        <w:rPr>
          <w:rFonts w:ascii="Helvetica" w:hAnsi="Helvetica" w:cs="Helvetica"/>
          <w:sz w:val="20"/>
          <w:szCs w:val="20"/>
        </w:rPr>
        <w:t xml:space="preserve"> CCPA</w:t>
      </w:r>
      <w:r w:rsidR="00B05D22">
        <w:rPr>
          <w:rFonts w:ascii="Helvetica" w:hAnsi="Helvetica" w:cs="Helvetica"/>
          <w:sz w:val="20"/>
          <w:szCs w:val="20"/>
        </w:rPr>
        <w:t xml:space="preserve"> rights are </w:t>
      </w:r>
      <w:r w:rsidR="001E5CC6">
        <w:rPr>
          <w:rFonts w:ascii="Helvetica" w:hAnsi="Helvetica" w:cs="Helvetica"/>
          <w:sz w:val="20"/>
          <w:szCs w:val="20"/>
        </w:rPr>
        <w:t xml:space="preserve">based on </w:t>
      </w:r>
      <w:r w:rsidR="002D3FAF">
        <w:rPr>
          <w:rFonts w:ascii="Helvetica" w:hAnsi="Helvetica" w:cs="Helvetica"/>
          <w:sz w:val="20"/>
          <w:szCs w:val="20"/>
        </w:rPr>
        <w:t xml:space="preserve">“reasonable expectations” </w:t>
      </w:r>
      <w:r w:rsidR="00221625">
        <w:rPr>
          <w:rFonts w:ascii="Helvetica" w:hAnsi="Helvetica" w:cs="Helvetica"/>
          <w:sz w:val="20"/>
          <w:szCs w:val="20"/>
        </w:rPr>
        <w:t>o</w:t>
      </w:r>
      <w:r w:rsidR="001E5CC6">
        <w:rPr>
          <w:rFonts w:ascii="Helvetica" w:hAnsi="Helvetica" w:cs="Helvetica"/>
          <w:sz w:val="20"/>
          <w:szCs w:val="20"/>
        </w:rPr>
        <w:t>f “</w:t>
      </w:r>
      <w:r w:rsidR="00B246C0">
        <w:rPr>
          <w:rFonts w:ascii="Helvetica" w:hAnsi="Helvetica" w:cs="Helvetica"/>
          <w:sz w:val="20"/>
          <w:szCs w:val="20"/>
        </w:rPr>
        <w:t xml:space="preserve">an </w:t>
      </w:r>
      <w:r w:rsidR="001E5CC6">
        <w:rPr>
          <w:rFonts w:ascii="Helvetica" w:hAnsi="Helvetica" w:cs="Helvetica"/>
          <w:sz w:val="20"/>
          <w:szCs w:val="20"/>
        </w:rPr>
        <w:t>average consumer”</w:t>
      </w:r>
      <w:r w:rsidR="00221625">
        <w:rPr>
          <w:rFonts w:ascii="Helvetica" w:hAnsi="Helvetica" w:cs="Helvetica"/>
          <w:sz w:val="20"/>
          <w:szCs w:val="20"/>
        </w:rPr>
        <w:t xml:space="preserve"> or the “reasonable anticipations</w:t>
      </w:r>
      <w:r w:rsidR="00B246C0">
        <w:rPr>
          <w:rFonts w:ascii="Helvetica" w:hAnsi="Helvetica" w:cs="Helvetica"/>
          <w:sz w:val="20"/>
          <w:szCs w:val="20"/>
        </w:rPr>
        <w:t>” of “the consumer”</w:t>
      </w:r>
      <w:r w:rsidR="00CF2F97">
        <w:rPr>
          <w:rFonts w:ascii="Helvetica" w:hAnsi="Helvetica" w:cs="Helvetica"/>
          <w:sz w:val="20"/>
          <w:szCs w:val="20"/>
        </w:rPr>
        <w:t xml:space="preserve">, as is one of the thresholds determining if a business is </w:t>
      </w:r>
      <w:r w:rsidR="00B246C0">
        <w:rPr>
          <w:rFonts w:ascii="Helvetica" w:hAnsi="Helvetica" w:cs="Helvetica"/>
          <w:sz w:val="20"/>
          <w:szCs w:val="20"/>
        </w:rPr>
        <w:t xml:space="preserve">even </w:t>
      </w:r>
      <w:r w:rsidR="00CF2F97">
        <w:rPr>
          <w:rFonts w:ascii="Helvetica" w:hAnsi="Helvetica" w:cs="Helvetica"/>
          <w:sz w:val="20"/>
          <w:szCs w:val="20"/>
        </w:rPr>
        <w:t>subject to the CCPA.</w:t>
      </w:r>
      <w:r w:rsidR="00BE0A46">
        <w:rPr>
          <w:rFonts w:ascii="Helvetica" w:hAnsi="Helvetica" w:cs="Helvetica"/>
          <w:sz w:val="20"/>
          <w:szCs w:val="20"/>
        </w:rPr>
        <w:t xml:space="preserve">  </w:t>
      </w:r>
      <w:r w:rsidR="00705885">
        <w:rPr>
          <w:rFonts w:ascii="Helvetica" w:hAnsi="Helvetica" w:cs="Helvetica"/>
          <w:sz w:val="20"/>
          <w:szCs w:val="20"/>
        </w:rPr>
        <w:t xml:space="preserve">For example: </w:t>
      </w:r>
      <w:r w:rsidR="00BE0A46">
        <w:rPr>
          <w:rFonts w:ascii="Helvetica" w:hAnsi="Helvetica" w:cs="Helvetica"/>
          <w:sz w:val="20"/>
          <w:szCs w:val="20"/>
        </w:rPr>
        <w:t xml:space="preserve"> </w:t>
      </w:r>
    </w:p>
    <w:p w14:paraId="0FE4D630" w14:textId="6FDA8FA9" w:rsidR="00705885" w:rsidRDefault="00705885" w:rsidP="00705885">
      <w:pPr>
        <w:pStyle w:val="NoSpacing"/>
        <w:numPr>
          <w:ilvl w:val="0"/>
          <w:numId w:val="5"/>
        </w:numPr>
        <w:spacing w:after="240"/>
        <w:jc w:val="both"/>
        <w:rPr>
          <w:rFonts w:ascii="Helvetica" w:hAnsi="Helvetica" w:cs="Helvetica"/>
          <w:sz w:val="20"/>
          <w:szCs w:val="20"/>
        </w:rPr>
      </w:pPr>
      <w:r>
        <w:rPr>
          <w:rFonts w:ascii="Helvetica" w:hAnsi="Helvetica" w:cs="Helvetica"/>
          <w:sz w:val="20"/>
          <w:szCs w:val="20"/>
        </w:rPr>
        <w:t>C</w:t>
      </w:r>
      <w:r w:rsidR="00CF2F97">
        <w:rPr>
          <w:rFonts w:ascii="Helvetica" w:hAnsi="Helvetica" w:cs="Helvetica"/>
          <w:sz w:val="20"/>
          <w:szCs w:val="20"/>
        </w:rPr>
        <w:t>iv. Code Sec. 1798.121</w:t>
      </w:r>
      <w:r w:rsidR="003D6925">
        <w:rPr>
          <w:rFonts w:ascii="Helvetica" w:hAnsi="Helvetica" w:cs="Helvetica"/>
          <w:sz w:val="20"/>
          <w:szCs w:val="20"/>
        </w:rPr>
        <w:t>(a) grant</w:t>
      </w:r>
      <w:r w:rsidR="00BE0A46">
        <w:rPr>
          <w:rFonts w:ascii="Helvetica" w:hAnsi="Helvetica" w:cs="Helvetica"/>
          <w:sz w:val="20"/>
          <w:szCs w:val="20"/>
        </w:rPr>
        <w:t>s</w:t>
      </w:r>
      <w:r w:rsidR="003D6925">
        <w:rPr>
          <w:rFonts w:ascii="Helvetica" w:hAnsi="Helvetica" w:cs="Helvetica"/>
          <w:sz w:val="20"/>
          <w:szCs w:val="20"/>
        </w:rPr>
        <w:t xml:space="preserve"> a consumer the right to direct a business that collects PI to limit the use of </w:t>
      </w:r>
      <w:r w:rsidR="008E7AFE">
        <w:rPr>
          <w:rFonts w:ascii="Helvetica" w:hAnsi="Helvetica" w:cs="Helvetica"/>
          <w:sz w:val="20"/>
          <w:szCs w:val="20"/>
        </w:rPr>
        <w:t>the consumers’ sensitive PI to that use which is necessary to perform the services or provide the goods “reasonably expected” by “an average consumer”</w:t>
      </w:r>
      <w:r>
        <w:rPr>
          <w:rFonts w:ascii="Helvetica" w:hAnsi="Helvetica" w:cs="Helvetica"/>
          <w:sz w:val="20"/>
          <w:szCs w:val="20"/>
        </w:rPr>
        <w:t>.</w:t>
      </w:r>
    </w:p>
    <w:p w14:paraId="6D0D4A7B" w14:textId="77777777" w:rsidR="00ED1274" w:rsidRDefault="00705885" w:rsidP="00705885">
      <w:pPr>
        <w:pStyle w:val="NoSpacing"/>
        <w:numPr>
          <w:ilvl w:val="0"/>
          <w:numId w:val="5"/>
        </w:numPr>
        <w:spacing w:after="240"/>
        <w:jc w:val="both"/>
        <w:rPr>
          <w:rFonts w:ascii="Helvetica" w:hAnsi="Helvetica" w:cs="Helvetica"/>
          <w:sz w:val="20"/>
          <w:szCs w:val="20"/>
        </w:rPr>
      </w:pPr>
      <w:r>
        <w:rPr>
          <w:rFonts w:ascii="Helvetica" w:hAnsi="Helvetica" w:cs="Helvetica"/>
          <w:sz w:val="20"/>
          <w:szCs w:val="20"/>
        </w:rPr>
        <w:t xml:space="preserve">Civ. Code Sec. </w:t>
      </w:r>
      <w:r w:rsidR="00D5687F">
        <w:rPr>
          <w:rFonts w:ascii="Helvetica" w:hAnsi="Helvetica" w:cs="Helvetica"/>
          <w:sz w:val="20"/>
          <w:szCs w:val="20"/>
        </w:rPr>
        <w:t>1798.105</w:t>
      </w:r>
      <w:r w:rsidR="009D4BB2">
        <w:rPr>
          <w:rFonts w:ascii="Helvetica" w:hAnsi="Helvetica" w:cs="Helvetica"/>
          <w:sz w:val="20"/>
          <w:szCs w:val="20"/>
        </w:rPr>
        <w:t>(d)(1)</w:t>
      </w:r>
      <w:r w:rsidR="00D5687F">
        <w:rPr>
          <w:rFonts w:ascii="Helvetica" w:hAnsi="Helvetica" w:cs="Helvetica"/>
          <w:sz w:val="20"/>
          <w:szCs w:val="20"/>
        </w:rPr>
        <w:t xml:space="preserve"> </w:t>
      </w:r>
      <w:r w:rsidR="00BE0A46">
        <w:rPr>
          <w:rFonts w:ascii="Helvetica" w:hAnsi="Helvetica" w:cs="Helvetica"/>
          <w:sz w:val="20"/>
          <w:szCs w:val="20"/>
        </w:rPr>
        <w:t>details</w:t>
      </w:r>
      <w:r w:rsidR="00D5687F">
        <w:rPr>
          <w:rFonts w:ascii="Helvetica" w:hAnsi="Helvetica" w:cs="Helvetica"/>
          <w:sz w:val="20"/>
          <w:szCs w:val="20"/>
        </w:rPr>
        <w:t xml:space="preserve"> t</w:t>
      </w:r>
      <w:r>
        <w:rPr>
          <w:rFonts w:ascii="Helvetica" w:hAnsi="Helvetica" w:cs="Helvetica"/>
          <w:sz w:val="20"/>
          <w:szCs w:val="20"/>
        </w:rPr>
        <w:t>hat t</w:t>
      </w:r>
      <w:r w:rsidR="00D5687F">
        <w:rPr>
          <w:rFonts w:ascii="Helvetica" w:hAnsi="Helvetica" w:cs="Helvetica"/>
          <w:sz w:val="20"/>
          <w:szCs w:val="20"/>
        </w:rPr>
        <w:t xml:space="preserve">he right of deletion </w:t>
      </w:r>
      <w:r>
        <w:rPr>
          <w:rFonts w:ascii="Helvetica" w:hAnsi="Helvetica" w:cs="Helvetica"/>
          <w:i/>
          <w:iCs/>
          <w:sz w:val="20"/>
          <w:szCs w:val="20"/>
        </w:rPr>
        <w:t>does</w:t>
      </w:r>
      <w:r w:rsidR="00143C11" w:rsidRPr="00BE0A46">
        <w:rPr>
          <w:rFonts w:ascii="Helvetica" w:hAnsi="Helvetica" w:cs="Helvetica"/>
          <w:i/>
          <w:iCs/>
          <w:sz w:val="20"/>
          <w:szCs w:val="20"/>
        </w:rPr>
        <w:t xml:space="preserve"> not apply</w:t>
      </w:r>
      <w:r w:rsidR="00143C11">
        <w:rPr>
          <w:rFonts w:ascii="Helvetica" w:hAnsi="Helvetica" w:cs="Helvetica"/>
          <w:sz w:val="20"/>
          <w:szCs w:val="20"/>
        </w:rPr>
        <w:t xml:space="preserve"> to information needed to complete a transaction for which the PI was collected, </w:t>
      </w:r>
      <w:r w:rsidR="00ED1274">
        <w:rPr>
          <w:rFonts w:ascii="Helvetica" w:hAnsi="Helvetica" w:cs="Helvetica"/>
          <w:sz w:val="20"/>
          <w:szCs w:val="20"/>
        </w:rPr>
        <w:t xml:space="preserve">to </w:t>
      </w:r>
      <w:r w:rsidR="00143C11">
        <w:rPr>
          <w:rFonts w:ascii="Helvetica" w:hAnsi="Helvetica" w:cs="Helvetica"/>
          <w:sz w:val="20"/>
          <w:szCs w:val="20"/>
        </w:rPr>
        <w:t xml:space="preserve">fulfill the terms of a warranty or product recall “conducted in accordance with federal law”, </w:t>
      </w:r>
      <w:r w:rsidR="00ED1274">
        <w:rPr>
          <w:rFonts w:ascii="Helvetica" w:hAnsi="Helvetica" w:cs="Helvetica"/>
          <w:sz w:val="20"/>
          <w:szCs w:val="20"/>
        </w:rPr>
        <w:t xml:space="preserve">or to </w:t>
      </w:r>
      <w:r w:rsidR="00143C11">
        <w:rPr>
          <w:rFonts w:ascii="Helvetica" w:hAnsi="Helvetica" w:cs="Helvetica"/>
          <w:sz w:val="20"/>
          <w:szCs w:val="20"/>
        </w:rPr>
        <w:t>provide a good or service either requested by the consumer or “</w:t>
      </w:r>
      <w:r w:rsidR="001D510D">
        <w:rPr>
          <w:rFonts w:ascii="Helvetica" w:hAnsi="Helvetica" w:cs="Helvetica"/>
          <w:sz w:val="20"/>
          <w:szCs w:val="20"/>
        </w:rPr>
        <w:t>reasonably</w:t>
      </w:r>
      <w:r w:rsidR="00143C11">
        <w:rPr>
          <w:rFonts w:ascii="Helvetica" w:hAnsi="Helvetica" w:cs="Helvetica"/>
          <w:sz w:val="20"/>
          <w:szCs w:val="20"/>
        </w:rPr>
        <w:t xml:space="preserve"> anticipated by the consumer”</w:t>
      </w:r>
      <w:r w:rsidR="001D510D">
        <w:rPr>
          <w:rFonts w:ascii="Helvetica" w:hAnsi="Helvetica" w:cs="Helvetica"/>
          <w:sz w:val="20"/>
          <w:szCs w:val="20"/>
        </w:rPr>
        <w:t xml:space="preserve"> “within the context of a business’ ongoing relationship with the consumer”</w:t>
      </w:r>
      <w:r w:rsidR="00ED1274">
        <w:rPr>
          <w:rFonts w:ascii="Helvetica" w:hAnsi="Helvetica" w:cs="Helvetica"/>
          <w:sz w:val="20"/>
          <w:szCs w:val="20"/>
        </w:rPr>
        <w:t xml:space="preserve">. </w:t>
      </w:r>
    </w:p>
    <w:p w14:paraId="406D8015" w14:textId="5BF79208" w:rsidR="00D16199" w:rsidRPr="00C05EE0" w:rsidRDefault="00ED1274" w:rsidP="00705885">
      <w:pPr>
        <w:pStyle w:val="NoSpacing"/>
        <w:numPr>
          <w:ilvl w:val="0"/>
          <w:numId w:val="5"/>
        </w:numPr>
        <w:spacing w:after="240"/>
        <w:jc w:val="both"/>
        <w:rPr>
          <w:rFonts w:ascii="Helvetica" w:hAnsi="Helvetica" w:cs="Helvetica"/>
          <w:sz w:val="20"/>
          <w:szCs w:val="20"/>
        </w:rPr>
      </w:pPr>
      <w:r w:rsidRPr="00C05EE0">
        <w:rPr>
          <w:rFonts w:ascii="Helvetica" w:hAnsi="Helvetica" w:cs="Helvetica"/>
          <w:sz w:val="20"/>
          <w:szCs w:val="20"/>
        </w:rPr>
        <w:t xml:space="preserve">Civ. Code Sec. </w:t>
      </w:r>
      <w:r w:rsidR="00960576" w:rsidRPr="00C05EE0">
        <w:rPr>
          <w:rFonts w:ascii="Helvetica" w:hAnsi="Helvetica" w:cs="Helvetica"/>
          <w:sz w:val="20"/>
          <w:szCs w:val="20"/>
        </w:rPr>
        <w:t>1798.140(d)</w:t>
      </w:r>
      <w:r w:rsidR="00FC156F" w:rsidRPr="00C05EE0">
        <w:rPr>
          <w:rFonts w:ascii="Helvetica" w:hAnsi="Helvetica" w:cs="Helvetica"/>
          <w:sz w:val="20"/>
          <w:szCs w:val="20"/>
        </w:rPr>
        <w:t xml:space="preserve">(2) </w:t>
      </w:r>
      <w:r w:rsidRPr="00C05EE0">
        <w:rPr>
          <w:rFonts w:ascii="Helvetica" w:hAnsi="Helvetica" w:cs="Helvetica"/>
          <w:sz w:val="20"/>
          <w:szCs w:val="20"/>
        </w:rPr>
        <w:t xml:space="preserve">expands application of the CCPA to </w:t>
      </w:r>
      <w:r w:rsidR="00FC156F" w:rsidRPr="00C05EE0">
        <w:rPr>
          <w:rFonts w:ascii="Helvetica" w:hAnsi="Helvetica" w:cs="Helvetica"/>
          <w:sz w:val="20"/>
          <w:szCs w:val="20"/>
        </w:rPr>
        <w:t xml:space="preserve">any entity that controls or is controlled by a business that meets one of the </w:t>
      </w:r>
      <w:r w:rsidR="00D16199" w:rsidRPr="00C05EE0">
        <w:rPr>
          <w:rFonts w:ascii="Helvetica" w:hAnsi="Helvetica" w:cs="Helvetica"/>
          <w:sz w:val="20"/>
          <w:szCs w:val="20"/>
        </w:rPr>
        <w:t>threshold</w:t>
      </w:r>
      <w:r w:rsidR="00456A6B" w:rsidRPr="00C05EE0">
        <w:rPr>
          <w:rFonts w:ascii="Helvetica" w:hAnsi="Helvetica" w:cs="Helvetica"/>
          <w:sz w:val="20"/>
          <w:szCs w:val="20"/>
        </w:rPr>
        <w:t xml:space="preserve"> </w:t>
      </w:r>
      <w:r w:rsidR="00D16199" w:rsidRPr="00C05EE0">
        <w:rPr>
          <w:rFonts w:ascii="Helvetica" w:hAnsi="Helvetica" w:cs="Helvetica"/>
          <w:sz w:val="20"/>
          <w:szCs w:val="20"/>
        </w:rPr>
        <w:t>determining</w:t>
      </w:r>
      <w:r w:rsidR="00456A6B" w:rsidRPr="00C05EE0">
        <w:rPr>
          <w:rFonts w:ascii="Helvetica" w:hAnsi="Helvetica" w:cs="Helvetica"/>
          <w:sz w:val="20"/>
          <w:szCs w:val="20"/>
        </w:rPr>
        <w:t xml:space="preserve"> if a business is subject </w:t>
      </w:r>
      <w:r w:rsidR="00D16199" w:rsidRPr="00C05EE0">
        <w:rPr>
          <w:rFonts w:ascii="Helvetica" w:hAnsi="Helvetica" w:cs="Helvetica"/>
          <w:sz w:val="20"/>
          <w:szCs w:val="20"/>
        </w:rPr>
        <w:t xml:space="preserve">to </w:t>
      </w:r>
      <w:r w:rsidR="00456A6B" w:rsidRPr="00C05EE0">
        <w:rPr>
          <w:rFonts w:ascii="Helvetica" w:hAnsi="Helvetica" w:cs="Helvetica"/>
          <w:sz w:val="20"/>
          <w:szCs w:val="20"/>
        </w:rPr>
        <w:t>the CCPA if it shares common branding with the business and with whom the business shares consumer</w:t>
      </w:r>
      <w:r w:rsidR="00934F83" w:rsidRPr="00C05EE0">
        <w:rPr>
          <w:rFonts w:ascii="Helvetica" w:hAnsi="Helvetica" w:cs="Helvetica"/>
          <w:sz w:val="20"/>
          <w:szCs w:val="20"/>
        </w:rPr>
        <w:t>s’ PI, where common branding is a shared name, service mark or trademark that “the average consumer” would un</w:t>
      </w:r>
      <w:r w:rsidR="00D16199" w:rsidRPr="00C05EE0">
        <w:rPr>
          <w:rFonts w:ascii="Helvetica" w:hAnsi="Helvetica" w:cs="Helvetica"/>
          <w:sz w:val="20"/>
          <w:szCs w:val="20"/>
        </w:rPr>
        <w:t>de</w:t>
      </w:r>
      <w:r w:rsidR="00934F83" w:rsidRPr="00C05EE0">
        <w:rPr>
          <w:rFonts w:ascii="Helvetica" w:hAnsi="Helvetica" w:cs="Helvetica"/>
          <w:sz w:val="20"/>
          <w:szCs w:val="20"/>
        </w:rPr>
        <w:t>r</w:t>
      </w:r>
      <w:r w:rsidR="00D16199" w:rsidRPr="00C05EE0">
        <w:rPr>
          <w:rFonts w:ascii="Helvetica" w:hAnsi="Helvetica" w:cs="Helvetica"/>
          <w:sz w:val="20"/>
          <w:szCs w:val="20"/>
        </w:rPr>
        <w:t>s</w:t>
      </w:r>
      <w:r w:rsidR="00934F83" w:rsidRPr="00C05EE0">
        <w:rPr>
          <w:rFonts w:ascii="Helvetica" w:hAnsi="Helvetica" w:cs="Helvetica"/>
          <w:sz w:val="20"/>
          <w:szCs w:val="20"/>
        </w:rPr>
        <w:t xml:space="preserve">tand that two or more entities are commonly owned. </w:t>
      </w:r>
    </w:p>
    <w:p w14:paraId="49E2FF3D" w14:textId="3583A7B0" w:rsidR="00D42223" w:rsidRDefault="00B877A0" w:rsidP="00B877A0">
      <w:pPr>
        <w:pStyle w:val="NoSpacing"/>
        <w:spacing w:after="240"/>
        <w:jc w:val="both"/>
        <w:rPr>
          <w:rFonts w:ascii="Helvetica" w:hAnsi="Helvetica" w:cs="Helvetica"/>
          <w:sz w:val="20"/>
          <w:szCs w:val="20"/>
        </w:rPr>
      </w:pPr>
      <w:r w:rsidRPr="00C05EE0">
        <w:rPr>
          <w:rFonts w:ascii="Helvetica" w:hAnsi="Helvetica" w:cs="Helvetica"/>
          <w:sz w:val="20"/>
          <w:szCs w:val="20"/>
        </w:rPr>
        <w:t xml:space="preserve">Creating </w:t>
      </w:r>
      <w:r w:rsidR="00ED1274" w:rsidRPr="00C05EE0">
        <w:rPr>
          <w:rFonts w:ascii="Helvetica" w:hAnsi="Helvetica" w:cs="Helvetica"/>
          <w:sz w:val="20"/>
          <w:szCs w:val="20"/>
        </w:rPr>
        <w:t xml:space="preserve">a </w:t>
      </w:r>
      <w:r w:rsidRPr="00C05EE0">
        <w:rPr>
          <w:rFonts w:ascii="Helvetica" w:hAnsi="Helvetica" w:cs="Helvetica"/>
          <w:sz w:val="20"/>
          <w:szCs w:val="20"/>
        </w:rPr>
        <w:t xml:space="preserve">special, one-off </w:t>
      </w:r>
      <w:r w:rsidR="00570A33" w:rsidRPr="00C05EE0">
        <w:rPr>
          <w:rFonts w:ascii="Helvetica" w:hAnsi="Helvetica" w:cs="Helvetica"/>
          <w:sz w:val="20"/>
          <w:szCs w:val="20"/>
        </w:rPr>
        <w:t xml:space="preserve">whistleblower statute for </w:t>
      </w:r>
      <w:r w:rsidR="006C2852" w:rsidRPr="00C05EE0">
        <w:rPr>
          <w:rFonts w:ascii="Helvetica" w:hAnsi="Helvetica" w:cs="Helvetica"/>
          <w:sz w:val="20"/>
          <w:szCs w:val="20"/>
        </w:rPr>
        <w:t>a single</w:t>
      </w:r>
      <w:r w:rsidR="00570A33" w:rsidRPr="00C05EE0">
        <w:rPr>
          <w:rFonts w:ascii="Helvetica" w:hAnsi="Helvetica" w:cs="Helvetica"/>
          <w:sz w:val="20"/>
          <w:szCs w:val="20"/>
        </w:rPr>
        <w:t xml:space="preserve"> </w:t>
      </w:r>
      <w:r w:rsidR="00561E03" w:rsidRPr="00C05EE0">
        <w:rPr>
          <w:rFonts w:ascii="Helvetica" w:hAnsi="Helvetica" w:cs="Helvetica"/>
          <w:sz w:val="20"/>
          <w:szCs w:val="20"/>
        </w:rPr>
        <w:t>law</w:t>
      </w:r>
      <w:r w:rsidR="00AD4E84" w:rsidRPr="00C05EE0">
        <w:rPr>
          <w:rFonts w:ascii="Helvetica" w:hAnsi="Helvetica" w:cs="Helvetica"/>
          <w:sz w:val="20"/>
          <w:szCs w:val="20"/>
        </w:rPr>
        <w:t xml:space="preserve"> pertaining to personal rights</w:t>
      </w:r>
      <w:r w:rsidR="00ED1274" w:rsidRPr="00C05EE0">
        <w:rPr>
          <w:rFonts w:ascii="Helvetica" w:hAnsi="Helvetica" w:cs="Helvetica"/>
          <w:sz w:val="20"/>
          <w:szCs w:val="20"/>
        </w:rPr>
        <w:t xml:space="preserve"> </w:t>
      </w:r>
      <w:r w:rsidRPr="00C05EE0">
        <w:rPr>
          <w:rFonts w:ascii="Helvetica" w:hAnsi="Helvetica" w:cs="Helvetica"/>
          <w:sz w:val="20"/>
          <w:szCs w:val="20"/>
        </w:rPr>
        <w:t xml:space="preserve">not only sets a poor </w:t>
      </w:r>
      <w:r w:rsidR="00F4008C" w:rsidRPr="00C05EE0">
        <w:rPr>
          <w:rFonts w:ascii="Helvetica" w:hAnsi="Helvetica" w:cs="Helvetica"/>
          <w:sz w:val="20"/>
          <w:szCs w:val="20"/>
        </w:rPr>
        <w:t>precedent but</w:t>
      </w:r>
      <w:r w:rsidRPr="00C05EE0">
        <w:rPr>
          <w:rFonts w:ascii="Helvetica" w:hAnsi="Helvetica" w:cs="Helvetica"/>
          <w:sz w:val="20"/>
          <w:szCs w:val="20"/>
        </w:rPr>
        <w:t xml:space="preserve"> also risks confusion</w:t>
      </w:r>
      <w:r w:rsidR="00570A33" w:rsidRPr="00C05EE0">
        <w:rPr>
          <w:rFonts w:ascii="Helvetica" w:hAnsi="Helvetica" w:cs="Helvetica"/>
          <w:sz w:val="20"/>
          <w:szCs w:val="20"/>
        </w:rPr>
        <w:t xml:space="preserve"> and frustration</w:t>
      </w:r>
      <w:r w:rsidR="00F025C4" w:rsidRPr="00C05EE0">
        <w:rPr>
          <w:rFonts w:ascii="Helvetica" w:hAnsi="Helvetica" w:cs="Helvetica"/>
          <w:sz w:val="20"/>
          <w:szCs w:val="20"/>
        </w:rPr>
        <w:t>. Con</w:t>
      </w:r>
      <w:r w:rsidR="00C319B1" w:rsidRPr="00C05EE0">
        <w:rPr>
          <w:rFonts w:ascii="Helvetica" w:hAnsi="Helvetica" w:cs="Helvetica"/>
          <w:sz w:val="20"/>
          <w:szCs w:val="20"/>
        </w:rPr>
        <w:t xml:space="preserve">sumers and employees may </w:t>
      </w:r>
      <w:r w:rsidR="006A5DA1" w:rsidRPr="00C05EE0">
        <w:rPr>
          <w:rFonts w:ascii="Helvetica" w:hAnsi="Helvetica" w:cs="Helvetica"/>
          <w:sz w:val="20"/>
          <w:szCs w:val="20"/>
        </w:rPr>
        <w:t>not know</w:t>
      </w:r>
      <w:r w:rsidR="00C319B1" w:rsidRPr="00C05EE0">
        <w:rPr>
          <w:rFonts w:ascii="Helvetica" w:hAnsi="Helvetica" w:cs="Helvetica"/>
          <w:sz w:val="20"/>
          <w:szCs w:val="20"/>
        </w:rPr>
        <w:t xml:space="preserve"> which</w:t>
      </w:r>
      <w:r w:rsidR="00C319B1">
        <w:rPr>
          <w:rFonts w:ascii="Helvetica" w:hAnsi="Helvetica" w:cs="Helvetica"/>
          <w:sz w:val="20"/>
          <w:szCs w:val="20"/>
        </w:rPr>
        <w:t xml:space="preserve"> companies are “covered businesses”</w:t>
      </w:r>
      <w:r w:rsidR="00570A33">
        <w:rPr>
          <w:rFonts w:ascii="Helvetica" w:hAnsi="Helvetica" w:cs="Helvetica"/>
          <w:sz w:val="20"/>
          <w:szCs w:val="20"/>
        </w:rPr>
        <w:t xml:space="preserve"> for purposes of the CCPA</w:t>
      </w:r>
      <w:r w:rsidR="00F4008C">
        <w:rPr>
          <w:rFonts w:ascii="Helvetica" w:hAnsi="Helvetica" w:cs="Helvetica"/>
          <w:sz w:val="20"/>
          <w:szCs w:val="20"/>
        </w:rPr>
        <w:t xml:space="preserve"> </w:t>
      </w:r>
      <w:r w:rsidR="00F4008C" w:rsidRPr="00F4008C">
        <w:rPr>
          <w:rFonts w:ascii="Helvetica" w:hAnsi="Helvetica" w:cs="Helvetica"/>
          <w:sz w:val="20"/>
          <w:szCs w:val="20"/>
        </w:rPr>
        <w:t xml:space="preserve">or fully </w:t>
      </w:r>
      <w:r w:rsidR="00F025C4">
        <w:rPr>
          <w:rFonts w:ascii="Helvetica" w:hAnsi="Helvetica" w:cs="Helvetica"/>
          <w:sz w:val="20"/>
          <w:szCs w:val="20"/>
        </w:rPr>
        <w:t>understand</w:t>
      </w:r>
      <w:r w:rsidR="00F4008C" w:rsidRPr="00F4008C">
        <w:rPr>
          <w:rFonts w:ascii="Helvetica" w:hAnsi="Helvetica" w:cs="Helvetica"/>
          <w:sz w:val="20"/>
          <w:szCs w:val="20"/>
        </w:rPr>
        <w:t xml:space="preserve"> the nuances of the </w:t>
      </w:r>
      <w:r w:rsidR="00F4008C" w:rsidRPr="00F4008C">
        <w:rPr>
          <w:rFonts w:ascii="Helvetica" w:hAnsi="Helvetica" w:cs="Helvetica"/>
          <w:sz w:val="20"/>
          <w:szCs w:val="20"/>
        </w:rPr>
        <w:lastRenderedPageBreak/>
        <w:t>rights and exemptions built into this complex law</w:t>
      </w:r>
      <w:r w:rsidR="00095ECC">
        <w:rPr>
          <w:rFonts w:ascii="Helvetica" w:hAnsi="Helvetica" w:cs="Helvetica"/>
          <w:sz w:val="20"/>
          <w:szCs w:val="20"/>
        </w:rPr>
        <w:t xml:space="preserve">.  This confusion could very well lead to a flood of claims to the Agency under the </w:t>
      </w:r>
      <w:r w:rsidR="00D42164">
        <w:rPr>
          <w:rFonts w:ascii="Helvetica" w:hAnsi="Helvetica" w:cs="Helvetica"/>
          <w:sz w:val="20"/>
          <w:szCs w:val="20"/>
        </w:rPr>
        <w:t>enticing</w:t>
      </w:r>
      <w:r w:rsidR="00095ECC">
        <w:rPr>
          <w:rFonts w:ascii="Helvetica" w:hAnsi="Helvetica" w:cs="Helvetica"/>
          <w:sz w:val="20"/>
          <w:szCs w:val="20"/>
        </w:rPr>
        <w:t xml:space="preserve"> promise of a monetary reward, </w:t>
      </w:r>
      <w:r w:rsidR="00983E77">
        <w:rPr>
          <w:rFonts w:ascii="Helvetica" w:hAnsi="Helvetica" w:cs="Helvetica"/>
          <w:sz w:val="20"/>
          <w:szCs w:val="20"/>
        </w:rPr>
        <w:t xml:space="preserve">without any of </w:t>
      </w:r>
      <w:r w:rsidR="00D42164">
        <w:rPr>
          <w:rFonts w:ascii="Helvetica" w:hAnsi="Helvetica" w:cs="Helvetica"/>
          <w:sz w:val="20"/>
          <w:szCs w:val="20"/>
        </w:rPr>
        <w:t xml:space="preserve">procedural safeguards normally provided by courts against </w:t>
      </w:r>
      <w:r w:rsidR="008D0935">
        <w:rPr>
          <w:rFonts w:ascii="Helvetica" w:hAnsi="Helvetica" w:cs="Helvetica"/>
          <w:sz w:val="20"/>
          <w:szCs w:val="20"/>
        </w:rPr>
        <w:t xml:space="preserve">frivolous </w:t>
      </w:r>
      <w:r w:rsidR="00D42164">
        <w:rPr>
          <w:rFonts w:ascii="Helvetica" w:hAnsi="Helvetica" w:cs="Helvetica"/>
          <w:sz w:val="20"/>
          <w:szCs w:val="20"/>
        </w:rPr>
        <w:t xml:space="preserve">claims. </w:t>
      </w:r>
      <w:r w:rsidR="00983E77">
        <w:rPr>
          <w:rFonts w:ascii="Helvetica" w:hAnsi="Helvetica" w:cs="Helvetica"/>
          <w:sz w:val="20"/>
          <w:szCs w:val="20"/>
        </w:rPr>
        <w:t xml:space="preserve"> </w:t>
      </w:r>
      <w:r w:rsidR="00D42164">
        <w:rPr>
          <w:rFonts w:ascii="Helvetica" w:hAnsi="Helvetica" w:cs="Helvetica"/>
          <w:sz w:val="20"/>
          <w:szCs w:val="20"/>
        </w:rPr>
        <w:t xml:space="preserve"> </w:t>
      </w:r>
      <w:r w:rsidRPr="00B877A0">
        <w:rPr>
          <w:rFonts w:ascii="Helvetica" w:hAnsi="Helvetica" w:cs="Helvetica"/>
          <w:sz w:val="20"/>
          <w:szCs w:val="20"/>
        </w:rPr>
        <w:t xml:space="preserve"> </w:t>
      </w:r>
    </w:p>
    <w:p w14:paraId="28C1F9E0" w14:textId="2C04EF2A" w:rsidR="00B877A0" w:rsidRDefault="00A90C78" w:rsidP="00CF057D">
      <w:pPr>
        <w:pStyle w:val="NoSpacing"/>
        <w:spacing w:after="240"/>
        <w:jc w:val="both"/>
        <w:rPr>
          <w:rFonts w:ascii="Helvetica" w:hAnsi="Helvetica" w:cs="Helvetica"/>
          <w:sz w:val="20"/>
          <w:szCs w:val="20"/>
        </w:rPr>
      </w:pPr>
      <w:r>
        <w:rPr>
          <w:rFonts w:ascii="Helvetica" w:hAnsi="Helvetica" w:cs="Helvetica"/>
          <w:sz w:val="20"/>
          <w:szCs w:val="20"/>
        </w:rPr>
        <w:t>A</w:t>
      </w:r>
      <w:r w:rsidR="001C5EBC">
        <w:rPr>
          <w:rFonts w:ascii="Helvetica" w:hAnsi="Helvetica" w:cs="Helvetica"/>
          <w:sz w:val="20"/>
          <w:szCs w:val="20"/>
        </w:rPr>
        <w:t>gain, c</w:t>
      </w:r>
      <w:r w:rsidR="00B877A0" w:rsidRPr="00B877A0">
        <w:rPr>
          <w:rFonts w:ascii="Helvetica" w:hAnsi="Helvetica" w:cs="Helvetica"/>
          <w:sz w:val="20"/>
          <w:szCs w:val="20"/>
        </w:rPr>
        <w:t xml:space="preserve">urrent law covers whistleblowing activities associated with </w:t>
      </w:r>
      <w:r w:rsidR="006C2852">
        <w:rPr>
          <w:rFonts w:ascii="Helvetica" w:hAnsi="Helvetica" w:cs="Helvetica"/>
          <w:sz w:val="20"/>
          <w:szCs w:val="20"/>
        </w:rPr>
        <w:t>privacy violations under the CCPA</w:t>
      </w:r>
      <w:r w:rsidR="00B877A0" w:rsidRPr="00B877A0">
        <w:rPr>
          <w:rFonts w:ascii="Helvetica" w:hAnsi="Helvetica" w:cs="Helvetica"/>
          <w:sz w:val="20"/>
          <w:szCs w:val="20"/>
        </w:rPr>
        <w:t xml:space="preserve"> because there is a robust body of existing law that governs whistleblower protection covering employees who report violations of state/federal laws, rules, or regulations.</w:t>
      </w:r>
      <w:r w:rsidR="006C2852">
        <w:rPr>
          <w:rFonts w:ascii="Helvetica" w:hAnsi="Helvetica" w:cs="Helvetica"/>
          <w:sz w:val="20"/>
          <w:szCs w:val="20"/>
        </w:rPr>
        <w:t xml:space="preserve"> (</w:t>
      </w:r>
      <w:r w:rsidR="006C2852" w:rsidRPr="006C2852">
        <w:rPr>
          <w:rFonts w:ascii="Helvetica" w:hAnsi="Helvetica" w:cs="Helvetica"/>
          <w:i/>
          <w:iCs/>
          <w:sz w:val="20"/>
          <w:szCs w:val="20"/>
        </w:rPr>
        <w:t>See</w:t>
      </w:r>
      <w:r w:rsidR="006C2852">
        <w:rPr>
          <w:rFonts w:ascii="Helvetica" w:hAnsi="Helvetica" w:cs="Helvetica"/>
          <w:sz w:val="20"/>
          <w:szCs w:val="20"/>
        </w:rPr>
        <w:t xml:space="preserve"> Labor Code Section 1102.5.)</w:t>
      </w:r>
      <w:r w:rsidR="00B877A0" w:rsidRPr="00B877A0">
        <w:rPr>
          <w:rFonts w:ascii="Helvetica" w:hAnsi="Helvetica" w:cs="Helvetica"/>
          <w:sz w:val="20"/>
          <w:szCs w:val="20"/>
        </w:rPr>
        <w:t xml:space="preserve"> </w:t>
      </w:r>
      <w:r>
        <w:rPr>
          <w:rFonts w:ascii="Helvetica" w:hAnsi="Helvetica" w:cs="Helvetica"/>
          <w:sz w:val="20"/>
          <w:szCs w:val="20"/>
        </w:rPr>
        <w:t xml:space="preserve"> </w:t>
      </w:r>
      <w:r w:rsidR="00AF5C2D">
        <w:rPr>
          <w:rFonts w:ascii="Helvetica" w:hAnsi="Helvetica" w:cs="Helvetica"/>
          <w:sz w:val="20"/>
          <w:szCs w:val="20"/>
        </w:rPr>
        <w:t>W</w:t>
      </w:r>
      <w:r w:rsidR="00303575">
        <w:rPr>
          <w:rFonts w:ascii="Helvetica" w:hAnsi="Helvetica" w:cs="Helvetica"/>
          <w:sz w:val="20"/>
          <w:szCs w:val="20"/>
        </w:rPr>
        <w:t xml:space="preserve">hile existing laws may even allow courts to award damages to </w:t>
      </w:r>
      <w:r>
        <w:rPr>
          <w:rFonts w:ascii="Helvetica" w:hAnsi="Helvetica" w:cs="Helvetica"/>
          <w:sz w:val="20"/>
          <w:szCs w:val="20"/>
        </w:rPr>
        <w:t>whistleblower</w:t>
      </w:r>
      <w:r w:rsidR="00303575">
        <w:rPr>
          <w:rFonts w:ascii="Helvetica" w:hAnsi="Helvetica" w:cs="Helvetica"/>
          <w:sz w:val="20"/>
          <w:szCs w:val="20"/>
        </w:rPr>
        <w:t>s</w:t>
      </w:r>
      <w:r>
        <w:rPr>
          <w:rFonts w:ascii="Helvetica" w:hAnsi="Helvetica" w:cs="Helvetica"/>
          <w:sz w:val="20"/>
          <w:szCs w:val="20"/>
        </w:rPr>
        <w:t xml:space="preserve">, those awards are made under the discretion of a judge, not </w:t>
      </w:r>
      <w:r w:rsidR="00303575">
        <w:rPr>
          <w:rFonts w:ascii="Helvetica" w:hAnsi="Helvetica" w:cs="Helvetica"/>
          <w:sz w:val="20"/>
          <w:szCs w:val="20"/>
        </w:rPr>
        <w:t>offered up front</w:t>
      </w:r>
      <w:r w:rsidR="00DF4BEA">
        <w:rPr>
          <w:rFonts w:ascii="Helvetica" w:hAnsi="Helvetica" w:cs="Helvetica"/>
          <w:sz w:val="20"/>
          <w:szCs w:val="20"/>
        </w:rPr>
        <w:t xml:space="preserve"> as an incentive for employees to seek out </w:t>
      </w:r>
      <w:r w:rsidR="000272BC">
        <w:rPr>
          <w:rFonts w:ascii="Helvetica" w:hAnsi="Helvetica" w:cs="Helvetica"/>
          <w:sz w:val="20"/>
          <w:szCs w:val="20"/>
        </w:rPr>
        <w:t>potential violations</w:t>
      </w:r>
      <w:r w:rsidR="00D331EA">
        <w:rPr>
          <w:rFonts w:ascii="Helvetica" w:hAnsi="Helvetica" w:cs="Helvetica"/>
          <w:sz w:val="20"/>
          <w:szCs w:val="20"/>
        </w:rPr>
        <w:t xml:space="preserve"> </w:t>
      </w:r>
      <w:r w:rsidR="00DF4BEA">
        <w:rPr>
          <w:rFonts w:ascii="Helvetica" w:hAnsi="Helvetica" w:cs="Helvetica"/>
          <w:sz w:val="20"/>
          <w:szCs w:val="20"/>
        </w:rPr>
        <w:t xml:space="preserve">as </w:t>
      </w:r>
      <w:r w:rsidR="00D331EA">
        <w:rPr>
          <w:rFonts w:ascii="Helvetica" w:hAnsi="Helvetica" w:cs="Helvetica"/>
          <w:sz w:val="20"/>
          <w:szCs w:val="20"/>
        </w:rPr>
        <w:t xml:space="preserve">volunteer </w:t>
      </w:r>
      <w:r w:rsidR="00DF4BEA">
        <w:rPr>
          <w:rFonts w:ascii="Helvetica" w:hAnsi="Helvetica" w:cs="Helvetica"/>
          <w:sz w:val="20"/>
          <w:szCs w:val="20"/>
        </w:rPr>
        <w:t>“</w:t>
      </w:r>
      <w:r w:rsidR="00CF5F6F">
        <w:rPr>
          <w:rFonts w:ascii="Helvetica" w:hAnsi="Helvetica" w:cs="Helvetica"/>
          <w:sz w:val="20"/>
          <w:szCs w:val="20"/>
        </w:rPr>
        <w:t>bounty hunters</w:t>
      </w:r>
      <w:r w:rsidR="00DF4BEA">
        <w:rPr>
          <w:rFonts w:ascii="Helvetica" w:hAnsi="Helvetica" w:cs="Helvetica"/>
          <w:sz w:val="20"/>
          <w:szCs w:val="20"/>
        </w:rPr>
        <w:t>”</w:t>
      </w:r>
      <w:r w:rsidR="00CF5F6F">
        <w:rPr>
          <w:rFonts w:ascii="Helvetica" w:hAnsi="Helvetica" w:cs="Helvetica"/>
          <w:sz w:val="20"/>
          <w:szCs w:val="20"/>
        </w:rPr>
        <w:t xml:space="preserve"> for the Privacy Agency</w:t>
      </w:r>
      <w:r>
        <w:rPr>
          <w:rFonts w:ascii="Helvetica" w:hAnsi="Helvetica" w:cs="Helvetica"/>
          <w:sz w:val="20"/>
          <w:szCs w:val="20"/>
        </w:rPr>
        <w:t xml:space="preserve">. </w:t>
      </w:r>
      <w:r w:rsidR="00CF5F6F">
        <w:rPr>
          <w:rFonts w:ascii="Helvetica" w:hAnsi="Helvetica" w:cs="Helvetica"/>
          <w:sz w:val="20"/>
          <w:szCs w:val="20"/>
        </w:rPr>
        <w:t xml:space="preserve"> </w:t>
      </w:r>
      <w:r w:rsidR="00DF4BEA">
        <w:rPr>
          <w:rFonts w:ascii="Helvetica" w:hAnsi="Helvetica" w:cs="Helvetica"/>
          <w:b/>
          <w:bCs/>
          <w:caps/>
          <w:sz w:val="20"/>
          <w:szCs w:val="20"/>
        </w:rPr>
        <w:t xml:space="preserve">AB 2021 </w:t>
      </w:r>
      <w:r w:rsidR="00DF4BEA">
        <w:rPr>
          <w:rFonts w:ascii="Helvetica" w:hAnsi="Helvetica" w:cs="Helvetica"/>
          <w:sz w:val="20"/>
          <w:szCs w:val="20"/>
        </w:rPr>
        <w:t xml:space="preserve">therefore risks setting a poor and dangerous precedent inviting confusion among employees and </w:t>
      </w:r>
      <w:r w:rsidR="000272BC">
        <w:rPr>
          <w:rFonts w:ascii="Helvetica" w:hAnsi="Helvetica" w:cs="Helvetica"/>
          <w:sz w:val="20"/>
          <w:szCs w:val="20"/>
        </w:rPr>
        <w:t>consumers and</w:t>
      </w:r>
      <w:r w:rsidR="00DF4BEA">
        <w:rPr>
          <w:rFonts w:ascii="Helvetica" w:hAnsi="Helvetica" w:cs="Helvetica"/>
          <w:sz w:val="20"/>
          <w:szCs w:val="20"/>
        </w:rPr>
        <w:t xml:space="preserve"> overwhelming the Agency with claims lacking the procedural safeguards normally applied by courts, </w:t>
      </w:r>
      <w:r w:rsidR="006476FC">
        <w:rPr>
          <w:rFonts w:ascii="Helvetica" w:hAnsi="Helvetica" w:cs="Helvetica"/>
          <w:sz w:val="20"/>
          <w:szCs w:val="20"/>
        </w:rPr>
        <w:t xml:space="preserve">ultimately </w:t>
      </w:r>
      <w:r w:rsidR="00DF4BEA">
        <w:rPr>
          <w:rFonts w:ascii="Helvetica" w:hAnsi="Helvetica" w:cs="Helvetica"/>
          <w:sz w:val="20"/>
          <w:szCs w:val="20"/>
        </w:rPr>
        <w:t xml:space="preserve">diverting limited resources away from meaningful privacy compliance efforts. </w:t>
      </w:r>
    </w:p>
    <w:p w14:paraId="36D1B36A" w14:textId="77777777" w:rsidR="00C05EE0" w:rsidRDefault="00C05EE0" w:rsidP="00C05EE0">
      <w:pPr>
        <w:pStyle w:val="NoSpacing"/>
        <w:spacing w:after="240"/>
        <w:jc w:val="both"/>
        <w:rPr>
          <w:rFonts w:ascii="Helvetica" w:hAnsi="Helvetica" w:cs="Helvetica"/>
          <w:b/>
          <w:bCs/>
          <w:sz w:val="20"/>
          <w:szCs w:val="20"/>
          <w:u w:val="single"/>
        </w:rPr>
      </w:pPr>
      <w:r w:rsidRPr="00AB6371">
        <w:rPr>
          <w:rFonts w:ascii="Helvetica" w:hAnsi="Helvetica" w:cs="Helvetica"/>
          <w:b/>
          <w:bCs/>
          <w:sz w:val="20"/>
          <w:szCs w:val="20"/>
          <w:u w:val="single"/>
        </w:rPr>
        <w:t>Anti-retaliation protections already exist under the CCPA</w:t>
      </w:r>
    </w:p>
    <w:p w14:paraId="6D4979C7" w14:textId="46BB0073" w:rsidR="00C05EE0" w:rsidRDefault="00C05EE0" w:rsidP="00CF057D">
      <w:pPr>
        <w:pStyle w:val="NoSpacing"/>
        <w:spacing w:after="240"/>
        <w:jc w:val="both"/>
        <w:rPr>
          <w:rFonts w:ascii="Helvetica" w:hAnsi="Helvetica" w:cs="Helvetica"/>
          <w:sz w:val="20"/>
          <w:szCs w:val="20"/>
        </w:rPr>
      </w:pPr>
      <w:r>
        <w:rPr>
          <w:rFonts w:ascii="Helvetica" w:hAnsi="Helvetica" w:cs="Helvetica"/>
          <w:sz w:val="20"/>
          <w:szCs w:val="20"/>
        </w:rPr>
        <w:t xml:space="preserve">Not only do whistleblower and anti-retaliation protections already exist under existing law, the CCPA itself prohibits retaliation against individuals for exercising their CCPA rights. Civil Code Section 1798.125 clearly states that a business shall not discriminate against a consumer because the consumer exercised any of their rights under the act which, as amended by Proposition 24, includes retaliating against an employee, applicate for employment, or independent contractor for exercising their rights under this act.  </w:t>
      </w:r>
    </w:p>
    <w:p w14:paraId="4DED4C33" w14:textId="526032F6" w:rsidR="00F46C8E" w:rsidRPr="00AC1B0C" w:rsidRDefault="00F46C8E" w:rsidP="00CF057D">
      <w:pPr>
        <w:pStyle w:val="NoSpacing"/>
        <w:spacing w:after="240"/>
        <w:jc w:val="both"/>
        <w:rPr>
          <w:rFonts w:ascii="Helvetica" w:hAnsi="Helvetica" w:cs="Helvetica"/>
          <w:b/>
          <w:bCs/>
          <w:sz w:val="20"/>
          <w:szCs w:val="20"/>
          <w:u w:val="single"/>
        </w:rPr>
      </w:pPr>
      <w:r w:rsidRPr="00AC1B0C">
        <w:rPr>
          <w:rFonts w:ascii="Helvetica" w:hAnsi="Helvetica" w:cs="Helvetica"/>
          <w:b/>
          <w:bCs/>
          <w:sz w:val="20"/>
          <w:szCs w:val="20"/>
          <w:u w:val="single"/>
        </w:rPr>
        <w:t xml:space="preserve">AB 2021 creates a PAGA-like </w:t>
      </w:r>
      <w:r w:rsidR="00AC1B0C" w:rsidRPr="00AC1B0C">
        <w:rPr>
          <w:rFonts w:ascii="Helvetica" w:hAnsi="Helvetica" w:cs="Helvetica"/>
          <w:b/>
          <w:bCs/>
          <w:sz w:val="20"/>
          <w:szCs w:val="20"/>
          <w:u w:val="single"/>
        </w:rPr>
        <w:t>enforcement</w:t>
      </w:r>
      <w:r w:rsidRPr="00AC1B0C">
        <w:rPr>
          <w:rFonts w:ascii="Helvetica" w:hAnsi="Helvetica" w:cs="Helvetica"/>
          <w:b/>
          <w:bCs/>
          <w:sz w:val="20"/>
          <w:szCs w:val="20"/>
          <w:u w:val="single"/>
        </w:rPr>
        <w:t xml:space="preserve"> </w:t>
      </w:r>
      <w:r w:rsidR="00AC1B0C" w:rsidRPr="00AC1B0C">
        <w:rPr>
          <w:rFonts w:ascii="Helvetica" w:hAnsi="Helvetica" w:cs="Helvetica"/>
          <w:b/>
          <w:bCs/>
          <w:sz w:val="20"/>
          <w:szCs w:val="20"/>
          <w:u w:val="single"/>
        </w:rPr>
        <w:t>dynamic</w:t>
      </w:r>
      <w:r w:rsidRPr="00AC1B0C">
        <w:rPr>
          <w:rFonts w:ascii="Helvetica" w:hAnsi="Helvetica" w:cs="Helvetica"/>
          <w:b/>
          <w:bCs/>
          <w:sz w:val="20"/>
          <w:szCs w:val="20"/>
          <w:u w:val="single"/>
        </w:rPr>
        <w:t xml:space="preserve"> within the CCPA enforcement structure</w:t>
      </w:r>
      <w:r w:rsidR="00AC1B0C" w:rsidRPr="00AC1B0C">
        <w:rPr>
          <w:rFonts w:ascii="Helvetica" w:hAnsi="Helvetica" w:cs="Helvetica"/>
          <w:b/>
          <w:bCs/>
          <w:sz w:val="20"/>
          <w:szCs w:val="20"/>
          <w:u w:val="single"/>
        </w:rPr>
        <w:t xml:space="preserve"> and blurs the lines </w:t>
      </w:r>
      <w:r w:rsidR="00DF6E68">
        <w:rPr>
          <w:rFonts w:ascii="Helvetica" w:hAnsi="Helvetica" w:cs="Helvetica"/>
          <w:b/>
          <w:bCs/>
          <w:sz w:val="20"/>
          <w:szCs w:val="20"/>
          <w:u w:val="single"/>
        </w:rPr>
        <w:t>between public enforcement and private litigation</w:t>
      </w:r>
    </w:p>
    <w:p w14:paraId="3CA8929E" w14:textId="02836D4D" w:rsidR="00445CD8" w:rsidRDefault="000F426E" w:rsidP="00CF057D">
      <w:pPr>
        <w:pStyle w:val="NoSpacing"/>
        <w:spacing w:after="240"/>
        <w:jc w:val="both"/>
        <w:rPr>
          <w:rFonts w:ascii="Helvetica" w:hAnsi="Helvetica" w:cs="Helvetica"/>
          <w:sz w:val="20"/>
          <w:szCs w:val="20"/>
        </w:rPr>
      </w:pPr>
      <w:r>
        <w:rPr>
          <w:rFonts w:ascii="Helvetica" w:hAnsi="Helvetica" w:cs="Helvetica"/>
          <w:sz w:val="20"/>
          <w:szCs w:val="20"/>
        </w:rPr>
        <w:t xml:space="preserve">Although </w:t>
      </w:r>
      <w:r w:rsidRPr="00C05EE0">
        <w:rPr>
          <w:rFonts w:ascii="Helvetica" w:hAnsi="Helvetica" w:cs="Helvetica"/>
          <w:b/>
          <w:bCs/>
          <w:sz w:val="20"/>
          <w:szCs w:val="20"/>
        </w:rPr>
        <w:t>AB 2021</w:t>
      </w:r>
      <w:r>
        <w:rPr>
          <w:rFonts w:ascii="Helvetica" w:hAnsi="Helvetica" w:cs="Helvetica"/>
          <w:sz w:val="20"/>
          <w:szCs w:val="20"/>
        </w:rPr>
        <w:t xml:space="preserve"> specifies that “</w:t>
      </w:r>
      <w:r w:rsidR="002A5398">
        <w:rPr>
          <w:rFonts w:ascii="Helvetica" w:hAnsi="Helvetica" w:cs="Helvetica"/>
          <w:sz w:val="20"/>
          <w:szCs w:val="20"/>
        </w:rPr>
        <w:t xml:space="preserve">a decision by the agency to take administrative enforcement action based on information contained in a </w:t>
      </w:r>
      <w:r w:rsidR="004C5319">
        <w:rPr>
          <w:rFonts w:ascii="Helvetica" w:hAnsi="Helvetica" w:cs="Helvetica"/>
          <w:sz w:val="20"/>
          <w:szCs w:val="20"/>
        </w:rPr>
        <w:t>whistleblower’s</w:t>
      </w:r>
      <w:r w:rsidR="002A5398">
        <w:rPr>
          <w:rFonts w:ascii="Helvetica" w:hAnsi="Helvetica" w:cs="Helvetica"/>
          <w:sz w:val="20"/>
          <w:szCs w:val="20"/>
        </w:rPr>
        <w:t xml:space="preserve"> complaint does not confer a private right of </w:t>
      </w:r>
      <w:r w:rsidR="004C5319">
        <w:rPr>
          <w:rFonts w:ascii="Helvetica" w:hAnsi="Helvetica" w:cs="Helvetica"/>
          <w:sz w:val="20"/>
          <w:szCs w:val="20"/>
        </w:rPr>
        <w:t>action …or permit the whistleblower to bring a claim on behalf of the agency or state”</w:t>
      </w:r>
      <w:r>
        <w:rPr>
          <w:rFonts w:ascii="Helvetica" w:hAnsi="Helvetica" w:cs="Helvetica"/>
          <w:sz w:val="20"/>
          <w:szCs w:val="20"/>
        </w:rPr>
        <w:t xml:space="preserve">, </w:t>
      </w:r>
      <w:r w:rsidR="004C5319">
        <w:rPr>
          <w:rFonts w:ascii="Helvetica" w:hAnsi="Helvetica" w:cs="Helvetica"/>
          <w:sz w:val="20"/>
          <w:szCs w:val="20"/>
        </w:rPr>
        <w:t>the bill</w:t>
      </w:r>
      <w:r>
        <w:rPr>
          <w:rFonts w:ascii="Helvetica" w:hAnsi="Helvetica" w:cs="Helvetica"/>
          <w:sz w:val="20"/>
          <w:szCs w:val="20"/>
        </w:rPr>
        <w:t xml:space="preserve"> would nonetheless create a PAGA-like enforcement </w:t>
      </w:r>
      <w:r w:rsidR="007266D9">
        <w:rPr>
          <w:rFonts w:ascii="Helvetica" w:hAnsi="Helvetica" w:cs="Helvetica"/>
          <w:sz w:val="20"/>
          <w:szCs w:val="20"/>
        </w:rPr>
        <w:t xml:space="preserve">dynamic </w:t>
      </w:r>
      <w:r w:rsidR="00434A28">
        <w:rPr>
          <w:rFonts w:ascii="Helvetica" w:hAnsi="Helvetica" w:cs="Helvetica"/>
          <w:sz w:val="20"/>
          <w:szCs w:val="20"/>
        </w:rPr>
        <w:t xml:space="preserve">by </w:t>
      </w:r>
      <w:r w:rsidR="00D45BAE">
        <w:rPr>
          <w:rFonts w:ascii="Helvetica" w:hAnsi="Helvetica" w:cs="Helvetica"/>
          <w:sz w:val="20"/>
          <w:szCs w:val="20"/>
        </w:rPr>
        <w:t xml:space="preserve">financially incentivizing </w:t>
      </w:r>
      <w:r w:rsidR="008821E0">
        <w:rPr>
          <w:rFonts w:ascii="Helvetica" w:hAnsi="Helvetica" w:cs="Helvetica"/>
          <w:sz w:val="20"/>
          <w:szCs w:val="20"/>
        </w:rPr>
        <w:t>individuals</w:t>
      </w:r>
      <w:r w:rsidR="00D45BAE">
        <w:rPr>
          <w:rFonts w:ascii="Helvetica" w:hAnsi="Helvetica" w:cs="Helvetica"/>
          <w:sz w:val="20"/>
          <w:szCs w:val="20"/>
        </w:rPr>
        <w:t xml:space="preserve"> to act as de facto private enforcers by seeking out and reporting alleged violation</w:t>
      </w:r>
      <w:r w:rsidR="008821E0">
        <w:rPr>
          <w:rFonts w:ascii="Helvetica" w:hAnsi="Helvetica" w:cs="Helvetica"/>
          <w:sz w:val="20"/>
          <w:szCs w:val="20"/>
        </w:rPr>
        <w:t xml:space="preserve">s to regulators.  </w:t>
      </w:r>
      <w:r w:rsidR="00F629BD">
        <w:rPr>
          <w:rFonts w:ascii="Helvetica" w:hAnsi="Helvetica" w:cs="Helvetica"/>
          <w:sz w:val="20"/>
          <w:szCs w:val="20"/>
        </w:rPr>
        <w:t xml:space="preserve">This is especially true because it even allows for the monetary award where the business </w:t>
      </w:r>
      <w:r w:rsidR="00F629BD" w:rsidRPr="00C05EE0">
        <w:rPr>
          <w:rFonts w:ascii="Helvetica" w:hAnsi="Helvetica" w:cs="Helvetica"/>
          <w:i/>
          <w:iCs/>
          <w:sz w:val="20"/>
          <w:szCs w:val="20"/>
        </w:rPr>
        <w:t>settles</w:t>
      </w:r>
      <w:r w:rsidR="00F629BD">
        <w:rPr>
          <w:rFonts w:ascii="Helvetica" w:hAnsi="Helvetica" w:cs="Helvetica"/>
          <w:sz w:val="20"/>
          <w:szCs w:val="20"/>
        </w:rPr>
        <w:t xml:space="preserve"> a claim</w:t>
      </w:r>
      <w:r w:rsidR="00F019CB">
        <w:rPr>
          <w:rFonts w:ascii="Helvetica" w:hAnsi="Helvetica" w:cs="Helvetica"/>
          <w:sz w:val="20"/>
          <w:szCs w:val="20"/>
        </w:rPr>
        <w:t>-</w:t>
      </w:r>
      <w:r w:rsidR="00F629BD">
        <w:rPr>
          <w:rFonts w:ascii="Helvetica" w:hAnsi="Helvetica" w:cs="Helvetica"/>
          <w:sz w:val="20"/>
          <w:szCs w:val="20"/>
        </w:rPr>
        <w:t xml:space="preserve"> meaning claimants and their attorney have </w:t>
      </w:r>
      <w:r w:rsidR="006E78C9">
        <w:rPr>
          <w:rFonts w:ascii="Helvetica" w:hAnsi="Helvetica" w:cs="Helvetica"/>
          <w:sz w:val="20"/>
          <w:szCs w:val="20"/>
        </w:rPr>
        <w:t>little incentive to determine whether the claim is actually meritorious.</w:t>
      </w:r>
    </w:p>
    <w:p w14:paraId="2D7A3A13" w14:textId="0CDC671E" w:rsidR="00AC1B0C" w:rsidRDefault="000272BC" w:rsidP="00CF057D">
      <w:pPr>
        <w:pStyle w:val="NoSpacing"/>
        <w:spacing w:after="240"/>
        <w:jc w:val="both"/>
        <w:rPr>
          <w:rFonts w:ascii="Helvetica" w:hAnsi="Helvetica" w:cs="Helvetica"/>
          <w:sz w:val="20"/>
          <w:szCs w:val="20"/>
        </w:rPr>
      </w:pPr>
      <w:r>
        <w:rPr>
          <w:rFonts w:ascii="Helvetica" w:hAnsi="Helvetica" w:cs="Helvetica"/>
          <w:sz w:val="20"/>
          <w:szCs w:val="20"/>
        </w:rPr>
        <w:t>It is worth remembering that</w:t>
      </w:r>
      <w:r w:rsidR="004A6D70">
        <w:rPr>
          <w:rFonts w:ascii="Helvetica" w:hAnsi="Helvetica" w:cs="Helvetica"/>
          <w:sz w:val="20"/>
          <w:szCs w:val="20"/>
        </w:rPr>
        <w:t xml:space="preserve">, with </w:t>
      </w:r>
      <w:r>
        <w:rPr>
          <w:rFonts w:ascii="Helvetica" w:hAnsi="Helvetica" w:cs="Helvetica"/>
          <w:sz w:val="20"/>
          <w:szCs w:val="20"/>
        </w:rPr>
        <w:t xml:space="preserve">both </w:t>
      </w:r>
      <w:r w:rsidR="007A3A56">
        <w:rPr>
          <w:rFonts w:ascii="Helvetica" w:hAnsi="Helvetica" w:cs="Helvetica"/>
          <w:sz w:val="20"/>
          <w:szCs w:val="20"/>
        </w:rPr>
        <w:t>with</w:t>
      </w:r>
      <w:r>
        <w:rPr>
          <w:rFonts w:ascii="Helvetica" w:hAnsi="Helvetica" w:cs="Helvetica"/>
          <w:sz w:val="20"/>
          <w:szCs w:val="20"/>
        </w:rPr>
        <w:t xml:space="preserve"> the passage of AB 375 (Chau &amp; Hertzberg, Ch. 55, Stats. 2018) and the subsequent </w:t>
      </w:r>
      <w:r w:rsidR="00F11409">
        <w:rPr>
          <w:rFonts w:ascii="Helvetica" w:hAnsi="Helvetica" w:cs="Helvetica"/>
          <w:sz w:val="20"/>
          <w:szCs w:val="20"/>
        </w:rPr>
        <w:t>approval</w:t>
      </w:r>
      <w:r>
        <w:rPr>
          <w:rFonts w:ascii="Helvetica" w:hAnsi="Helvetica" w:cs="Helvetica"/>
          <w:sz w:val="20"/>
          <w:szCs w:val="20"/>
        </w:rPr>
        <w:t xml:space="preserve"> of </w:t>
      </w:r>
      <w:r w:rsidR="007A3A56">
        <w:rPr>
          <w:rFonts w:ascii="Helvetica" w:hAnsi="Helvetica" w:cs="Helvetica"/>
          <w:sz w:val="20"/>
          <w:szCs w:val="20"/>
        </w:rPr>
        <w:t>Proposition</w:t>
      </w:r>
      <w:r>
        <w:rPr>
          <w:rFonts w:ascii="Helvetica" w:hAnsi="Helvetica" w:cs="Helvetica"/>
          <w:sz w:val="20"/>
          <w:szCs w:val="20"/>
        </w:rPr>
        <w:t xml:space="preserve"> 24 by voters, </w:t>
      </w:r>
      <w:r w:rsidR="007A3A56">
        <w:rPr>
          <w:rFonts w:ascii="Helvetica" w:hAnsi="Helvetica" w:cs="Helvetica"/>
          <w:sz w:val="20"/>
          <w:szCs w:val="20"/>
        </w:rPr>
        <w:t xml:space="preserve">the CCPA was </w:t>
      </w:r>
      <w:r w:rsidR="00450A1F">
        <w:rPr>
          <w:rFonts w:ascii="Helvetica" w:hAnsi="Helvetica" w:cs="Helvetica"/>
          <w:sz w:val="20"/>
          <w:szCs w:val="20"/>
        </w:rPr>
        <w:t xml:space="preserve">deliberately </w:t>
      </w:r>
      <w:r w:rsidR="007A3A56">
        <w:rPr>
          <w:rFonts w:ascii="Helvetica" w:hAnsi="Helvetica" w:cs="Helvetica"/>
          <w:sz w:val="20"/>
          <w:szCs w:val="20"/>
        </w:rPr>
        <w:t xml:space="preserve">crafted to be enforced by public entities </w:t>
      </w:r>
      <w:r w:rsidR="00F11409">
        <w:rPr>
          <w:rFonts w:ascii="Helvetica" w:hAnsi="Helvetica" w:cs="Helvetica"/>
          <w:sz w:val="20"/>
          <w:szCs w:val="20"/>
        </w:rPr>
        <w:t xml:space="preserve">– </w:t>
      </w:r>
      <w:r w:rsidR="007A3A56">
        <w:rPr>
          <w:rFonts w:ascii="Helvetica" w:hAnsi="Helvetica" w:cs="Helvetica"/>
          <w:sz w:val="20"/>
          <w:szCs w:val="20"/>
        </w:rPr>
        <w:t>the AG, and</w:t>
      </w:r>
      <w:r w:rsidR="00F11409">
        <w:rPr>
          <w:rFonts w:ascii="Helvetica" w:hAnsi="Helvetica" w:cs="Helvetica"/>
          <w:sz w:val="20"/>
          <w:szCs w:val="20"/>
        </w:rPr>
        <w:t xml:space="preserve"> later both</w:t>
      </w:r>
      <w:r w:rsidR="007A3A56">
        <w:rPr>
          <w:rFonts w:ascii="Helvetica" w:hAnsi="Helvetica" w:cs="Helvetica"/>
          <w:sz w:val="20"/>
          <w:szCs w:val="20"/>
        </w:rPr>
        <w:t xml:space="preserve"> the AG and the CPPA</w:t>
      </w:r>
      <w:r w:rsidR="00F11409">
        <w:rPr>
          <w:rFonts w:ascii="Helvetica" w:hAnsi="Helvetica" w:cs="Helvetica"/>
          <w:sz w:val="20"/>
          <w:szCs w:val="20"/>
        </w:rPr>
        <w:t xml:space="preserve"> – </w:t>
      </w:r>
      <w:r w:rsidR="008C6CAC">
        <w:rPr>
          <w:rFonts w:ascii="Helvetica" w:hAnsi="Helvetica" w:cs="Helvetica"/>
          <w:sz w:val="20"/>
          <w:szCs w:val="20"/>
        </w:rPr>
        <w:t xml:space="preserve">except in the limited circumstances of </w:t>
      </w:r>
      <w:r w:rsidR="00947A14">
        <w:rPr>
          <w:rFonts w:ascii="Helvetica" w:hAnsi="Helvetica" w:cs="Helvetica"/>
          <w:sz w:val="20"/>
          <w:szCs w:val="20"/>
        </w:rPr>
        <w:t>data breach</w:t>
      </w:r>
      <w:r w:rsidR="008C6CAC">
        <w:rPr>
          <w:rFonts w:ascii="Helvetica" w:hAnsi="Helvetica" w:cs="Helvetica"/>
          <w:sz w:val="20"/>
          <w:szCs w:val="20"/>
        </w:rPr>
        <w:t>es</w:t>
      </w:r>
      <w:r w:rsidR="00947A14">
        <w:rPr>
          <w:rFonts w:ascii="Helvetica" w:hAnsi="Helvetica" w:cs="Helvetica"/>
          <w:sz w:val="20"/>
          <w:szCs w:val="20"/>
        </w:rPr>
        <w:t xml:space="preserve"> under </w:t>
      </w:r>
      <w:r w:rsidR="008C6CAC">
        <w:rPr>
          <w:rFonts w:ascii="Helvetica" w:hAnsi="Helvetica" w:cs="Helvetica"/>
          <w:sz w:val="20"/>
          <w:szCs w:val="20"/>
        </w:rPr>
        <w:t>Civil Code Section</w:t>
      </w:r>
      <w:r w:rsidR="00947A14">
        <w:rPr>
          <w:rFonts w:ascii="Helvetica" w:hAnsi="Helvetica" w:cs="Helvetica"/>
          <w:sz w:val="20"/>
          <w:szCs w:val="20"/>
        </w:rPr>
        <w:t xml:space="preserve"> 1798.150. </w:t>
      </w:r>
      <w:r w:rsidR="00BD60AB">
        <w:rPr>
          <w:rFonts w:ascii="Helvetica" w:hAnsi="Helvetica" w:cs="Helvetica"/>
          <w:sz w:val="20"/>
          <w:szCs w:val="20"/>
        </w:rPr>
        <w:t xml:space="preserve">This </w:t>
      </w:r>
      <w:r w:rsidR="008C6CAC">
        <w:rPr>
          <w:rFonts w:ascii="Helvetica" w:hAnsi="Helvetica" w:cs="Helvetica"/>
          <w:sz w:val="20"/>
          <w:szCs w:val="20"/>
        </w:rPr>
        <w:t xml:space="preserve">intentional enforcement structure </w:t>
      </w:r>
      <w:r w:rsidR="008729F4">
        <w:rPr>
          <w:rFonts w:ascii="Helvetica" w:hAnsi="Helvetica" w:cs="Helvetica"/>
          <w:sz w:val="20"/>
          <w:szCs w:val="20"/>
        </w:rPr>
        <w:t xml:space="preserve">reflected significant operational changes that businesses would need to undertake to comply with these new privacy rights, as well as </w:t>
      </w:r>
      <w:r w:rsidR="00FF5C64">
        <w:rPr>
          <w:rFonts w:ascii="Helvetica" w:hAnsi="Helvetica" w:cs="Helvetica"/>
          <w:sz w:val="20"/>
          <w:szCs w:val="20"/>
        </w:rPr>
        <w:t xml:space="preserve">challenges posed </w:t>
      </w:r>
      <w:r w:rsidR="00FF3527">
        <w:rPr>
          <w:rFonts w:ascii="Helvetica" w:hAnsi="Helvetica" w:cs="Helvetica"/>
          <w:sz w:val="20"/>
          <w:szCs w:val="20"/>
        </w:rPr>
        <w:t>by the statute’s inherent vagueness</w:t>
      </w:r>
      <w:r w:rsidR="00BD60AB">
        <w:rPr>
          <w:rFonts w:ascii="Helvetica" w:hAnsi="Helvetica" w:cs="Helvetica"/>
          <w:sz w:val="20"/>
          <w:szCs w:val="20"/>
        </w:rPr>
        <w:t xml:space="preserve">. </w:t>
      </w:r>
    </w:p>
    <w:p w14:paraId="1D29EC6F" w14:textId="348FBBD6" w:rsidR="00DB6FE8" w:rsidRDefault="004E52E8" w:rsidP="00CF057D">
      <w:pPr>
        <w:pStyle w:val="NoSpacing"/>
        <w:spacing w:after="240"/>
        <w:jc w:val="both"/>
        <w:rPr>
          <w:rFonts w:ascii="Helvetica" w:hAnsi="Helvetica" w:cs="Helvetica"/>
          <w:sz w:val="20"/>
          <w:szCs w:val="20"/>
        </w:rPr>
      </w:pPr>
      <w:r w:rsidRPr="00C05EE0">
        <w:rPr>
          <w:rFonts w:ascii="Helvetica" w:hAnsi="Helvetica" w:cs="Helvetica"/>
          <w:b/>
          <w:bCs/>
          <w:sz w:val="20"/>
          <w:szCs w:val="20"/>
        </w:rPr>
        <w:t>AB 2021</w:t>
      </w:r>
      <w:r w:rsidR="00450A1F">
        <w:rPr>
          <w:rFonts w:ascii="Helvetica" w:hAnsi="Helvetica" w:cs="Helvetica"/>
          <w:sz w:val="20"/>
          <w:szCs w:val="20"/>
        </w:rPr>
        <w:t xml:space="preserve"> would, for the first time, </w:t>
      </w:r>
      <w:r w:rsidR="00FF3527">
        <w:rPr>
          <w:rFonts w:ascii="Helvetica" w:hAnsi="Helvetica" w:cs="Helvetica"/>
          <w:sz w:val="20"/>
          <w:szCs w:val="20"/>
        </w:rPr>
        <w:t>introduce</w:t>
      </w:r>
      <w:r w:rsidR="00450A1F">
        <w:rPr>
          <w:rFonts w:ascii="Helvetica" w:hAnsi="Helvetica" w:cs="Helvetica"/>
          <w:sz w:val="20"/>
          <w:szCs w:val="20"/>
        </w:rPr>
        <w:t xml:space="preserve"> enforcement with the </w:t>
      </w:r>
      <w:r w:rsidR="00FF3527">
        <w:rPr>
          <w:rFonts w:ascii="Helvetica" w:hAnsi="Helvetica" w:cs="Helvetica"/>
          <w:sz w:val="20"/>
          <w:szCs w:val="20"/>
        </w:rPr>
        <w:t xml:space="preserve">active </w:t>
      </w:r>
      <w:r w:rsidR="00450A1F">
        <w:rPr>
          <w:rFonts w:ascii="Helvetica" w:hAnsi="Helvetica" w:cs="Helvetica"/>
          <w:sz w:val="20"/>
          <w:szCs w:val="20"/>
        </w:rPr>
        <w:t xml:space="preserve">assistance of </w:t>
      </w:r>
      <w:r w:rsidR="00524670">
        <w:rPr>
          <w:rFonts w:ascii="Helvetica" w:hAnsi="Helvetica" w:cs="Helvetica"/>
          <w:sz w:val="20"/>
          <w:szCs w:val="20"/>
        </w:rPr>
        <w:t>whistleblowers</w:t>
      </w:r>
      <w:r w:rsidR="00450A1F">
        <w:rPr>
          <w:rFonts w:ascii="Helvetica" w:hAnsi="Helvetica" w:cs="Helvetica"/>
          <w:sz w:val="20"/>
          <w:szCs w:val="20"/>
        </w:rPr>
        <w:t xml:space="preserve"> an</w:t>
      </w:r>
      <w:r w:rsidR="00FF5C64">
        <w:rPr>
          <w:rFonts w:ascii="Helvetica" w:hAnsi="Helvetica" w:cs="Helvetica"/>
          <w:sz w:val="20"/>
          <w:szCs w:val="20"/>
        </w:rPr>
        <w:t>d</w:t>
      </w:r>
      <w:r w:rsidR="00450A1F">
        <w:rPr>
          <w:rFonts w:ascii="Helvetica" w:hAnsi="Helvetica" w:cs="Helvetica"/>
          <w:sz w:val="20"/>
          <w:szCs w:val="20"/>
        </w:rPr>
        <w:t xml:space="preserve"> </w:t>
      </w:r>
      <w:r w:rsidR="00524670">
        <w:rPr>
          <w:rFonts w:ascii="Helvetica" w:hAnsi="Helvetica" w:cs="Helvetica"/>
          <w:sz w:val="20"/>
          <w:szCs w:val="20"/>
        </w:rPr>
        <w:t>their</w:t>
      </w:r>
      <w:r w:rsidR="00450A1F">
        <w:rPr>
          <w:rFonts w:ascii="Helvetica" w:hAnsi="Helvetica" w:cs="Helvetica"/>
          <w:sz w:val="20"/>
          <w:szCs w:val="20"/>
        </w:rPr>
        <w:t xml:space="preserve"> attorneys</w:t>
      </w:r>
      <w:r w:rsidR="00DE4A14">
        <w:rPr>
          <w:rFonts w:ascii="Helvetica" w:hAnsi="Helvetica" w:cs="Helvetica"/>
          <w:sz w:val="20"/>
          <w:szCs w:val="20"/>
        </w:rPr>
        <w:t xml:space="preserve"> in exchange for financial gain</w:t>
      </w:r>
      <w:r w:rsidR="00AC1B0C">
        <w:rPr>
          <w:rFonts w:ascii="Helvetica" w:hAnsi="Helvetica" w:cs="Helvetica"/>
          <w:sz w:val="20"/>
          <w:szCs w:val="20"/>
        </w:rPr>
        <w:t>.</w:t>
      </w:r>
      <w:r w:rsidR="00450A1F">
        <w:rPr>
          <w:rFonts w:ascii="Helvetica" w:hAnsi="Helvetica" w:cs="Helvetica"/>
          <w:sz w:val="20"/>
          <w:szCs w:val="20"/>
        </w:rPr>
        <w:t xml:space="preserve"> </w:t>
      </w:r>
      <w:r w:rsidR="001C187C">
        <w:rPr>
          <w:rFonts w:ascii="Helvetica" w:hAnsi="Helvetica" w:cs="Helvetica"/>
          <w:sz w:val="20"/>
          <w:szCs w:val="20"/>
        </w:rPr>
        <w:t>For example,</w:t>
      </w:r>
      <w:r w:rsidR="00244C00">
        <w:rPr>
          <w:rFonts w:ascii="Helvetica" w:hAnsi="Helvetica" w:cs="Helvetica"/>
          <w:sz w:val="20"/>
          <w:szCs w:val="20"/>
        </w:rPr>
        <w:t xml:space="preserve"> Proposed Sec</w:t>
      </w:r>
      <w:r w:rsidR="00C05EE0">
        <w:rPr>
          <w:rFonts w:ascii="Helvetica" w:hAnsi="Helvetica" w:cs="Helvetica"/>
          <w:sz w:val="20"/>
          <w:szCs w:val="20"/>
        </w:rPr>
        <w:t>tion</w:t>
      </w:r>
      <w:r w:rsidR="00244C00">
        <w:rPr>
          <w:rFonts w:ascii="Helvetica" w:hAnsi="Helvetica" w:cs="Helvetica"/>
          <w:sz w:val="20"/>
          <w:szCs w:val="20"/>
        </w:rPr>
        <w:t xml:space="preserve"> 1798.199.101</w:t>
      </w:r>
      <w:r w:rsidR="00EC6075">
        <w:rPr>
          <w:rFonts w:ascii="Helvetica" w:hAnsi="Helvetica" w:cs="Helvetica"/>
          <w:sz w:val="20"/>
          <w:szCs w:val="20"/>
        </w:rPr>
        <w:t xml:space="preserve"> stat</w:t>
      </w:r>
      <w:r w:rsidR="001C187C">
        <w:rPr>
          <w:rFonts w:ascii="Helvetica" w:hAnsi="Helvetica" w:cs="Helvetica"/>
          <w:sz w:val="20"/>
          <w:szCs w:val="20"/>
        </w:rPr>
        <w:t>es</w:t>
      </w:r>
      <w:r w:rsidR="00EC6075">
        <w:rPr>
          <w:rFonts w:ascii="Helvetica" w:hAnsi="Helvetica" w:cs="Helvetica"/>
          <w:sz w:val="20"/>
          <w:szCs w:val="20"/>
        </w:rPr>
        <w:t xml:space="preserve"> that while </w:t>
      </w:r>
      <w:r w:rsidR="00EC6075" w:rsidRPr="00AC1B0C">
        <w:rPr>
          <w:rFonts w:ascii="Helvetica" w:hAnsi="Helvetica" w:cs="Helvetica"/>
          <w:sz w:val="20"/>
          <w:szCs w:val="20"/>
        </w:rPr>
        <w:t>the attorney shall not represent the agency in connection with any administrative enforcement action based on information contained in a whistleblower complaint, they “may provide as much assistance as the agency determines is appropriate to advance the investigation or litigation of the administrative enforcement action</w:t>
      </w:r>
      <w:r w:rsidR="00B10CA5">
        <w:rPr>
          <w:rFonts w:ascii="Helvetica" w:hAnsi="Helvetica" w:cs="Helvetica"/>
          <w:sz w:val="20"/>
          <w:szCs w:val="20"/>
        </w:rPr>
        <w:t>.</w:t>
      </w:r>
      <w:r w:rsidR="00AC1B0C">
        <w:rPr>
          <w:rFonts w:ascii="Helvetica" w:hAnsi="Helvetica" w:cs="Helvetica"/>
          <w:sz w:val="20"/>
          <w:szCs w:val="20"/>
        </w:rPr>
        <w:t xml:space="preserve">” </w:t>
      </w:r>
      <w:r w:rsidR="00DB6FE8">
        <w:rPr>
          <w:rFonts w:ascii="Helvetica" w:hAnsi="Helvetica" w:cs="Helvetica"/>
          <w:sz w:val="20"/>
          <w:szCs w:val="20"/>
        </w:rPr>
        <w:t xml:space="preserve">In addition, </w:t>
      </w:r>
      <w:r w:rsidR="00AC1B0C">
        <w:rPr>
          <w:rFonts w:ascii="Helvetica" w:hAnsi="Helvetica" w:cs="Helvetica"/>
          <w:sz w:val="20"/>
          <w:szCs w:val="20"/>
        </w:rPr>
        <w:t xml:space="preserve">Proposed Section </w:t>
      </w:r>
      <w:r w:rsidR="00B669CB">
        <w:rPr>
          <w:rFonts w:ascii="Helvetica" w:hAnsi="Helvetica" w:cs="Helvetica"/>
          <w:sz w:val="20"/>
          <w:szCs w:val="20"/>
        </w:rPr>
        <w:t xml:space="preserve">1798.199.103(b)(8) </w:t>
      </w:r>
      <w:r w:rsidR="00DB6FE8">
        <w:rPr>
          <w:rFonts w:ascii="Helvetica" w:hAnsi="Helvetica" w:cs="Helvetica"/>
          <w:sz w:val="20"/>
          <w:szCs w:val="20"/>
        </w:rPr>
        <w:t xml:space="preserve">goes so far as to </w:t>
      </w:r>
      <w:r w:rsidR="00B669CB">
        <w:rPr>
          <w:rFonts w:ascii="Helvetica" w:hAnsi="Helvetica" w:cs="Helvetica"/>
          <w:sz w:val="20"/>
          <w:szCs w:val="20"/>
        </w:rPr>
        <w:t>prohibit a</w:t>
      </w:r>
      <w:r w:rsidR="00713D3B">
        <w:rPr>
          <w:rFonts w:ascii="Helvetica" w:hAnsi="Helvetica" w:cs="Helvetica"/>
          <w:sz w:val="20"/>
          <w:szCs w:val="20"/>
        </w:rPr>
        <w:t>ny award to</w:t>
      </w:r>
      <w:r w:rsidR="00B669CB">
        <w:rPr>
          <w:rFonts w:ascii="Helvetica" w:hAnsi="Helvetica" w:cs="Helvetica"/>
          <w:sz w:val="20"/>
          <w:szCs w:val="20"/>
        </w:rPr>
        <w:t xml:space="preserve"> whistleblower </w:t>
      </w:r>
      <w:r w:rsidR="00713D3B">
        <w:rPr>
          <w:rFonts w:ascii="Helvetica" w:hAnsi="Helvetica" w:cs="Helvetica"/>
          <w:sz w:val="20"/>
          <w:szCs w:val="20"/>
        </w:rPr>
        <w:t xml:space="preserve">who is not represented by an attorney. </w:t>
      </w:r>
    </w:p>
    <w:p w14:paraId="096258C8" w14:textId="77777777" w:rsidR="00C05EE0" w:rsidRDefault="00DB6FE8" w:rsidP="00CF057D">
      <w:pPr>
        <w:pStyle w:val="NoSpacing"/>
        <w:spacing w:after="240"/>
        <w:jc w:val="both"/>
        <w:rPr>
          <w:rFonts w:ascii="Helvetica" w:hAnsi="Helvetica" w:cs="Helvetica"/>
          <w:sz w:val="20"/>
          <w:szCs w:val="20"/>
        </w:rPr>
      </w:pPr>
      <w:r>
        <w:rPr>
          <w:rFonts w:ascii="Helvetica" w:hAnsi="Helvetica" w:cs="Helvetica"/>
          <w:sz w:val="20"/>
          <w:szCs w:val="20"/>
        </w:rPr>
        <w:t xml:space="preserve">This structure raises significant concerns. Conditioning awards for identifying grounds to bring public enforcement action based on attorney representation blurs the line between public enforcement and private litigation while simultaneously creating </w:t>
      </w:r>
      <w:r w:rsidR="00946A9E">
        <w:rPr>
          <w:rFonts w:ascii="Helvetica" w:hAnsi="Helvetica" w:cs="Helvetica"/>
          <w:sz w:val="20"/>
          <w:szCs w:val="20"/>
        </w:rPr>
        <w:t>incentiv</w:t>
      </w:r>
      <w:r>
        <w:rPr>
          <w:rFonts w:ascii="Helvetica" w:hAnsi="Helvetica" w:cs="Helvetica"/>
          <w:sz w:val="20"/>
          <w:szCs w:val="20"/>
        </w:rPr>
        <w:t xml:space="preserve">es </w:t>
      </w:r>
      <w:r w:rsidR="00946A9E">
        <w:rPr>
          <w:rFonts w:ascii="Helvetica" w:hAnsi="Helvetica" w:cs="Helvetica"/>
          <w:sz w:val="20"/>
          <w:szCs w:val="20"/>
        </w:rPr>
        <w:t xml:space="preserve">for </w:t>
      </w:r>
      <w:r w:rsidR="0000763C">
        <w:rPr>
          <w:rFonts w:ascii="Helvetica" w:hAnsi="Helvetica" w:cs="Helvetica"/>
          <w:sz w:val="20"/>
          <w:szCs w:val="20"/>
        </w:rPr>
        <w:t>attorneys</w:t>
      </w:r>
      <w:r w:rsidR="00946A9E">
        <w:rPr>
          <w:rFonts w:ascii="Helvetica" w:hAnsi="Helvetica" w:cs="Helvetica"/>
          <w:sz w:val="20"/>
          <w:szCs w:val="20"/>
        </w:rPr>
        <w:t xml:space="preserve"> and </w:t>
      </w:r>
      <w:r>
        <w:rPr>
          <w:rFonts w:ascii="Helvetica" w:hAnsi="Helvetica" w:cs="Helvetica"/>
          <w:sz w:val="20"/>
          <w:szCs w:val="20"/>
        </w:rPr>
        <w:t>advocacy</w:t>
      </w:r>
      <w:r w:rsidR="00946A9E">
        <w:rPr>
          <w:rFonts w:ascii="Helvetica" w:hAnsi="Helvetica" w:cs="Helvetica"/>
          <w:sz w:val="20"/>
          <w:szCs w:val="20"/>
        </w:rPr>
        <w:t xml:space="preserve"> organizations to </w:t>
      </w:r>
      <w:r>
        <w:rPr>
          <w:rFonts w:ascii="Helvetica" w:hAnsi="Helvetica" w:cs="Helvetica"/>
          <w:sz w:val="20"/>
          <w:szCs w:val="20"/>
        </w:rPr>
        <w:t>recruit</w:t>
      </w:r>
      <w:r w:rsidR="0000763C">
        <w:rPr>
          <w:rFonts w:ascii="Helvetica" w:hAnsi="Helvetica" w:cs="Helvetica"/>
          <w:sz w:val="20"/>
          <w:szCs w:val="20"/>
        </w:rPr>
        <w:t xml:space="preserve"> individuals</w:t>
      </w:r>
      <w:r w:rsidR="004F44C7">
        <w:rPr>
          <w:rFonts w:ascii="Helvetica" w:hAnsi="Helvetica" w:cs="Helvetica"/>
          <w:sz w:val="20"/>
          <w:szCs w:val="20"/>
        </w:rPr>
        <w:t xml:space="preserve"> to bring </w:t>
      </w:r>
      <w:r w:rsidR="0000763C">
        <w:rPr>
          <w:rFonts w:ascii="Helvetica" w:hAnsi="Helvetica" w:cs="Helvetica"/>
          <w:sz w:val="20"/>
          <w:szCs w:val="20"/>
        </w:rPr>
        <w:t>claims th</w:t>
      </w:r>
      <w:r w:rsidR="00A86A54">
        <w:rPr>
          <w:rFonts w:ascii="Helvetica" w:hAnsi="Helvetica" w:cs="Helvetica"/>
          <w:sz w:val="20"/>
          <w:szCs w:val="20"/>
        </w:rPr>
        <w:t>at the whistleblower</w:t>
      </w:r>
      <w:r w:rsidR="0000763C">
        <w:rPr>
          <w:rFonts w:ascii="Helvetica" w:hAnsi="Helvetica" w:cs="Helvetica"/>
          <w:sz w:val="20"/>
          <w:szCs w:val="20"/>
        </w:rPr>
        <w:t xml:space="preserve"> might </w:t>
      </w:r>
      <w:r w:rsidR="00A86A54">
        <w:rPr>
          <w:rFonts w:ascii="Helvetica" w:hAnsi="Helvetica" w:cs="Helvetica"/>
          <w:sz w:val="20"/>
          <w:szCs w:val="20"/>
        </w:rPr>
        <w:t xml:space="preserve">not </w:t>
      </w:r>
      <w:r w:rsidR="0000763C">
        <w:rPr>
          <w:rFonts w:ascii="Helvetica" w:hAnsi="Helvetica" w:cs="Helvetica"/>
          <w:sz w:val="20"/>
          <w:szCs w:val="20"/>
        </w:rPr>
        <w:t xml:space="preserve">have otherwise </w:t>
      </w:r>
      <w:r w:rsidR="00A86A54">
        <w:rPr>
          <w:rFonts w:ascii="Helvetica" w:hAnsi="Helvetica" w:cs="Helvetica"/>
          <w:sz w:val="20"/>
          <w:szCs w:val="20"/>
        </w:rPr>
        <w:t xml:space="preserve">pursued in their own right. </w:t>
      </w:r>
      <w:r w:rsidR="00376546">
        <w:rPr>
          <w:rFonts w:ascii="Helvetica" w:hAnsi="Helvetica" w:cs="Helvetica"/>
          <w:sz w:val="20"/>
          <w:szCs w:val="20"/>
        </w:rPr>
        <w:t>In turn</w:t>
      </w:r>
      <w:r w:rsidR="0037008C">
        <w:rPr>
          <w:rFonts w:ascii="Helvetica" w:hAnsi="Helvetica" w:cs="Helvetica"/>
          <w:sz w:val="20"/>
          <w:szCs w:val="20"/>
        </w:rPr>
        <w:t>, t</w:t>
      </w:r>
      <w:r w:rsidR="00D43381">
        <w:rPr>
          <w:rFonts w:ascii="Helvetica" w:hAnsi="Helvetica" w:cs="Helvetica"/>
          <w:sz w:val="20"/>
          <w:szCs w:val="20"/>
        </w:rPr>
        <w:t xml:space="preserve">his </w:t>
      </w:r>
      <w:r w:rsidR="0037008C">
        <w:rPr>
          <w:rFonts w:ascii="Helvetica" w:hAnsi="Helvetica" w:cs="Helvetica"/>
          <w:sz w:val="20"/>
          <w:szCs w:val="20"/>
        </w:rPr>
        <w:t xml:space="preserve">risks the potential development of a cottage industry around identifying and advancing whistleblower complaints. </w:t>
      </w:r>
    </w:p>
    <w:p w14:paraId="4A2C92EA" w14:textId="0925C77A" w:rsidR="000272BC" w:rsidRDefault="00276892" w:rsidP="00CF057D">
      <w:pPr>
        <w:pStyle w:val="NoSpacing"/>
        <w:spacing w:after="240"/>
        <w:jc w:val="both"/>
        <w:rPr>
          <w:rFonts w:ascii="Helvetica" w:hAnsi="Helvetica" w:cs="Helvetica"/>
          <w:sz w:val="20"/>
          <w:szCs w:val="20"/>
        </w:rPr>
      </w:pPr>
      <w:r>
        <w:rPr>
          <w:rFonts w:ascii="Helvetica" w:hAnsi="Helvetica" w:cs="Helvetica"/>
          <w:sz w:val="20"/>
          <w:szCs w:val="20"/>
        </w:rPr>
        <w:t>In effect, AB 2021 risks importing elements of a PAGA-like enforcement model in</w:t>
      </w:r>
      <w:r w:rsidR="00420C49">
        <w:rPr>
          <w:rFonts w:ascii="Helvetica" w:hAnsi="Helvetica" w:cs="Helvetica"/>
          <w:sz w:val="20"/>
          <w:szCs w:val="20"/>
        </w:rPr>
        <w:t>to</w:t>
      </w:r>
      <w:r>
        <w:rPr>
          <w:rFonts w:ascii="Helvetica" w:hAnsi="Helvetica" w:cs="Helvetica"/>
          <w:sz w:val="20"/>
          <w:szCs w:val="20"/>
        </w:rPr>
        <w:t xml:space="preserve"> the CCPA framework despite the </w:t>
      </w:r>
      <w:r w:rsidR="006C1DEE">
        <w:rPr>
          <w:rFonts w:ascii="Helvetica" w:hAnsi="Helvetica" w:cs="Helvetica"/>
          <w:sz w:val="20"/>
          <w:szCs w:val="20"/>
        </w:rPr>
        <w:t>Legislature’s</w:t>
      </w:r>
      <w:r>
        <w:rPr>
          <w:rFonts w:ascii="Helvetica" w:hAnsi="Helvetica" w:cs="Helvetica"/>
          <w:sz w:val="20"/>
          <w:szCs w:val="20"/>
        </w:rPr>
        <w:t xml:space="preserve"> and voters’ deliberate </w:t>
      </w:r>
      <w:r w:rsidR="006C1DEE">
        <w:rPr>
          <w:rFonts w:ascii="Helvetica" w:hAnsi="Helvetica" w:cs="Helvetica"/>
          <w:sz w:val="20"/>
          <w:szCs w:val="20"/>
        </w:rPr>
        <w:t>decision</w:t>
      </w:r>
      <w:r>
        <w:rPr>
          <w:rFonts w:ascii="Helvetica" w:hAnsi="Helvetica" w:cs="Helvetica"/>
          <w:sz w:val="20"/>
          <w:szCs w:val="20"/>
        </w:rPr>
        <w:t xml:space="preserve"> to rely </w:t>
      </w:r>
      <w:r w:rsidR="006C1DEE">
        <w:rPr>
          <w:rFonts w:ascii="Helvetica" w:hAnsi="Helvetica" w:cs="Helvetica"/>
          <w:sz w:val="20"/>
          <w:szCs w:val="20"/>
        </w:rPr>
        <w:t>primarily</w:t>
      </w:r>
      <w:r>
        <w:rPr>
          <w:rFonts w:ascii="Helvetica" w:hAnsi="Helvetica" w:cs="Helvetica"/>
          <w:sz w:val="20"/>
          <w:szCs w:val="20"/>
        </w:rPr>
        <w:t xml:space="preserve"> on public </w:t>
      </w:r>
      <w:r w:rsidR="006C1DEE">
        <w:rPr>
          <w:rFonts w:ascii="Helvetica" w:hAnsi="Helvetica" w:cs="Helvetica"/>
          <w:sz w:val="20"/>
          <w:szCs w:val="20"/>
        </w:rPr>
        <w:t>enforcement</w:t>
      </w:r>
      <w:r>
        <w:rPr>
          <w:rFonts w:ascii="Helvetica" w:hAnsi="Helvetica" w:cs="Helvetica"/>
          <w:sz w:val="20"/>
          <w:szCs w:val="20"/>
        </w:rPr>
        <w:t xml:space="preserve">. </w:t>
      </w:r>
      <w:r w:rsidR="00376546">
        <w:rPr>
          <w:rFonts w:ascii="Helvetica" w:hAnsi="Helvetica" w:cs="Helvetica"/>
          <w:sz w:val="20"/>
          <w:szCs w:val="20"/>
        </w:rPr>
        <w:t>Doing so on</w:t>
      </w:r>
      <w:r>
        <w:rPr>
          <w:rFonts w:ascii="Helvetica" w:hAnsi="Helvetica" w:cs="Helvetica"/>
          <w:sz w:val="20"/>
          <w:szCs w:val="20"/>
        </w:rPr>
        <w:t xml:space="preserve"> the heels of PAGA-reform in </w:t>
      </w:r>
      <w:r w:rsidRPr="00C05EE0">
        <w:rPr>
          <w:rFonts w:ascii="Helvetica" w:hAnsi="Helvetica" w:cs="Helvetica"/>
          <w:sz w:val="20"/>
          <w:szCs w:val="20"/>
        </w:rPr>
        <w:t xml:space="preserve">this </w:t>
      </w:r>
      <w:r w:rsidR="00C9766B" w:rsidRPr="00C05EE0">
        <w:rPr>
          <w:rFonts w:ascii="Helvetica" w:hAnsi="Helvetica" w:cs="Helvetica"/>
          <w:sz w:val="20"/>
          <w:szCs w:val="20"/>
        </w:rPr>
        <w:t>s</w:t>
      </w:r>
      <w:r w:rsidRPr="00C05EE0">
        <w:rPr>
          <w:rFonts w:ascii="Helvetica" w:hAnsi="Helvetica" w:cs="Helvetica"/>
          <w:sz w:val="20"/>
          <w:szCs w:val="20"/>
        </w:rPr>
        <w:t xml:space="preserve">tate, is particularly </w:t>
      </w:r>
      <w:r w:rsidR="006C1DEE" w:rsidRPr="00C05EE0">
        <w:rPr>
          <w:rFonts w:ascii="Helvetica" w:hAnsi="Helvetica" w:cs="Helvetica"/>
          <w:sz w:val="20"/>
          <w:szCs w:val="20"/>
        </w:rPr>
        <w:t>troubling</w:t>
      </w:r>
      <w:r w:rsidR="00CF2A34" w:rsidRPr="00C05EE0">
        <w:rPr>
          <w:rFonts w:ascii="Helvetica" w:hAnsi="Helvetica" w:cs="Helvetica"/>
          <w:sz w:val="20"/>
          <w:szCs w:val="20"/>
        </w:rPr>
        <w:t xml:space="preserve">, as outlined below. </w:t>
      </w:r>
    </w:p>
    <w:p w14:paraId="2C4A7294" w14:textId="77777777" w:rsidR="005B2DED" w:rsidRPr="00C05EE0" w:rsidRDefault="005B2DED" w:rsidP="005B2DED">
      <w:pPr>
        <w:pStyle w:val="NoSpacing"/>
        <w:spacing w:after="240"/>
        <w:jc w:val="both"/>
        <w:rPr>
          <w:rFonts w:ascii="Helvetica" w:hAnsi="Helvetica" w:cs="Helvetica"/>
          <w:b/>
          <w:bCs/>
          <w:sz w:val="20"/>
          <w:szCs w:val="20"/>
          <w:u w:val="single"/>
        </w:rPr>
      </w:pPr>
      <w:r w:rsidRPr="00C05EE0">
        <w:rPr>
          <w:rFonts w:ascii="Helvetica" w:hAnsi="Helvetica" w:cs="Helvetica"/>
          <w:b/>
          <w:bCs/>
          <w:sz w:val="20"/>
          <w:szCs w:val="20"/>
          <w:u w:val="single"/>
        </w:rPr>
        <w:lastRenderedPageBreak/>
        <w:t>Even without a financial incentive, the Agency reports thousands of complaints each year</w:t>
      </w:r>
    </w:p>
    <w:p w14:paraId="3F1A60AC" w14:textId="77777777" w:rsidR="005B2DED" w:rsidRPr="00C05EE0" w:rsidRDefault="005B2DED" w:rsidP="005B2DED">
      <w:pPr>
        <w:pStyle w:val="NoSpacing"/>
        <w:spacing w:after="240"/>
        <w:jc w:val="both"/>
        <w:rPr>
          <w:rFonts w:ascii="Helvetica" w:hAnsi="Helvetica" w:cs="Helvetica"/>
          <w:sz w:val="20"/>
          <w:szCs w:val="20"/>
        </w:rPr>
      </w:pPr>
      <w:r w:rsidRPr="00C05EE0">
        <w:rPr>
          <w:rFonts w:ascii="Helvetica" w:hAnsi="Helvetica" w:cs="Helvetica"/>
          <w:sz w:val="20"/>
          <w:szCs w:val="20"/>
        </w:rPr>
        <w:t xml:space="preserve">It is worth noting that the Privacy Agency’s Enforcement Division has previously found that as of August 2025 there had been roughly 8,000 CCPA consumer complaints. That number was up from less than 4,000 in December in 2024, as outlined in their graph below [see </w:t>
      </w:r>
      <w:hyperlink r:id="rId12" w:history="1">
        <w:r w:rsidRPr="00C05EE0">
          <w:rPr>
            <w:rStyle w:val="Hyperlink"/>
            <w:rFonts w:ascii="Helvetica" w:hAnsi="Helvetica" w:cs="Helvetica"/>
            <w:sz w:val="20"/>
            <w:szCs w:val="20"/>
          </w:rPr>
          <w:t>Agenda Item 4 - Enforcement Update</w:t>
        </w:r>
      </w:hyperlink>
      <w:r w:rsidRPr="00C05EE0">
        <w:rPr>
          <w:rFonts w:ascii="Helvetica" w:hAnsi="Helvetica" w:cs="Helvetica"/>
          <w:sz w:val="20"/>
          <w:szCs w:val="20"/>
        </w:rPr>
        <w:t xml:space="preserve">, p. 4 [as of Mar. 17, 2026]. That is without the promise of any sort of financial incentive to bring forth complaints. These numbers will only multiply under the PAGA-like dynamic created by this bill, with the added incentive of a bounty. </w:t>
      </w:r>
    </w:p>
    <w:p w14:paraId="71FB7635" w14:textId="77777777" w:rsidR="005B2DED" w:rsidRPr="00C05EE0" w:rsidRDefault="005B2DED" w:rsidP="005B2DED">
      <w:pPr>
        <w:pStyle w:val="NoSpacing"/>
        <w:spacing w:after="240"/>
        <w:jc w:val="both"/>
        <w:rPr>
          <w:rFonts w:ascii="Helvetica" w:hAnsi="Helvetica" w:cs="Helvetica"/>
          <w:sz w:val="20"/>
          <w:szCs w:val="20"/>
        </w:rPr>
      </w:pPr>
      <w:r w:rsidRPr="00C05EE0">
        <w:rPr>
          <w:rFonts w:ascii="Helvetica" w:hAnsi="Helvetica" w:cs="Helvetica"/>
          <w:noProof/>
          <w:sz w:val="20"/>
          <w:szCs w:val="20"/>
        </w:rPr>
        <w:drawing>
          <wp:inline distT="0" distB="0" distL="0" distR="0" wp14:anchorId="6613CD64" wp14:editId="20BB6247">
            <wp:extent cx="5473700" cy="3091822"/>
            <wp:effectExtent l="0" t="0" r="0" b="0"/>
            <wp:docPr id="1723181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81392" name=""/>
                    <pic:cNvPicPr/>
                  </pic:nvPicPr>
                  <pic:blipFill>
                    <a:blip r:embed="rId13"/>
                    <a:stretch>
                      <a:fillRect/>
                    </a:stretch>
                  </pic:blipFill>
                  <pic:spPr>
                    <a:xfrm>
                      <a:off x="0" y="0"/>
                      <a:ext cx="5495161" cy="3103944"/>
                    </a:xfrm>
                    <a:prstGeom prst="rect">
                      <a:avLst/>
                    </a:prstGeom>
                  </pic:spPr>
                </pic:pic>
              </a:graphicData>
            </a:graphic>
          </wp:inline>
        </w:drawing>
      </w:r>
    </w:p>
    <w:p w14:paraId="56F2B348" w14:textId="77777777" w:rsidR="005B2DED" w:rsidRDefault="005B2DED" w:rsidP="005B2DED">
      <w:pPr>
        <w:pStyle w:val="NoSpacing"/>
        <w:spacing w:after="240"/>
        <w:jc w:val="both"/>
        <w:rPr>
          <w:rFonts w:ascii="Helvetica" w:hAnsi="Helvetica" w:cs="Helvetica"/>
          <w:sz w:val="20"/>
          <w:szCs w:val="20"/>
        </w:rPr>
      </w:pPr>
      <w:r w:rsidRPr="00C05EE0">
        <w:rPr>
          <w:rFonts w:ascii="Helvetica" w:hAnsi="Helvetica" w:cs="Helvetica"/>
          <w:sz w:val="20"/>
          <w:szCs w:val="20"/>
        </w:rPr>
        <w:t>However well-intentioned and sincere the current Agency may be about weeding through complaints to pursue only meritorious ones, decisions to not pursue claims for minor or technical violations brought forth in a system set up for whistleblowers, and specifically those represented by legal representation, are virtually guaranteed result in demands for the addition of a private right of action as an enforcement mechanism when frustration invariably builds at a time when companies are still asking for compliance guidance and bearing the enormous – and vastly underappreciated costs</w:t>
      </w:r>
      <w:r w:rsidRPr="00C05EE0">
        <w:rPr>
          <w:rStyle w:val="FootnoteReference"/>
          <w:rFonts w:ascii="Helvetica" w:hAnsi="Helvetica" w:cs="Helvetica"/>
          <w:sz w:val="20"/>
          <w:szCs w:val="20"/>
        </w:rPr>
        <w:footnoteReference w:id="2"/>
      </w:r>
      <w:r w:rsidRPr="00C05EE0">
        <w:rPr>
          <w:rFonts w:ascii="Helvetica" w:hAnsi="Helvetica" w:cs="Helvetica"/>
          <w:sz w:val="20"/>
          <w:szCs w:val="20"/>
        </w:rPr>
        <w:t xml:space="preserve"> – of coming into compliance with recent Agency regulations. These are deeply personal rights that the average consumer or employee who feels they have a meritorious claim are not going to like seeing get foreclosed upon by lack of Agency action in the exercise of discretion. </w:t>
      </w:r>
    </w:p>
    <w:p w14:paraId="37D4BDE1" w14:textId="77777777" w:rsidR="005B2DED" w:rsidRPr="00BA45D1" w:rsidRDefault="005B2DED" w:rsidP="005B2DED">
      <w:pPr>
        <w:pStyle w:val="NoSpacing"/>
        <w:spacing w:after="240"/>
        <w:jc w:val="both"/>
        <w:rPr>
          <w:rFonts w:ascii="Helvetica" w:hAnsi="Helvetica" w:cs="Helvetica"/>
          <w:b/>
          <w:bCs/>
          <w:sz w:val="20"/>
          <w:szCs w:val="20"/>
          <w:u w:val="single"/>
        </w:rPr>
      </w:pPr>
      <w:r w:rsidRPr="00BA45D1">
        <w:rPr>
          <w:rFonts w:ascii="Helvetica" w:hAnsi="Helvetica" w:cs="Helvetica"/>
          <w:b/>
          <w:bCs/>
          <w:sz w:val="20"/>
          <w:szCs w:val="20"/>
          <w:u w:val="single"/>
        </w:rPr>
        <w:t xml:space="preserve">PAGA and </w:t>
      </w:r>
      <w:r>
        <w:rPr>
          <w:rFonts w:ascii="Helvetica" w:hAnsi="Helvetica" w:cs="Helvetica"/>
          <w:b/>
          <w:bCs/>
          <w:sz w:val="20"/>
          <w:szCs w:val="20"/>
          <w:u w:val="single"/>
        </w:rPr>
        <w:t>o</w:t>
      </w:r>
      <w:r w:rsidRPr="00BA45D1">
        <w:rPr>
          <w:rFonts w:ascii="Helvetica" w:hAnsi="Helvetica" w:cs="Helvetica"/>
          <w:b/>
          <w:bCs/>
          <w:sz w:val="20"/>
          <w:szCs w:val="20"/>
          <w:u w:val="single"/>
        </w:rPr>
        <w:t xml:space="preserve">ther </w:t>
      </w:r>
      <w:r>
        <w:rPr>
          <w:rFonts w:ascii="Helvetica" w:hAnsi="Helvetica" w:cs="Helvetica"/>
          <w:b/>
          <w:bCs/>
          <w:sz w:val="20"/>
          <w:szCs w:val="20"/>
          <w:u w:val="single"/>
        </w:rPr>
        <w:t>e</w:t>
      </w:r>
      <w:r w:rsidRPr="00BA45D1">
        <w:rPr>
          <w:rFonts w:ascii="Helvetica" w:hAnsi="Helvetica" w:cs="Helvetica"/>
          <w:b/>
          <w:bCs/>
          <w:sz w:val="20"/>
          <w:szCs w:val="20"/>
          <w:u w:val="single"/>
        </w:rPr>
        <w:t xml:space="preserve">nforcement </w:t>
      </w:r>
      <w:r>
        <w:rPr>
          <w:rFonts w:ascii="Helvetica" w:hAnsi="Helvetica" w:cs="Helvetica"/>
          <w:b/>
          <w:bCs/>
          <w:sz w:val="20"/>
          <w:szCs w:val="20"/>
          <w:u w:val="single"/>
        </w:rPr>
        <w:t>r</w:t>
      </w:r>
      <w:r w:rsidRPr="00BA45D1">
        <w:rPr>
          <w:rFonts w:ascii="Helvetica" w:hAnsi="Helvetica" w:cs="Helvetica"/>
          <w:b/>
          <w:bCs/>
          <w:sz w:val="20"/>
          <w:szCs w:val="20"/>
          <w:u w:val="single"/>
        </w:rPr>
        <w:t xml:space="preserve">egimes </w:t>
      </w:r>
      <w:r>
        <w:rPr>
          <w:rFonts w:ascii="Helvetica" w:hAnsi="Helvetica" w:cs="Helvetica"/>
          <w:b/>
          <w:bCs/>
          <w:sz w:val="20"/>
          <w:szCs w:val="20"/>
          <w:u w:val="single"/>
        </w:rPr>
        <w:t>d</w:t>
      </w:r>
      <w:r w:rsidRPr="00BA45D1">
        <w:rPr>
          <w:rFonts w:ascii="Helvetica" w:hAnsi="Helvetica" w:cs="Helvetica"/>
          <w:b/>
          <w:bCs/>
          <w:sz w:val="20"/>
          <w:szCs w:val="20"/>
          <w:u w:val="single"/>
        </w:rPr>
        <w:t>emonstrate the</w:t>
      </w:r>
      <w:r>
        <w:rPr>
          <w:rFonts w:ascii="Helvetica" w:hAnsi="Helvetica" w:cs="Helvetica"/>
          <w:b/>
          <w:bCs/>
          <w:sz w:val="20"/>
          <w:szCs w:val="20"/>
          <w:u w:val="single"/>
        </w:rPr>
        <w:t xml:space="preserve"> ri</w:t>
      </w:r>
      <w:r w:rsidRPr="00BA45D1">
        <w:rPr>
          <w:rFonts w:ascii="Helvetica" w:hAnsi="Helvetica" w:cs="Helvetica"/>
          <w:b/>
          <w:bCs/>
          <w:sz w:val="20"/>
          <w:szCs w:val="20"/>
          <w:u w:val="single"/>
        </w:rPr>
        <w:t xml:space="preserve">sks of </w:t>
      </w:r>
      <w:r>
        <w:rPr>
          <w:rFonts w:ascii="Helvetica" w:hAnsi="Helvetica" w:cs="Helvetica"/>
          <w:b/>
          <w:bCs/>
          <w:sz w:val="20"/>
          <w:szCs w:val="20"/>
          <w:u w:val="single"/>
        </w:rPr>
        <w:t>b</w:t>
      </w:r>
      <w:r w:rsidRPr="00BA45D1">
        <w:rPr>
          <w:rFonts w:ascii="Helvetica" w:hAnsi="Helvetica" w:cs="Helvetica"/>
          <w:b/>
          <w:bCs/>
          <w:sz w:val="20"/>
          <w:szCs w:val="20"/>
          <w:u w:val="single"/>
        </w:rPr>
        <w:t>ounty-</w:t>
      </w:r>
      <w:r>
        <w:rPr>
          <w:rFonts w:ascii="Helvetica" w:hAnsi="Helvetica" w:cs="Helvetica"/>
          <w:b/>
          <w:bCs/>
          <w:sz w:val="20"/>
          <w:szCs w:val="20"/>
          <w:u w:val="single"/>
        </w:rPr>
        <w:t>s</w:t>
      </w:r>
      <w:r w:rsidRPr="00BA45D1">
        <w:rPr>
          <w:rFonts w:ascii="Helvetica" w:hAnsi="Helvetica" w:cs="Helvetica"/>
          <w:b/>
          <w:bCs/>
          <w:sz w:val="20"/>
          <w:szCs w:val="20"/>
          <w:u w:val="single"/>
        </w:rPr>
        <w:t xml:space="preserve">tyle </w:t>
      </w:r>
      <w:r>
        <w:rPr>
          <w:rFonts w:ascii="Helvetica" w:hAnsi="Helvetica" w:cs="Helvetica"/>
          <w:b/>
          <w:bCs/>
          <w:sz w:val="20"/>
          <w:szCs w:val="20"/>
          <w:u w:val="single"/>
        </w:rPr>
        <w:t>e</w:t>
      </w:r>
      <w:r w:rsidRPr="00BA45D1">
        <w:rPr>
          <w:rFonts w:ascii="Helvetica" w:hAnsi="Helvetica" w:cs="Helvetica"/>
          <w:b/>
          <w:bCs/>
          <w:sz w:val="20"/>
          <w:szCs w:val="20"/>
          <w:u w:val="single"/>
        </w:rPr>
        <w:t>nforcement</w:t>
      </w:r>
    </w:p>
    <w:p w14:paraId="778529B7" w14:textId="6CAB4AA5" w:rsidR="005B2DED" w:rsidRPr="00C05EE0" w:rsidRDefault="005B2DED" w:rsidP="005B2DED">
      <w:pPr>
        <w:pStyle w:val="NoSpacing"/>
        <w:spacing w:after="240"/>
        <w:jc w:val="both"/>
        <w:rPr>
          <w:rFonts w:ascii="Helvetica" w:hAnsi="Helvetica" w:cs="Helvetica"/>
          <w:sz w:val="20"/>
          <w:szCs w:val="20"/>
        </w:rPr>
      </w:pPr>
      <w:r w:rsidRPr="00C05EE0">
        <w:rPr>
          <w:rFonts w:ascii="Helvetica" w:hAnsi="Helvetica" w:cs="Helvetica"/>
          <w:sz w:val="20"/>
          <w:szCs w:val="20"/>
        </w:rPr>
        <w:t>One prime example of a deputized enforcement mechanism that was subject to years of abuse is PAGA. Thousands of notices are filed every year, many of which are boilerplate and used simply to leverage a settlement.</w:t>
      </w:r>
      <w:r w:rsidRPr="00C05EE0">
        <w:rPr>
          <w:rStyle w:val="FootnoteReference"/>
          <w:rFonts w:ascii="Helvetica" w:hAnsi="Helvetica" w:cs="Helvetica"/>
          <w:sz w:val="20"/>
          <w:szCs w:val="20"/>
        </w:rPr>
        <w:footnoteReference w:id="3"/>
      </w:r>
      <w:r w:rsidRPr="00C05EE0">
        <w:rPr>
          <w:rFonts w:ascii="Helvetica" w:hAnsi="Helvetica" w:cs="Helvetica"/>
          <w:sz w:val="20"/>
          <w:szCs w:val="20"/>
        </w:rPr>
        <w:t xml:space="preserve"> Companies are under “enormous pressure” to settle claims “regardless of the validity of those claims.” </w:t>
      </w:r>
      <w:r>
        <w:rPr>
          <w:rFonts w:ascii="Helvetica" w:hAnsi="Helvetica" w:cs="Helvetica"/>
          <w:sz w:val="20"/>
          <w:szCs w:val="20"/>
        </w:rPr>
        <w:t xml:space="preserve"> [</w:t>
      </w:r>
      <w:r w:rsidRPr="00C63D44">
        <w:rPr>
          <w:rFonts w:ascii="Helvetica" w:hAnsi="Helvetica" w:cs="Helvetica"/>
          <w:i/>
          <w:iCs/>
          <w:sz w:val="20"/>
          <w:szCs w:val="20"/>
        </w:rPr>
        <w:t>See</w:t>
      </w:r>
      <w:r>
        <w:rPr>
          <w:rFonts w:ascii="Helvetica" w:hAnsi="Helvetica" w:cs="Helvetica"/>
          <w:sz w:val="20"/>
          <w:szCs w:val="20"/>
        </w:rPr>
        <w:t xml:space="preserve"> </w:t>
      </w:r>
      <w:r w:rsidRPr="00C05EE0">
        <w:rPr>
          <w:rFonts w:ascii="Helvetica" w:hAnsi="Helvetica" w:cs="Helvetica"/>
          <w:sz w:val="20"/>
          <w:szCs w:val="20"/>
        </w:rPr>
        <w:t>Assembly Appropriations Analysis for SB 646 (Hertzberg).</w:t>
      </w:r>
      <w:r>
        <w:rPr>
          <w:rFonts w:ascii="Helvetica" w:hAnsi="Helvetica" w:cs="Helvetica"/>
          <w:sz w:val="20"/>
          <w:szCs w:val="20"/>
        </w:rPr>
        <w:t>]</w:t>
      </w:r>
      <w:r w:rsidRPr="00C05EE0">
        <w:rPr>
          <w:rFonts w:ascii="Helvetica" w:hAnsi="Helvetica" w:cs="Helvetica"/>
          <w:sz w:val="20"/>
          <w:szCs w:val="20"/>
        </w:rPr>
        <w:t xml:space="preserve"> Alleged violations are often technical in nature and, like </w:t>
      </w:r>
      <w:r w:rsidRPr="00DF0C1C">
        <w:rPr>
          <w:rFonts w:ascii="Helvetica" w:hAnsi="Helvetica" w:cs="Helvetica"/>
          <w:b/>
          <w:bCs/>
          <w:sz w:val="20"/>
          <w:szCs w:val="20"/>
        </w:rPr>
        <w:t>AB 2021</w:t>
      </w:r>
      <w:r w:rsidRPr="00C05EE0">
        <w:rPr>
          <w:rFonts w:ascii="Helvetica" w:hAnsi="Helvetica" w:cs="Helvetica"/>
          <w:sz w:val="20"/>
          <w:szCs w:val="20"/>
        </w:rPr>
        <w:t xml:space="preserve">, there is no requirement that the complainant actually experienced </w:t>
      </w:r>
      <w:r w:rsidRPr="00C05EE0">
        <w:rPr>
          <w:rFonts w:ascii="Helvetica" w:hAnsi="Helvetica" w:cs="Helvetica"/>
          <w:sz w:val="20"/>
          <w:szCs w:val="20"/>
        </w:rPr>
        <w:lastRenderedPageBreak/>
        <w:t>any harm. Even after the 2024 PAGA Reforms, the Labor and Workforce Development Agency is continuing to have to work to get that cottage industry under control through letters to law firms that continue to file hundreds of boilerplate cases and new regulations proposing to tag certain attorneys as high-frequency litigants or vexatious litigants. Those regulations even propose creating an entirely new PAGA notice form to try to slow down firms from copying and pasting boilerplate claims.</w:t>
      </w:r>
    </w:p>
    <w:p w14:paraId="4A9E4E89" w14:textId="77777777" w:rsidR="005B2DED" w:rsidRPr="00C05EE0" w:rsidRDefault="005B2DED" w:rsidP="005B2DED">
      <w:pPr>
        <w:pStyle w:val="NoSpacing"/>
        <w:spacing w:after="240"/>
        <w:jc w:val="both"/>
        <w:rPr>
          <w:rFonts w:ascii="Helvetica" w:hAnsi="Helvetica" w:cs="Helvetica"/>
          <w:sz w:val="20"/>
          <w:szCs w:val="20"/>
        </w:rPr>
      </w:pPr>
      <w:r w:rsidRPr="00C05EE0">
        <w:rPr>
          <w:rFonts w:ascii="Helvetica" w:hAnsi="Helvetica" w:cs="Helvetica"/>
          <w:sz w:val="20"/>
          <w:szCs w:val="20"/>
        </w:rPr>
        <w:t>ADA litigation is another good example. Unlike federal law, California law offers a $4,000 penalty for violations of the Unruh Civil Rights Act, which can be triggered by alleging</w:t>
      </w:r>
      <w:r>
        <w:rPr>
          <w:rFonts w:ascii="Helvetica" w:hAnsi="Helvetica" w:cs="Helvetica"/>
          <w:sz w:val="20"/>
          <w:szCs w:val="20"/>
        </w:rPr>
        <w:t xml:space="preserve"> a violation of the ADA. A cottage industry of attorneys has weaponized that penalty structure for minor violations of the ADA, targeting both small and large businesses.</w:t>
      </w:r>
      <w:r>
        <w:rPr>
          <w:rStyle w:val="FootnoteReference"/>
          <w:rFonts w:ascii="Helvetica" w:hAnsi="Helvetica" w:cs="Helvetica"/>
          <w:sz w:val="20"/>
          <w:szCs w:val="20"/>
        </w:rPr>
        <w:footnoteReference w:id="4"/>
      </w:r>
      <w:r>
        <w:rPr>
          <w:rFonts w:ascii="Helvetica" w:hAnsi="Helvetica" w:cs="Helvetica"/>
          <w:sz w:val="20"/>
          <w:szCs w:val="20"/>
        </w:rPr>
        <w:t xml:space="preserve"> Unfortunately, wherever there is a financial incentive to file claims under the promise of collecting a penalty, it generates a cottage industry that overwhelms the system with claims, </w:t>
      </w:r>
      <w:r w:rsidRPr="00C05EE0">
        <w:rPr>
          <w:rFonts w:ascii="Helvetica" w:hAnsi="Helvetica" w:cs="Helvetica"/>
          <w:sz w:val="20"/>
          <w:szCs w:val="20"/>
        </w:rPr>
        <w:t xml:space="preserve">often where there is no real harm to the plaintiff. </w:t>
      </w:r>
    </w:p>
    <w:p w14:paraId="3637BDC1" w14:textId="77777777" w:rsidR="005B2DED" w:rsidRDefault="005B2DED" w:rsidP="005B2DED">
      <w:pPr>
        <w:pStyle w:val="NoSpacing"/>
        <w:spacing w:after="240"/>
        <w:jc w:val="both"/>
        <w:rPr>
          <w:rFonts w:ascii="Helvetica" w:hAnsi="Helvetica" w:cs="Helvetica"/>
          <w:sz w:val="20"/>
          <w:szCs w:val="20"/>
        </w:rPr>
      </w:pPr>
      <w:r>
        <w:rPr>
          <w:rFonts w:ascii="Helvetica" w:hAnsi="Helvetica" w:cs="Helvetica"/>
          <w:sz w:val="20"/>
          <w:szCs w:val="20"/>
        </w:rPr>
        <w:t>Ultimately</w:t>
      </w:r>
      <w:r w:rsidRPr="00C05EE0">
        <w:rPr>
          <w:rFonts w:ascii="Helvetica" w:hAnsi="Helvetica" w:cs="Helvetica"/>
          <w:sz w:val="20"/>
          <w:szCs w:val="20"/>
        </w:rPr>
        <w:t>,</w:t>
      </w:r>
      <w:r>
        <w:rPr>
          <w:rFonts w:ascii="Helvetica" w:hAnsi="Helvetica" w:cs="Helvetica"/>
          <w:sz w:val="20"/>
          <w:szCs w:val="20"/>
        </w:rPr>
        <w:t xml:space="preserve"> we do not believe that the inclusion of a whistleblower incentive into </w:t>
      </w:r>
      <w:r w:rsidRPr="0037200D">
        <w:rPr>
          <w:rFonts w:ascii="Helvetica" w:hAnsi="Helvetica" w:cs="Helvetica"/>
          <w:sz w:val="20"/>
          <w:szCs w:val="20"/>
        </w:rPr>
        <w:t>CCPA</w:t>
      </w:r>
      <w:r>
        <w:rPr>
          <w:rFonts w:ascii="Helvetica" w:hAnsi="Helvetica" w:cs="Helvetica"/>
          <w:sz w:val="20"/>
          <w:szCs w:val="20"/>
        </w:rPr>
        <w:t xml:space="preserve"> is appropriate or directly comparable to the whistleblower statutes relied upon to help enforce</w:t>
      </w:r>
      <w:r w:rsidRPr="00C05EE0">
        <w:rPr>
          <w:rFonts w:ascii="Helvetica" w:hAnsi="Helvetica" w:cs="Helvetica"/>
          <w:sz w:val="20"/>
          <w:szCs w:val="20"/>
        </w:rPr>
        <w:t xml:space="preserve"> the California False Claims Act or federal securities or tax law</w:t>
      </w:r>
      <w:r>
        <w:rPr>
          <w:rFonts w:ascii="Helvetica" w:hAnsi="Helvetica" w:cs="Helvetica"/>
          <w:sz w:val="20"/>
          <w:szCs w:val="20"/>
        </w:rPr>
        <w:t xml:space="preserve"> that</w:t>
      </w:r>
      <w:r w:rsidRPr="00EA3D7A">
        <w:rPr>
          <w:rFonts w:ascii="Helvetica" w:hAnsi="Helvetica" w:cs="Helvetica"/>
          <w:sz w:val="20"/>
          <w:szCs w:val="20"/>
        </w:rPr>
        <w:t xml:space="preserve"> rely on whistleblower incentives to expose concealed misconduct. Those regimes address inherently hidden violations—such as fraud or tax evasion—where critical information is uniquely held by insiders and cannot be feasibly detected by regulators absent whistleblower disclosures. By contrast, the CCPA governs ongoing data practices within a comprehensive regulatory framework overseen by the </w:t>
      </w:r>
      <w:r>
        <w:rPr>
          <w:rFonts w:ascii="Helvetica" w:hAnsi="Helvetica" w:cs="Helvetica"/>
          <w:sz w:val="20"/>
          <w:szCs w:val="20"/>
        </w:rPr>
        <w:t>CPPA</w:t>
      </w:r>
      <w:r w:rsidRPr="00EA3D7A">
        <w:rPr>
          <w:rFonts w:ascii="Helvetica" w:hAnsi="Helvetica" w:cs="Helvetica"/>
          <w:sz w:val="20"/>
          <w:szCs w:val="20"/>
        </w:rPr>
        <w:t>, where compliance is subject to audits, investigations, and consumer complaints. While some aspects of data processing may not be fully visible to the public, CCPA violations are not typically predicated on the kind of intentional, covert misconduct that necessitates whistleblower-driven enforcement.</w:t>
      </w:r>
    </w:p>
    <w:p w14:paraId="137762BE" w14:textId="77777777" w:rsidR="005B2DED" w:rsidRPr="00B76FC6" w:rsidRDefault="005B2DED" w:rsidP="005B2DED">
      <w:pPr>
        <w:pStyle w:val="NoSpacing"/>
        <w:spacing w:after="240"/>
        <w:jc w:val="both"/>
        <w:rPr>
          <w:rFonts w:ascii="Helvetica" w:hAnsi="Helvetica" w:cs="Helvetica"/>
          <w:sz w:val="20"/>
          <w:szCs w:val="20"/>
        </w:rPr>
      </w:pPr>
      <w:r>
        <w:rPr>
          <w:rFonts w:ascii="Helvetica" w:hAnsi="Helvetica" w:cs="Helvetica"/>
          <w:sz w:val="20"/>
          <w:szCs w:val="20"/>
        </w:rPr>
        <w:t>Similarly, t</w:t>
      </w:r>
      <w:r w:rsidRPr="00C05EE0">
        <w:rPr>
          <w:rFonts w:ascii="Helvetica" w:hAnsi="Helvetica" w:cs="Helvetica"/>
          <w:sz w:val="20"/>
          <w:szCs w:val="20"/>
        </w:rPr>
        <w:t xml:space="preserve">he policy behind the False Claims Act is that, in order to avoid bad actors defrauding the government, you must incentivize whistleblowers to come forward.  Without such incentives, there is no law enforcement or agency which can sufficiently oversee every state contract and compliance with them.  In contrast, the CCPA is an incredibly complicated and continually evolving legal framework that has </w:t>
      </w:r>
      <w:r w:rsidRPr="00C05EE0">
        <w:rPr>
          <w:rFonts w:ascii="Helvetica" w:hAnsi="Helvetica" w:cs="Helvetica"/>
          <w:sz w:val="20"/>
          <w:szCs w:val="20"/>
          <w:u w:val="single"/>
        </w:rPr>
        <w:t>an entire agency dedicated to the enforcement</w:t>
      </w:r>
      <w:r w:rsidRPr="00C05EE0">
        <w:rPr>
          <w:rFonts w:ascii="Helvetica" w:hAnsi="Helvetica" w:cs="Helvetica"/>
          <w:sz w:val="20"/>
          <w:szCs w:val="20"/>
        </w:rPr>
        <w:t xml:space="preserve"> of </w:t>
      </w:r>
      <w:r w:rsidRPr="00C05EE0">
        <w:rPr>
          <w:rFonts w:ascii="Helvetica" w:hAnsi="Helvetica" w:cs="Helvetica"/>
          <w:i/>
          <w:iCs/>
          <w:sz w:val="20"/>
          <w:szCs w:val="20"/>
          <w:u w:val="single"/>
        </w:rPr>
        <w:t>personal</w:t>
      </w:r>
      <w:r w:rsidRPr="00C05EE0">
        <w:rPr>
          <w:rFonts w:ascii="Helvetica" w:hAnsi="Helvetica" w:cs="Helvetica"/>
          <w:sz w:val="20"/>
          <w:szCs w:val="20"/>
        </w:rPr>
        <w:t xml:space="preserve"> data privacy rights</w:t>
      </w:r>
      <w:r>
        <w:rPr>
          <w:rFonts w:ascii="Helvetica" w:hAnsi="Helvetica" w:cs="Helvetica"/>
          <w:sz w:val="20"/>
          <w:szCs w:val="20"/>
        </w:rPr>
        <w:t xml:space="preserve"> and </w:t>
      </w:r>
      <w:r w:rsidRPr="00EA3D7A">
        <w:rPr>
          <w:rFonts w:ascii="Helvetica" w:hAnsi="Helvetica" w:cs="Helvetica"/>
          <w:sz w:val="20"/>
          <w:szCs w:val="20"/>
        </w:rPr>
        <w:t>—</w:t>
      </w:r>
      <w:r>
        <w:rPr>
          <w:rFonts w:ascii="Helvetica" w:hAnsi="Helvetica" w:cs="Helvetica"/>
          <w:sz w:val="20"/>
          <w:szCs w:val="20"/>
        </w:rPr>
        <w:t xml:space="preserve"> as evidenced above </w:t>
      </w:r>
      <w:r w:rsidRPr="00EA3D7A">
        <w:rPr>
          <w:rFonts w:ascii="Helvetica" w:hAnsi="Helvetica" w:cs="Helvetica"/>
          <w:sz w:val="20"/>
          <w:szCs w:val="20"/>
        </w:rPr>
        <w:t>—</w:t>
      </w:r>
      <w:r>
        <w:rPr>
          <w:rFonts w:ascii="Helvetica" w:hAnsi="Helvetica" w:cs="Helvetica"/>
          <w:sz w:val="20"/>
          <w:szCs w:val="20"/>
        </w:rPr>
        <w:t xml:space="preserve"> the Agency already receives thousands of reports of alleged violations by people concerned that their rights have been violated</w:t>
      </w:r>
      <w:r w:rsidRPr="00C05EE0">
        <w:rPr>
          <w:rFonts w:ascii="Helvetica" w:hAnsi="Helvetica" w:cs="Helvetica"/>
          <w:sz w:val="20"/>
          <w:szCs w:val="20"/>
        </w:rPr>
        <w:t xml:space="preserve">. </w:t>
      </w:r>
      <w:r w:rsidRPr="006714E3">
        <w:rPr>
          <w:rFonts w:ascii="Helvetica" w:hAnsi="Helvetica" w:cs="Helvetica"/>
          <w:sz w:val="20"/>
          <w:szCs w:val="20"/>
        </w:rPr>
        <w:t>California law has not traditionally relied on whistleblower-style bounty mechanisms to enforce personal rights of this kind.</w:t>
      </w:r>
      <w:r>
        <w:rPr>
          <w:rFonts w:ascii="Helvetica" w:hAnsi="Helvetica" w:cs="Helvetica"/>
          <w:sz w:val="20"/>
          <w:szCs w:val="20"/>
        </w:rPr>
        <w:t xml:space="preserve"> </w:t>
      </w:r>
      <w:r w:rsidRPr="00197EEA">
        <w:rPr>
          <w:rFonts w:ascii="Helvetica" w:hAnsi="Helvetica" w:cs="Helvetica"/>
          <w:sz w:val="20"/>
          <w:szCs w:val="20"/>
        </w:rPr>
        <w:t>Layering financial incentives onto this framework risks distorting enforcement priorities, encouraging opportunistic or high-volume claims untethered from concrete harm, and undermining the role of the designated regulatory authority</w:t>
      </w:r>
      <w:r>
        <w:rPr>
          <w:rFonts w:ascii="Helvetica" w:hAnsi="Helvetica" w:cs="Helvetica"/>
          <w:sz w:val="20"/>
          <w:szCs w:val="20"/>
        </w:rPr>
        <w:t xml:space="preserve"> </w:t>
      </w:r>
      <w:r w:rsidRPr="00197EEA">
        <w:rPr>
          <w:rFonts w:ascii="Helvetica" w:hAnsi="Helvetica" w:cs="Helvetica"/>
          <w:sz w:val="20"/>
          <w:szCs w:val="20"/>
        </w:rPr>
        <w:t>as illustrated by the well-documented challenges associated with PAGA enforcement.</w:t>
      </w:r>
    </w:p>
    <w:p w14:paraId="29556A47" w14:textId="2103EDE3" w:rsidR="00E7342E" w:rsidRPr="00F368A7" w:rsidRDefault="00B3724E" w:rsidP="00B877A0">
      <w:pPr>
        <w:pStyle w:val="NoSpacing"/>
        <w:spacing w:after="240"/>
        <w:jc w:val="both"/>
        <w:rPr>
          <w:rFonts w:ascii="Helvetica" w:hAnsi="Helvetica" w:cs="Helvetica"/>
          <w:sz w:val="20"/>
          <w:szCs w:val="20"/>
        </w:rPr>
      </w:pPr>
      <w:r>
        <w:rPr>
          <w:rFonts w:ascii="Helvetica" w:hAnsi="Helvetica" w:cs="Helvetica"/>
          <w:sz w:val="20"/>
          <w:szCs w:val="20"/>
        </w:rPr>
        <w:t>For</w:t>
      </w:r>
      <w:r w:rsidR="00E7342E">
        <w:rPr>
          <w:rFonts w:ascii="Helvetica" w:hAnsi="Helvetica" w:cs="Helvetica"/>
          <w:sz w:val="20"/>
          <w:szCs w:val="20"/>
        </w:rPr>
        <w:t xml:space="preserve"> these</w:t>
      </w:r>
      <w:r>
        <w:rPr>
          <w:rFonts w:ascii="Helvetica" w:hAnsi="Helvetica" w:cs="Helvetica"/>
          <w:sz w:val="20"/>
          <w:szCs w:val="20"/>
        </w:rPr>
        <w:t xml:space="preserve"> </w:t>
      </w:r>
      <w:r w:rsidR="00E7342E">
        <w:rPr>
          <w:rFonts w:ascii="Helvetica" w:hAnsi="Helvetica" w:cs="Helvetica"/>
          <w:sz w:val="20"/>
          <w:szCs w:val="20"/>
        </w:rPr>
        <w:t xml:space="preserve">reasons we must </w:t>
      </w:r>
      <w:r w:rsidR="00E7342E" w:rsidRPr="00165C3A">
        <w:rPr>
          <w:rFonts w:ascii="Helvetica" w:hAnsi="Helvetica" w:cs="Helvetica"/>
          <w:b/>
          <w:bCs/>
          <w:sz w:val="20"/>
          <w:szCs w:val="20"/>
        </w:rPr>
        <w:t>OPPOSE</w:t>
      </w:r>
      <w:r w:rsidR="00AC74C6">
        <w:rPr>
          <w:rFonts w:ascii="Helvetica" w:hAnsi="Helvetica" w:cs="Helvetica"/>
          <w:b/>
          <w:bCs/>
          <w:sz w:val="20"/>
          <w:szCs w:val="20"/>
        </w:rPr>
        <w:t xml:space="preserve"> </w:t>
      </w:r>
      <w:r w:rsidR="00E7342E" w:rsidRPr="008C3C80">
        <w:rPr>
          <w:rFonts w:ascii="Helvetica" w:hAnsi="Helvetica" w:cs="Helvetica"/>
          <w:sz w:val="20"/>
          <w:szCs w:val="20"/>
        </w:rPr>
        <w:t>your</w:t>
      </w:r>
      <w:r w:rsidR="00E7342E">
        <w:rPr>
          <w:rFonts w:ascii="Helvetica" w:hAnsi="Helvetica" w:cs="Helvetica"/>
          <w:b/>
          <w:bCs/>
          <w:sz w:val="20"/>
          <w:szCs w:val="20"/>
        </w:rPr>
        <w:t xml:space="preserve"> </w:t>
      </w:r>
      <w:r w:rsidR="0049224F">
        <w:rPr>
          <w:rFonts w:ascii="Helvetica" w:hAnsi="Helvetica" w:cs="Helvetica"/>
          <w:b/>
          <w:bCs/>
          <w:sz w:val="20"/>
          <w:szCs w:val="20"/>
        </w:rPr>
        <w:t>AB 2021</w:t>
      </w:r>
      <w:r w:rsidR="00E7342E" w:rsidRPr="00CF59D1">
        <w:rPr>
          <w:rFonts w:ascii="Helvetica" w:hAnsi="Helvetica" w:cs="Helvetica"/>
          <w:sz w:val="20"/>
          <w:szCs w:val="20"/>
        </w:rPr>
        <w:t xml:space="preserve"> </w:t>
      </w:r>
      <w:r w:rsidR="00E7342E" w:rsidRPr="00CF59D1">
        <w:rPr>
          <w:rFonts w:ascii="Helvetica" w:hAnsi="Helvetica" w:cs="Helvetica"/>
          <w:b/>
          <w:bCs/>
          <w:sz w:val="20"/>
          <w:szCs w:val="20"/>
        </w:rPr>
        <w:t>(</w:t>
      </w:r>
      <w:r w:rsidR="0049224F">
        <w:rPr>
          <w:rFonts w:ascii="Helvetica" w:hAnsi="Helvetica" w:cs="Helvetica"/>
          <w:b/>
          <w:bCs/>
          <w:sz w:val="20"/>
          <w:szCs w:val="20"/>
        </w:rPr>
        <w:t>Schiavo</w:t>
      </w:r>
      <w:r w:rsidR="00E7342E" w:rsidRPr="00CF59D1">
        <w:rPr>
          <w:rFonts w:ascii="Helvetica" w:hAnsi="Helvetica" w:cs="Helvetica"/>
          <w:b/>
          <w:bCs/>
          <w:sz w:val="20"/>
          <w:szCs w:val="20"/>
        </w:rPr>
        <w:t>)</w:t>
      </w:r>
      <w:r w:rsidR="00E7342E">
        <w:rPr>
          <w:rFonts w:ascii="Helvetica" w:hAnsi="Helvetica" w:cs="Helvetica"/>
          <w:b/>
          <w:bCs/>
          <w:sz w:val="20"/>
          <w:szCs w:val="20"/>
        </w:rPr>
        <w:t>.</w:t>
      </w:r>
      <w:r w:rsidR="00E7342E" w:rsidRPr="00CF59D1">
        <w:rPr>
          <w:rFonts w:ascii="Helvetica" w:hAnsi="Helvetica" w:cs="Helvetica"/>
          <w:color w:val="000000"/>
          <w:sz w:val="20"/>
          <w:szCs w:val="20"/>
        </w:rPr>
        <w:t xml:space="preserve"> </w:t>
      </w:r>
    </w:p>
    <w:p w14:paraId="13073ED5" w14:textId="0E31A5AF" w:rsidR="00526750" w:rsidRPr="00B66534" w:rsidRDefault="00B95BB8" w:rsidP="00B66534">
      <w:pPr>
        <w:pStyle w:val="NoSpacing"/>
        <w:jc w:val="both"/>
        <w:rPr>
          <w:rFonts w:ascii="Helvetica" w:hAnsi="Helvetica" w:cs="Helvetica"/>
          <w:sz w:val="20"/>
          <w:szCs w:val="20"/>
        </w:rPr>
      </w:pPr>
      <w:r w:rsidRPr="00172F6A">
        <w:rPr>
          <w:noProof/>
        </w:rPr>
        <w:drawing>
          <wp:anchor distT="0" distB="0" distL="114300" distR="114300" simplePos="0" relativeHeight="251658241" behindDoc="1" locked="0" layoutInCell="1" allowOverlap="1" wp14:anchorId="5E4F50C5" wp14:editId="409DB3A2">
            <wp:simplePos x="0" y="0"/>
            <wp:positionH relativeFrom="column">
              <wp:posOffset>-137160</wp:posOffset>
            </wp:positionH>
            <wp:positionV relativeFrom="paragraph">
              <wp:posOffset>201930</wp:posOffset>
            </wp:positionV>
            <wp:extent cx="1637030" cy="466725"/>
            <wp:effectExtent l="0" t="0" r="1270" b="9525"/>
            <wp:wrapNone/>
            <wp:docPr id="3" name="Picture 3"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sect&#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7854" r="8158" b="21596"/>
                    <a:stretch/>
                  </pic:blipFill>
                  <pic:spPr bwMode="auto">
                    <a:xfrm>
                      <a:off x="0" y="0"/>
                      <a:ext cx="163703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6750" w:rsidRPr="00526750">
        <w:t xml:space="preserve">Sincerely, </w:t>
      </w:r>
    </w:p>
    <w:p w14:paraId="06ECEE48" w14:textId="35AECE6B" w:rsidR="00526750" w:rsidRDefault="00526750" w:rsidP="00B66534">
      <w:pPr>
        <w:pStyle w:val="NoSpacing"/>
        <w:jc w:val="both"/>
        <w:rPr>
          <w:rFonts w:ascii="Helvetica" w:hAnsi="Helvetica" w:cs="Helvetica"/>
          <w:b/>
          <w:bCs/>
          <w:sz w:val="20"/>
          <w:szCs w:val="20"/>
        </w:rPr>
      </w:pPr>
    </w:p>
    <w:p w14:paraId="6CE3D497" w14:textId="24D47EFA" w:rsidR="00B66534" w:rsidRDefault="00B66534" w:rsidP="00B66534">
      <w:pPr>
        <w:pStyle w:val="NoSpacing"/>
        <w:jc w:val="both"/>
        <w:rPr>
          <w:rFonts w:ascii="Helvetica" w:hAnsi="Helvetica" w:cs="Helvetica"/>
          <w:b/>
          <w:bCs/>
          <w:sz w:val="20"/>
          <w:szCs w:val="20"/>
        </w:rPr>
      </w:pPr>
    </w:p>
    <w:p w14:paraId="1CD39EA6" w14:textId="77777777" w:rsidR="00B66534" w:rsidRPr="00B66534" w:rsidRDefault="00B66534" w:rsidP="00B66534">
      <w:pPr>
        <w:pStyle w:val="NoSpacing"/>
        <w:jc w:val="both"/>
        <w:rPr>
          <w:rFonts w:ascii="Helvetica" w:hAnsi="Helvetica" w:cs="Helvetica"/>
          <w:b/>
          <w:bCs/>
          <w:sz w:val="20"/>
          <w:szCs w:val="20"/>
        </w:rPr>
      </w:pPr>
    </w:p>
    <w:p w14:paraId="180221A3" w14:textId="4CDAF4C4" w:rsidR="00526750" w:rsidRPr="00526750" w:rsidRDefault="00526750" w:rsidP="00214E58">
      <w:pPr>
        <w:spacing w:after="0" w:line="259" w:lineRule="auto"/>
        <w:rPr>
          <w:rFonts w:ascii="Helvetica" w:hAnsi="Helvetica" w:cs="Helvetica"/>
          <w:kern w:val="0"/>
          <w:sz w:val="20"/>
          <w:szCs w:val="20"/>
          <w14:ligatures w14:val="none"/>
        </w:rPr>
      </w:pPr>
      <w:r w:rsidRPr="00526750">
        <w:rPr>
          <w:rFonts w:ascii="Helvetica" w:hAnsi="Helvetica" w:cs="Helvetica"/>
          <w:kern w:val="0"/>
          <w:sz w:val="20"/>
          <w:szCs w:val="20"/>
          <w14:ligatures w14:val="none"/>
        </w:rPr>
        <w:t xml:space="preserve">Ronak Daylami </w:t>
      </w:r>
    </w:p>
    <w:p w14:paraId="24D11CCB" w14:textId="7C18C7AD" w:rsidR="00526750" w:rsidRDefault="00526750" w:rsidP="00214E58">
      <w:pPr>
        <w:spacing w:after="0" w:line="259" w:lineRule="auto"/>
        <w:rPr>
          <w:rFonts w:ascii="Helvetica" w:hAnsi="Helvetica" w:cs="Helvetica"/>
          <w:kern w:val="0"/>
          <w:sz w:val="20"/>
          <w:szCs w:val="20"/>
          <w14:ligatures w14:val="none"/>
        </w:rPr>
      </w:pPr>
      <w:r w:rsidRPr="00526750">
        <w:rPr>
          <w:rFonts w:ascii="Helvetica" w:hAnsi="Helvetica" w:cs="Helvetica"/>
          <w:kern w:val="0"/>
          <w:sz w:val="20"/>
          <w:szCs w:val="20"/>
          <w14:ligatures w14:val="none"/>
        </w:rPr>
        <w:t>Policy Advocate</w:t>
      </w:r>
    </w:p>
    <w:p w14:paraId="02400E40" w14:textId="6CEBAF43" w:rsidR="00B06DA4" w:rsidRDefault="00B06DA4" w:rsidP="00214E58">
      <w:pPr>
        <w:spacing w:after="0" w:line="259" w:lineRule="auto"/>
        <w:rPr>
          <w:rFonts w:ascii="Helvetica" w:hAnsi="Helvetica" w:cs="Helvetica"/>
          <w:kern w:val="0"/>
          <w:sz w:val="20"/>
          <w:szCs w:val="20"/>
          <w14:ligatures w14:val="none"/>
        </w:rPr>
      </w:pPr>
    </w:p>
    <w:p w14:paraId="575F7B7A" w14:textId="482FC5E3" w:rsidR="00CF59D1" w:rsidRDefault="00F14BFE" w:rsidP="00221FD6">
      <w:pPr>
        <w:spacing w:after="0" w:line="259" w:lineRule="auto"/>
        <w:rPr>
          <w:rFonts w:ascii="Helvetica" w:hAnsi="Helvetica" w:cs="Helvetica"/>
          <w:kern w:val="0"/>
          <w:sz w:val="20"/>
          <w:szCs w:val="20"/>
          <w14:ligatures w14:val="none"/>
        </w:rPr>
      </w:pPr>
      <w:r>
        <w:rPr>
          <w:rFonts w:ascii="Helvetica" w:hAnsi="Helvetica" w:cs="Helvetica"/>
          <w:kern w:val="0"/>
          <w:sz w:val="20"/>
          <w:szCs w:val="20"/>
          <w14:ligatures w14:val="none"/>
        </w:rPr>
        <w:t>c</w:t>
      </w:r>
      <w:r w:rsidR="00025356">
        <w:rPr>
          <w:rFonts w:ascii="Helvetica" w:hAnsi="Helvetica" w:cs="Helvetica"/>
          <w:kern w:val="0"/>
          <w:sz w:val="20"/>
          <w:szCs w:val="20"/>
          <w14:ligatures w14:val="none"/>
        </w:rPr>
        <w:t>c:</w:t>
      </w:r>
      <w:r w:rsidR="00025356">
        <w:rPr>
          <w:rFonts w:ascii="Helvetica" w:hAnsi="Helvetica" w:cs="Helvetica"/>
          <w:kern w:val="0"/>
          <w:sz w:val="20"/>
          <w:szCs w:val="20"/>
          <w14:ligatures w14:val="none"/>
        </w:rPr>
        <w:tab/>
      </w:r>
      <w:r w:rsidR="006B692C">
        <w:rPr>
          <w:rFonts w:ascii="Helvetica" w:hAnsi="Helvetica" w:cs="Helvetica"/>
          <w:kern w:val="0"/>
          <w:sz w:val="20"/>
          <w:szCs w:val="20"/>
          <w14:ligatures w14:val="none"/>
        </w:rPr>
        <w:t>Legislative Affairs, Office of the Governor</w:t>
      </w:r>
    </w:p>
    <w:p w14:paraId="3C4E2397" w14:textId="77777777" w:rsidR="002C741A" w:rsidRDefault="002C741A" w:rsidP="00221FD6">
      <w:pPr>
        <w:spacing w:after="0" w:line="259" w:lineRule="auto"/>
        <w:rPr>
          <w:rFonts w:ascii="Helvetica" w:hAnsi="Helvetica" w:cs="Helvetica"/>
          <w:kern w:val="0"/>
          <w:sz w:val="20"/>
          <w:szCs w:val="20"/>
          <w14:ligatures w14:val="none"/>
        </w:rPr>
      </w:pPr>
    </w:p>
    <w:p w14:paraId="5E26F010" w14:textId="1044C2BD" w:rsidR="002C741A" w:rsidRPr="00526750" w:rsidRDefault="002C741A" w:rsidP="00221FD6">
      <w:pPr>
        <w:spacing w:after="0" w:line="259" w:lineRule="auto"/>
        <w:rPr>
          <w:rFonts w:ascii="Helvetica" w:hAnsi="Helvetica" w:cs="Helvetica"/>
          <w:kern w:val="0"/>
          <w:sz w:val="20"/>
          <w:szCs w:val="20"/>
          <w14:ligatures w14:val="none"/>
        </w:rPr>
      </w:pPr>
      <w:r>
        <w:rPr>
          <w:rFonts w:ascii="Helvetica" w:hAnsi="Helvetica" w:cs="Helvetica"/>
          <w:kern w:val="0"/>
          <w:sz w:val="20"/>
          <w:szCs w:val="20"/>
          <w14:ligatures w14:val="none"/>
        </w:rPr>
        <w:t>RD:ldl</w:t>
      </w:r>
    </w:p>
    <w:sectPr w:rsidR="002C741A" w:rsidRPr="00526750" w:rsidSect="00930651">
      <w:footerReference w:type="defaul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41E4" w14:textId="77777777" w:rsidR="00C57A38" w:rsidRDefault="00C57A38" w:rsidP="00452C29">
      <w:pPr>
        <w:spacing w:after="0" w:line="240" w:lineRule="auto"/>
      </w:pPr>
      <w:r>
        <w:separator/>
      </w:r>
    </w:p>
  </w:endnote>
  <w:endnote w:type="continuationSeparator" w:id="0">
    <w:p w14:paraId="6DC34F3C" w14:textId="77777777" w:rsidR="00C57A38" w:rsidRDefault="00C57A38" w:rsidP="00452C29">
      <w:pPr>
        <w:spacing w:after="0" w:line="240" w:lineRule="auto"/>
      </w:pPr>
      <w:r>
        <w:continuationSeparator/>
      </w:r>
    </w:p>
  </w:endnote>
  <w:endnote w:type="continuationNotice" w:id="1">
    <w:p w14:paraId="05226D7E" w14:textId="77777777" w:rsidR="00C57A38" w:rsidRDefault="00C57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2F19" w14:textId="5A2E3739" w:rsidR="00C315CB" w:rsidRDefault="00C315CB">
    <w:pPr>
      <w:pStyle w:val="Footer"/>
    </w:pPr>
    <w:r>
      <w:rPr>
        <w:noProof/>
      </w:rPr>
      <w:drawing>
        <wp:anchor distT="0" distB="0" distL="114300" distR="114300" simplePos="0" relativeHeight="251658240" behindDoc="1" locked="0" layoutInCell="1" allowOverlap="1" wp14:anchorId="3A096BD6" wp14:editId="4FCA58AB">
          <wp:simplePos x="0" y="0"/>
          <wp:positionH relativeFrom="column">
            <wp:posOffset>5158740</wp:posOffset>
          </wp:positionH>
          <wp:positionV relativeFrom="paragraph">
            <wp:posOffset>-347345</wp:posOffset>
          </wp:positionV>
          <wp:extent cx="1078992" cy="475488"/>
          <wp:effectExtent l="0" t="0" r="6985" b="1270"/>
          <wp:wrapNone/>
          <wp:docPr id="1"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992" cy="47548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6F1D" w14:textId="77777777" w:rsidR="00C57A38" w:rsidRDefault="00C57A38" w:rsidP="00452C29">
      <w:pPr>
        <w:spacing w:after="0" w:line="240" w:lineRule="auto"/>
      </w:pPr>
      <w:r>
        <w:separator/>
      </w:r>
    </w:p>
  </w:footnote>
  <w:footnote w:type="continuationSeparator" w:id="0">
    <w:p w14:paraId="17425198" w14:textId="77777777" w:rsidR="00C57A38" w:rsidRDefault="00C57A38" w:rsidP="00452C29">
      <w:pPr>
        <w:spacing w:after="0" w:line="240" w:lineRule="auto"/>
      </w:pPr>
      <w:r>
        <w:continuationSeparator/>
      </w:r>
    </w:p>
  </w:footnote>
  <w:footnote w:type="continuationNotice" w:id="1">
    <w:p w14:paraId="63E59F3F" w14:textId="77777777" w:rsidR="00C57A38" w:rsidRDefault="00C57A38">
      <w:pPr>
        <w:spacing w:after="0" w:line="240" w:lineRule="auto"/>
      </w:pPr>
    </w:p>
  </w:footnote>
  <w:footnote w:id="2">
    <w:p w14:paraId="4FB5F550" w14:textId="77777777" w:rsidR="005B2DED" w:rsidRDefault="005B2DED" w:rsidP="005B2DED">
      <w:pPr>
        <w:pStyle w:val="FootnoteText"/>
      </w:pPr>
      <w:r>
        <w:rPr>
          <w:rStyle w:val="FootnoteReference"/>
        </w:rPr>
        <w:footnoteRef/>
      </w:r>
      <w:r>
        <w:t xml:space="preserve"> Even the Privacy Agency’s estimated costs for compliance in their 2025 rulemaking recognized that small businesses face initial costs of $6,058 to $38,225 and annual ongoing costs of $16,377. The typical business will see initial costs that go up to $65,312, with annual costs of $20,431. These are not insignificant by any means, yet based on our own judgment and experience, vastly lower than what the actual cost will be to businesses. </w:t>
      </w:r>
      <w:r w:rsidRPr="00A14D69">
        <w:rPr>
          <w:i/>
          <w:iCs/>
        </w:rPr>
        <w:t>See</w:t>
      </w:r>
      <w:r>
        <w:t xml:space="preserve"> </w:t>
      </w:r>
      <w:hyperlink r:id="rId1" w:history="1">
        <w:r w:rsidRPr="00A14D69">
          <w:rPr>
            <w:rStyle w:val="Hyperlink"/>
          </w:rPr>
          <w:t>Economic and Fiscal Impact Statement (Regulations and Orders)</w:t>
        </w:r>
      </w:hyperlink>
      <w:r>
        <w:t xml:space="preserve">, p. 2. </w:t>
      </w:r>
    </w:p>
  </w:footnote>
  <w:footnote w:id="3">
    <w:p w14:paraId="1290EEC2" w14:textId="77777777" w:rsidR="005B2DED" w:rsidRDefault="005B2DED" w:rsidP="005B2DED">
      <w:pPr>
        <w:pStyle w:val="FootnoteText"/>
      </w:pPr>
      <w:r>
        <w:rPr>
          <w:rStyle w:val="FootnoteReference"/>
        </w:rPr>
        <w:footnoteRef/>
      </w:r>
      <w:r>
        <w:t xml:space="preserve"> See the LWDA’s recently proposed regulations and Initial Statement of Reasons detailing decades of abuse of PAGA by a cottage industry of law firms, available here: </w:t>
      </w:r>
      <w:hyperlink r:id="rId2" w:history="1">
        <w:r w:rsidRPr="00A416F6">
          <w:rPr>
            <w:rStyle w:val="Hyperlink"/>
          </w:rPr>
          <w:t>Rulemaking: Labor Code Private Attorneys General Act of 2004 | LWDA</w:t>
        </w:r>
      </w:hyperlink>
    </w:p>
  </w:footnote>
  <w:footnote w:id="4">
    <w:p w14:paraId="5D244325" w14:textId="77777777" w:rsidR="005B2DED" w:rsidRDefault="005B2DED" w:rsidP="005B2DED">
      <w:pPr>
        <w:pStyle w:val="FootnoteText"/>
      </w:pPr>
      <w:r>
        <w:rPr>
          <w:rStyle w:val="FootnoteReference"/>
        </w:rPr>
        <w:footnoteRef/>
      </w:r>
      <w:r>
        <w:t xml:space="preserve"> In San Francisco alone, two plaintiffs were responsible for filing 1,000 lawsuits against small businesses: </w:t>
      </w:r>
      <w:hyperlink r:id="rId3" w:history="1">
        <w:r w:rsidRPr="005562FD">
          <w:rPr>
            <w:rStyle w:val="Hyperlink"/>
          </w:rPr>
          <w:t>SF’s Chinatown Businesses Hit with Lawsuits by Prolific ADA Plaintiffs – NBC Bay Area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8CD"/>
    <w:multiLevelType w:val="hybridMultilevel"/>
    <w:tmpl w:val="BCC6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D0B01"/>
    <w:multiLevelType w:val="hybridMultilevel"/>
    <w:tmpl w:val="9644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E00A6"/>
    <w:multiLevelType w:val="hybridMultilevel"/>
    <w:tmpl w:val="252C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C74CC3"/>
    <w:multiLevelType w:val="multilevel"/>
    <w:tmpl w:val="2FCAE26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7FE96544"/>
    <w:multiLevelType w:val="hybridMultilevel"/>
    <w:tmpl w:val="6566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874808">
    <w:abstractNumId w:val="1"/>
  </w:num>
  <w:num w:numId="2" w16cid:durableId="384110625">
    <w:abstractNumId w:val="0"/>
  </w:num>
  <w:num w:numId="3" w16cid:durableId="1941330139">
    <w:abstractNumId w:val="4"/>
  </w:num>
  <w:num w:numId="4" w16cid:durableId="78672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13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29"/>
    <w:rsid w:val="00004EFC"/>
    <w:rsid w:val="0000763C"/>
    <w:rsid w:val="000114DD"/>
    <w:rsid w:val="000169D2"/>
    <w:rsid w:val="00020B07"/>
    <w:rsid w:val="0002392E"/>
    <w:rsid w:val="00025356"/>
    <w:rsid w:val="000272BC"/>
    <w:rsid w:val="00030074"/>
    <w:rsid w:val="00035DD5"/>
    <w:rsid w:val="000369BA"/>
    <w:rsid w:val="000435AB"/>
    <w:rsid w:val="000463D5"/>
    <w:rsid w:val="00047BCF"/>
    <w:rsid w:val="00053FDD"/>
    <w:rsid w:val="0005504F"/>
    <w:rsid w:val="0006332B"/>
    <w:rsid w:val="00063943"/>
    <w:rsid w:val="00064943"/>
    <w:rsid w:val="000664C0"/>
    <w:rsid w:val="00067EDD"/>
    <w:rsid w:val="000717CE"/>
    <w:rsid w:val="00071F67"/>
    <w:rsid w:val="00076C5C"/>
    <w:rsid w:val="00081E1E"/>
    <w:rsid w:val="00086DC4"/>
    <w:rsid w:val="00087223"/>
    <w:rsid w:val="0009244A"/>
    <w:rsid w:val="00095ECC"/>
    <w:rsid w:val="000974E3"/>
    <w:rsid w:val="00097544"/>
    <w:rsid w:val="000A6FB5"/>
    <w:rsid w:val="000B45D3"/>
    <w:rsid w:val="000D1B37"/>
    <w:rsid w:val="000D21AD"/>
    <w:rsid w:val="000D73F2"/>
    <w:rsid w:val="000E44E9"/>
    <w:rsid w:val="000E7228"/>
    <w:rsid w:val="000F0489"/>
    <w:rsid w:val="000F16DC"/>
    <w:rsid w:val="000F2133"/>
    <w:rsid w:val="000F426E"/>
    <w:rsid w:val="00103167"/>
    <w:rsid w:val="0010500C"/>
    <w:rsid w:val="0011179D"/>
    <w:rsid w:val="00111D08"/>
    <w:rsid w:val="00117692"/>
    <w:rsid w:val="001307DB"/>
    <w:rsid w:val="00133686"/>
    <w:rsid w:val="0013507B"/>
    <w:rsid w:val="00143C11"/>
    <w:rsid w:val="00151370"/>
    <w:rsid w:val="00165C3A"/>
    <w:rsid w:val="00173847"/>
    <w:rsid w:val="00181D92"/>
    <w:rsid w:val="0019252C"/>
    <w:rsid w:val="00193689"/>
    <w:rsid w:val="001959F0"/>
    <w:rsid w:val="001A0098"/>
    <w:rsid w:val="001A46CF"/>
    <w:rsid w:val="001A537A"/>
    <w:rsid w:val="001B243F"/>
    <w:rsid w:val="001B3546"/>
    <w:rsid w:val="001B55E8"/>
    <w:rsid w:val="001B6CAB"/>
    <w:rsid w:val="001C1073"/>
    <w:rsid w:val="001C187C"/>
    <w:rsid w:val="001C1C00"/>
    <w:rsid w:val="001C3AF3"/>
    <w:rsid w:val="001C3FF3"/>
    <w:rsid w:val="001C4404"/>
    <w:rsid w:val="001C5EBC"/>
    <w:rsid w:val="001D3A5C"/>
    <w:rsid w:val="001D3D60"/>
    <w:rsid w:val="001D510D"/>
    <w:rsid w:val="001E21FB"/>
    <w:rsid w:val="001E32D4"/>
    <w:rsid w:val="001E4B89"/>
    <w:rsid w:val="001E5CC6"/>
    <w:rsid w:val="001F32F8"/>
    <w:rsid w:val="001F6BE0"/>
    <w:rsid w:val="0020022E"/>
    <w:rsid w:val="0020207B"/>
    <w:rsid w:val="00203E55"/>
    <w:rsid w:val="00207B81"/>
    <w:rsid w:val="00214170"/>
    <w:rsid w:val="00214E58"/>
    <w:rsid w:val="00221625"/>
    <w:rsid w:val="00221FD6"/>
    <w:rsid w:val="00226CFD"/>
    <w:rsid w:val="002270B5"/>
    <w:rsid w:val="00227FB4"/>
    <w:rsid w:val="0023429A"/>
    <w:rsid w:val="00244C00"/>
    <w:rsid w:val="00245934"/>
    <w:rsid w:val="0025373A"/>
    <w:rsid w:val="002564A9"/>
    <w:rsid w:val="0027230C"/>
    <w:rsid w:val="00276892"/>
    <w:rsid w:val="00280DF2"/>
    <w:rsid w:val="002857DB"/>
    <w:rsid w:val="00293EFB"/>
    <w:rsid w:val="00295725"/>
    <w:rsid w:val="002A3315"/>
    <w:rsid w:val="002A3DF2"/>
    <w:rsid w:val="002A5398"/>
    <w:rsid w:val="002B1043"/>
    <w:rsid w:val="002B5F37"/>
    <w:rsid w:val="002B6A98"/>
    <w:rsid w:val="002C4566"/>
    <w:rsid w:val="002C741A"/>
    <w:rsid w:val="002D16C0"/>
    <w:rsid w:val="002D3FAF"/>
    <w:rsid w:val="002D68D8"/>
    <w:rsid w:val="002E0D73"/>
    <w:rsid w:val="002E1CF4"/>
    <w:rsid w:val="002E4F36"/>
    <w:rsid w:val="002E5751"/>
    <w:rsid w:val="002E5D6C"/>
    <w:rsid w:val="002F1598"/>
    <w:rsid w:val="002F2489"/>
    <w:rsid w:val="002F7501"/>
    <w:rsid w:val="00300669"/>
    <w:rsid w:val="00300A0F"/>
    <w:rsid w:val="003014AF"/>
    <w:rsid w:val="00303575"/>
    <w:rsid w:val="0030617C"/>
    <w:rsid w:val="0030766B"/>
    <w:rsid w:val="00312E8C"/>
    <w:rsid w:val="00321430"/>
    <w:rsid w:val="00326A38"/>
    <w:rsid w:val="00330C3A"/>
    <w:rsid w:val="00331DA0"/>
    <w:rsid w:val="003357BF"/>
    <w:rsid w:val="0034365A"/>
    <w:rsid w:val="00347574"/>
    <w:rsid w:val="00352818"/>
    <w:rsid w:val="0035492A"/>
    <w:rsid w:val="00360998"/>
    <w:rsid w:val="00361FDF"/>
    <w:rsid w:val="00362185"/>
    <w:rsid w:val="00362231"/>
    <w:rsid w:val="00362A60"/>
    <w:rsid w:val="003644D6"/>
    <w:rsid w:val="00367626"/>
    <w:rsid w:val="0037008C"/>
    <w:rsid w:val="0037129A"/>
    <w:rsid w:val="0037249C"/>
    <w:rsid w:val="00376546"/>
    <w:rsid w:val="003767E8"/>
    <w:rsid w:val="00380936"/>
    <w:rsid w:val="00381A16"/>
    <w:rsid w:val="00386C0B"/>
    <w:rsid w:val="00390D2D"/>
    <w:rsid w:val="00393C5F"/>
    <w:rsid w:val="0039690B"/>
    <w:rsid w:val="003A15B0"/>
    <w:rsid w:val="003A6C58"/>
    <w:rsid w:val="003B4D8E"/>
    <w:rsid w:val="003B7FD1"/>
    <w:rsid w:val="003C1A16"/>
    <w:rsid w:val="003C2FC1"/>
    <w:rsid w:val="003C30B8"/>
    <w:rsid w:val="003C54F5"/>
    <w:rsid w:val="003C7023"/>
    <w:rsid w:val="003D2A61"/>
    <w:rsid w:val="003D3AC4"/>
    <w:rsid w:val="003D6925"/>
    <w:rsid w:val="003E1411"/>
    <w:rsid w:val="003E3392"/>
    <w:rsid w:val="003E352F"/>
    <w:rsid w:val="003E40E4"/>
    <w:rsid w:val="003E4B32"/>
    <w:rsid w:val="003E6798"/>
    <w:rsid w:val="003E754E"/>
    <w:rsid w:val="003F5406"/>
    <w:rsid w:val="0040001F"/>
    <w:rsid w:val="00400705"/>
    <w:rsid w:val="00402B8A"/>
    <w:rsid w:val="00402C0C"/>
    <w:rsid w:val="00407778"/>
    <w:rsid w:val="0041056D"/>
    <w:rsid w:val="00411838"/>
    <w:rsid w:val="00412784"/>
    <w:rsid w:val="00412863"/>
    <w:rsid w:val="00413CE2"/>
    <w:rsid w:val="00420C49"/>
    <w:rsid w:val="00420FB1"/>
    <w:rsid w:val="00422BD5"/>
    <w:rsid w:val="00423014"/>
    <w:rsid w:val="004272D2"/>
    <w:rsid w:val="00430962"/>
    <w:rsid w:val="00434A28"/>
    <w:rsid w:val="004401C5"/>
    <w:rsid w:val="00440D47"/>
    <w:rsid w:val="00442939"/>
    <w:rsid w:val="00445CD8"/>
    <w:rsid w:val="00450A1F"/>
    <w:rsid w:val="00451884"/>
    <w:rsid w:val="00452C29"/>
    <w:rsid w:val="00453237"/>
    <w:rsid w:val="00456A6B"/>
    <w:rsid w:val="00456CA8"/>
    <w:rsid w:val="0045717F"/>
    <w:rsid w:val="00460ED5"/>
    <w:rsid w:val="00462C22"/>
    <w:rsid w:val="004631AB"/>
    <w:rsid w:val="004672F9"/>
    <w:rsid w:val="0047430F"/>
    <w:rsid w:val="004752FB"/>
    <w:rsid w:val="004806ED"/>
    <w:rsid w:val="0048072E"/>
    <w:rsid w:val="0049224F"/>
    <w:rsid w:val="00493BF8"/>
    <w:rsid w:val="00495C1F"/>
    <w:rsid w:val="004968FF"/>
    <w:rsid w:val="004A5DEB"/>
    <w:rsid w:val="004A6D70"/>
    <w:rsid w:val="004B5209"/>
    <w:rsid w:val="004B7F64"/>
    <w:rsid w:val="004C005D"/>
    <w:rsid w:val="004C3AF8"/>
    <w:rsid w:val="004C44C5"/>
    <w:rsid w:val="004C5319"/>
    <w:rsid w:val="004C566A"/>
    <w:rsid w:val="004C64E1"/>
    <w:rsid w:val="004D5AB2"/>
    <w:rsid w:val="004D5C63"/>
    <w:rsid w:val="004D5F13"/>
    <w:rsid w:val="004D680D"/>
    <w:rsid w:val="004E06A0"/>
    <w:rsid w:val="004E52E8"/>
    <w:rsid w:val="004E53FE"/>
    <w:rsid w:val="004E60FE"/>
    <w:rsid w:val="004F44C7"/>
    <w:rsid w:val="00505FD0"/>
    <w:rsid w:val="00506A33"/>
    <w:rsid w:val="00506EB7"/>
    <w:rsid w:val="005103F3"/>
    <w:rsid w:val="00524670"/>
    <w:rsid w:val="0052472B"/>
    <w:rsid w:val="00526750"/>
    <w:rsid w:val="00526E08"/>
    <w:rsid w:val="0053415F"/>
    <w:rsid w:val="00535CFD"/>
    <w:rsid w:val="00542995"/>
    <w:rsid w:val="00552DF8"/>
    <w:rsid w:val="005562FD"/>
    <w:rsid w:val="00561126"/>
    <w:rsid w:val="00561E03"/>
    <w:rsid w:val="00570912"/>
    <w:rsid w:val="00570A33"/>
    <w:rsid w:val="00591820"/>
    <w:rsid w:val="0059294C"/>
    <w:rsid w:val="005A44F9"/>
    <w:rsid w:val="005A7386"/>
    <w:rsid w:val="005B0E4B"/>
    <w:rsid w:val="005B2DED"/>
    <w:rsid w:val="005C47B6"/>
    <w:rsid w:val="005D039C"/>
    <w:rsid w:val="005D5D2C"/>
    <w:rsid w:val="005D7023"/>
    <w:rsid w:val="005F0133"/>
    <w:rsid w:val="005F0F4C"/>
    <w:rsid w:val="005F26AB"/>
    <w:rsid w:val="00600022"/>
    <w:rsid w:val="006064D1"/>
    <w:rsid w:val="006107FD"/>
    <w:rsid w:val="00611C98"/>
    <w:rsid w:val="006148DF"/>
    <w:rsid w:val="00617728"/>
    <w:rsid w:val="00621CBE"/>
    <w:rsid w:val="00623450"/>
    <w:rsid w:val="0062492C"/>
    <w:rsid w:val="00625F35"/>
    <w:rsid w:val="00627B1F"/>
    <w:rsid w:val="00631CF6"/>
    <w:rsid w:val="006334B2"/>
    <w:rsid w:val="00634B8A"/>
    <w:rsid w:val="00635011"/>
    <w:rsid w:val="00635757"/>
    <w:rsid w:val="006439CA"/>
    <w:rsid w:val="006476FC"/>
    <w:rsid w:val="00650B14"/>
    <w:rsid w:val="00657CFE"/>
    <w:rsid w:val="00660418"/>
    <w:rsid w:val="00671C68"/>
    <w:rsid w:val="00677497"/>
    <w:rsid w:val="00683604"/>
    <w:rsid w:val="00687DA2"/>
    <w:rsid w:val="006A1892"/>
    <w:rsid w:val="006A189A"/>
    <w:rsid w:val="006A4ABB"/>
    <w:rsid w:val="006A5DA1"/>
    <w:rsid w:val="006A7992"/>
    <w:rsid w:val="006B0496"/>
    <w:rsid w:val="006B25B7"/>
    <w:rsid w:val="006B692C"/>
    <w:rsid w:val="006C1DEE"/>
    <w:rsid w:val="006C2852"/>
    <w:rsid w:val="006C7901"/>
    <w:rsid w:val="006D25D8"/>
    <w:rsid w:val="006D7413"/>
    <w:rsid w:val="006E2D03"/>
    <w:rsid w:val="006E78C9"/>
    <w:rsid w:val="006F0746"/>
    <w:rsid w:val="006F2133"/>
    <w:rsid w:val="006F2B20"/>
    <w:rsid w:val="006F5148"/>
    <w:rsid w:val="006F6AF5"/>
    <w:rsid w:val="00700186"/>
    <w:rsid w:val="00701928"/>
    <w:rsid w:val="00705885"/>
    <w:rsid w:val="00706C8B"/>
    <w:rsid w:val="00713D3B"/>
    <w:rsid w:val="007154D2"/>
    <w:rsid w:val="007154F6"/>
    <w:rsid w:val="0072065B"/>
    <w:rsid w:val="00720B89"/>
    <w:rsid w:val="00721198"/>
    <w:rsid w:val="007229FF"/>
    <w:rsid w:val="00722AD9"/>
    <w:rsid w:val="007264E2"/>
    <w:rsid w:val="007266D9"/>
    <w:rsid w:val="007318F6"/>
    <w:rsid w:val="007328C9"/>
    <w:rsid w:val="00733BA6"/>
    <w:rsid w:val="00737ACF"/>
    <w:rsid w:val="00744ABD"/>
    <w:rsid w:val="00746C95"/>
    <w:rsid w:val="00751BEC"/>
    <w:rsid w:val="00752BF1"/>
    <w:rsid w:val="00762C2E"/>
    <w:rsid w:val="007647D0"/>
    <w:rsid w:val="00775B3D"/>
    <w:rsid w:val="00782AA9"/>
    <w:rsid w:val="00791E57"/>
    <w:rsid w:val="007925A4"/>
    <w:rsid w:val="00793C84"/>
    <w:rsid w:val="007A07BD"/>
    <w:rsid w:val="007A1173"/>
    <w:rsid w:val="007A2D82"/>
    <w:rsid w:val="007A3228"/>
    <w:rsid w:val="007A3A56"/>
    <w:rsid w:val="007A46AB"/>
    <w:rsid w:val="007B112F"/>
    <w:rsid w:val="007C0592"/>
    <w:rsid w:val="007C2D16"/>
    <w:rsid w:val="007C60FB"/>
    <w:rsid w:val="007D2BFC"/>
    <w:rsid w:val="007E6B61"/>
    <w:rsid w:val="007F15AE"/>
    <w:rsid w:val="007F365D"/>
    <w:rsid w:val="00805893"/>
    <w:rsid w:val="00822139"/>
    <w:rsid w:val="00824BE6"/>
    <w:rsid w:val="00827033"/>
    <w:rsid w:val="00827DE8"/>
    <w:rsid w:val="00836E35"/>
    <w:rsid w:val="00842934"/>
    <w:rsid w:val="00843CFE"/>
    <w:rsid w:val="00846139"/>
    <w:rsid w:val="00847781"/>
    <w:rsid w:val="008500DD"/>
    <w:rsid w:val="00854397"/>
    <w:rsid w:val="00860787"/>
    <w:rsid w:val="00863FCE"/>
    <w:rsid w:val="008654C5"/>
    <w:rsid w:val="0087013A"/>
    <w:rsid w:val="008729F4"/>
    <w:rsid w:val="00873F3E"/>
    <w:rsid w:val="008821E0"/>
    <w:rsid w:val="008844CF"/>
    <w:rsid w:val="00884806"/>
    <w:rsid w:val="008A005E"/>
    <w:rsid w:val="008A32B1"/>
    <w:rsid w:val="008A4D6D"/>
    <w:rsid w:val="008A5DAA"/>
    <w:rsid w:val="008A66EB"/>
    <w:rsid w:val="008A7A03"/>
    <w:rsid w:val="008B31A7"/>
    <w:rsid w:val="008B573B"/>
    <w:rsid w:val="008B7952"/>
    <w:rsid w:val="008C1EB8"/>
    <w:rsid w:val="008C2D7B"/>
    <w:rsid w:val="008C3C80"/>
    <w:rsid w:val="008C6CAC"/>
    <w:rsid w:val="008C71F9"/>
    <w:rsid w:val="008D0935"/>
    <w:rsid w:val="008D3AA2"/>
    <w:rsid w:val="008D77CF"/>
    <w:rsid w:val="008D7C42"/>
    <w:rsid w:val="008E5518"/>
    <w:rsid w:val="008E5F41"/>
    <w:rsid w:val="008E7AFE"/>
    <w:rsid w:val="008F36B9"/>
    <w:rsid w:val="008F7802"/>
    <w:rsid w:val="009048A1"/>
    <w:rsid w:val="00905154"/>
    <w:rsid w:val="00930651"/>
    <w:rsid w:val="00930F39"/>
    <w:rsid w:val="00933F79"/>
    <w:rsid w:val="00934289"/>
    <w:rsid w:val="00934F83"/>
    <w:rsid w:val="009369E2"/>
    <w:rsid w:val="00937819"/>
    <w:rsid w:val="00941BAD"/>
    <w:rsid w:val="00946A9E"/>
    <w:rsid w:val="009471EA"/>
    <w:rsid w:val="009476E5"/>
    <w:rsid w:val="00947A14"/>
    <w:rsid w:val="00950C59"/>
    <w:rsid w:val="0095321E"/>
    <w:rsid w:val="00955F1F"/>
    <w:rsid w:val="0095690F"/>
    <w:rsid w:val="00960576"/>
    <w:rsid w:val="0096066A"/>
    <w:rsid w:val="00964DA5"/>
    <w:rsid w:val="00964E50"/>
    <w:rsid w:val="00964FB3"/>
    <w:rsid w:val="0097794A"/>
    <w:rsid w:val="00982337"/>
    <w:rsid w:val="00983E77"/>
    <w:rsid w:val="009842F4"/>
    <w:rsid w:val="0098753F"/>
    <w:rsid w:val="0099087D"/>
    <w:rsid w:val="00991BB6"/>
    <w:rsid w:val="00992411"/>
    <w:rsid w:val="00994B1C"/>
    <w:rsid w:val="00996398"/>
    <w:rsid w:val="009A17ED"/>
    <w:rsid w:val="009A19DB"/>
    <w:rsid w:val="009A329C"/>
    <w:rsid w:val="009A60A9"/>
    <w:rsid w:val="009A78B3"/>
    <w:rsid w:val="009B0DAF"/>
    <w:rsid w:val="009C0FDA"/>
    <w:rsid w:val="009C2C54"/>
    <w:rsid w:val="009C589F"/>
    <w:rsid w:val="009C7406"/>
    <w:rsid w:val="009D4BB2"/>
    <w:rsid w:val="009D5232"/>
    <w:rsid w:val="009D67F1"/>
    <w:rsid w:val="009D7F45"/>
    <w:rsid w:val="009E0AAF"/>
    <w:rsid w:val="009E6A4F"/>
    <w:rsid w:val="009F4723"/>
    <w:rsid w:val="009F5195"/>
    <w:rsid w:val="00A0276C"/>
    <w:rsid w:val="00A0386B"/>
    <w:rsid w:val="00A0763B"/>
    <w:rsid w:val="00A111F9"/>
    <w:rsid w:val="00A12CD6"/>
    <w:rsid w:val="00A14D69"/>
    <w:rsid w:val="00A159AD"/>
    <w:rsid w:val="00A232D9"/>
    <w:rsid w:val="00A23503"/>
    <w:rsid w:val="00A307D9"/>
    <w:rsid w:val="00A30D58"/>
    <w:rsid w:val="00A314E9"/>
    <w:rsid w:val="00A32DE9"/>
    <w:rsid w:val="00A34B3A"/>
    <w:rsid w:val="00A40C39"/>
    <w:rsid w:val="00A416F6"/>
    <w:rsid w:val="00A44D1D"/>
    <w:rsid w:val="00A45FC1"/>
    <w:rsid w:val="00A46F5E"/>
    <w:rsid w:val="00A559AB"/>
    <w:rsid w:val="00A55E6D"/>
    <w:rsid w:val="00A609E4"/>
    <w:rsid w:val="00A61604"/>
    <w:rsid w:val="00A6505F"/>
    <w:rsid w:val="00A65182"/>
    <w:rsid w:val="00A66066"/>
    <w:rsid w:val="00A771F9"/>
    <w:rsid w:val="00A82FE9"/>
    <w:rsid w:val="00A83C0F"/>
    <w:rsid w:val="00A842BA"/>
    <w:rsid w:val="00A86A54"/>
    <w:rsid w:val="00A90C78"/>
    <w:rsid w:val="00A91CD7"/>
    <w:rsid w:val="00AA1862"/>
    <w:rsid w:val="00AA7163"/>
    <w:rsid w:val="00AB0EE4"/>
    <w:rsid w:val="00AB5C6F"/>
    <w:rsid w:val="00AB6371"/>
    <w:rsid w:val="00AC1A5A"/>
    <w:rsid w:val="00AC1B0C"/>
    <w:rsid w:val="00AC74C6"/>
    <w:rsid w:val="00AD0C9E"/>
    <w:rsid w:val="00AD4E84"/>
    <w:rsid w:val="00AE3A0B"/>
    <w:rsid w:val="00AF1954"/>
    <w:rsid w:val="00AF5C2D"/>
    <w:rsid w:val="00AF70DF"/>
    <w:rsid w:val="00B0529C"/>
    <w:rsid w:val="00B05A45"/>
    <w:rsid w:val="00B05D22"/>
    <w:rsid w:val="00B06DA4"/>
    <w:rsid w:val="00B10CA5"/>
    <w:rsid w:val="00B128D8"/>
    <w:rsid w:val="00B23A9A"/>
    <w:rsid w:val="00B246C0"/>
    <w:rsid w:val="00B24FA2"/>
    <w:rsid w:val="00B31E2E"/>
    <w:rsid w:val="00B32F01"/>
    <w:rsid w:val="00B34EAA"/>
    <w:rsid w:val="00B367A8"/>
    <w:rsid w:val="00B370E0"/>
    <w:rsid w:val="00B3724E"/>
    <w:rsid w:val="00B42DDB"/>
    <w:rsid w:val="00B43090"/>
    <w:rsid w:val="00B43F00"/>
    <w:rsid w:val="00B4675C"/>
    <w:rsid w:val="00B46B20"/>
    <w:rsid w:val="00B50EF1"/>
    <w:rsid w:val="00B575FD"/>
    <w:rsid w:val="00B6178F"/>
    <w:rsid w:val="00B63624"/>
    <w:rsid w:val="00B65055"/>
    <w:rsid w:val="00B66534"/>
    <w:rsid w:val="00B669CB"/>
    <w:rsid w:val="00B70AE8"/>
    <w:rsid w:val="00B71042"/>
    <w:rsid w:val="00B7515D"/>
    <w:rsid w:val="00B76FC6"/>
    <w:rsid w:val="00B80463"/>
    <w:rsid w:val="00B80D00"/>
    <w:rsid w:val="00B80FEF"/>
    <w:rsid w:val="00B832F3"/>
    <w:rsid w:val="00B8367F"/>
    <w:rsid w:val="00B877A0"/>
    <w:rsid w:val="00B87859"/>
    <w:rsid w:val="00B90310"/>
    <w:rsid w:val="00B91944"/>
    <w:rsid w:val="00B93EDB"/>
    <w:rsid w:val="00B95BB8"/>
    <w:rsid w:val="00B963A6"/>
    <w:rsid w:val="00B96A59"/>
    <w:rsid w:val="00BA03A7"/>
    <w:rsid w:val="00BA1C06"/>
    <w:rsid w:val="00BA33C6"/>
    <w:rsid w:val="00BA5E51"/>
    <w:rsid w:val="00BB054C"/>
    <w:rsid w:val="00BB10B0"/>
    <w:rsid w:val="00BC34BE"/>
    <w:rsid w:val="00BD60AB"/>
    <w:rsid w:val="00BD60D0"/>
    <w:rsid w:val="00BE0468"/>
    <w:rsid w:val="00BE0A46"/>
    <w:rsid w:val="00BE1BF7"/>
    <w:rsid w:val="00BE3978"/>
    <w:rsid w:val="00BE4472"/>
    <w:rsid w:val="00BF131E"/>
    <w:rsid w:val="00BF1CB0"/>
    <w:rsid w:val="00BF1DAA"/>
    <w:rsid w:val="00BF386D"/>
    <w:rsid w:val="00BF68FD"/>
    <w:rsid w:val="00C01FB8"/>
    <w:rsid w:val="00C051D9"/>
    <w:rsid w:val="00C05EE0"/>
    <w:rsid w:val="00C23A32"/>
    <w:rsid w:val="00C26E02"/>
    <w:rsid w:val="00C315CB"/>
    <w:rsid w:val="00C319B1"/>
    <w:rsid w:val="00C327FF"/>
    <w:rsid w:val="00C329EA"/>
    <w:rsid w:val="00C33870"/>
    <w:rsid w:val="00C34FDF"/>
    <w:rsid w:val="00C3676C"/>
    <w:rsid w:val="00C5020F"/>
    <w:rsid w:val="00C50A80"/>
    <w:rsid w:val="00C57A38"/>
    <w:rsid w:val="00C63545"/>
    <w:rsid w:val="00C6513F"/>
    <w:rsid w:val="00C65B8F"/>
    <w:rsid w:val="00C8459E"/>
    <w:rsid w:val="00C862CC"/>
    <w:rsid w:val="00C92607"/>
    <w:rsid w:val="00C957AE"/>
    <w:rsid w:val="00C9708A"/>
    <w:rsid w:val="00C9766B"/>
    <w:rsid w:val="00C9767B"/>
    <w:rsid w:val="00C97ACB"/>
    <w:rsid w:val="00C97C1F"/>
    <w:rsid w:val="00CA13BA"/>
    <w:rsid w:val="00CA7196"/>
    <w:rsid w:val="00CB1345"/>
    <w:rsid w:val="00CB442E"/>
    <w:rsid w:val="00CB7E3F"/>
    <w:rsid w:val="00CC2438"/>
    <w:rsid w:val="00CC3E2A"/>
    <w:rsid w:val="00CC5A52"/>
    <w:rsid w:val="00CC5B02"/>
    <w:rsid w:val="00CC5CA6"/>
    <w:rsid w:val="00CD3DD5"/>
    <w:rsid w:val="00CE174F"/>
    <w:rsid w:val="00CF057D"/>
    <w:rsid w:val="00CF1B6A"/>
    <w:rsid w:val="00CF2A34"/>
    <w:rsid w:val="00CF2F97"/>
    <w:rsid w:val="00CF4E7C"/>
    <w:rsid w:val="00CF59D1"/>
    <w:rsid w:val="00CF5DB2"/>
    <w:rsid w:val="00CF5F6F"/>
    <w:rsid w:val="00D016CD"/>
    <w:rsid w:val="00D052AB"/>
    <w:rsid w:val="00D10A3A"/>
    <w:rsid w:val="00D124B6"/>
    <w:rsid w:val="00D14771"/>
    <w:rsid w:val="00D16199"/>
    <w:rsid w:val="00D20CF9"/>
    <w:rsid w:val="00D21AEA"/>
    <w:rsid w:val="00D21CEA"/>
    <w:rsid w:val="00D2265A"/>
    <w:rsid w:val="00D26743"/>
    <w:rsid w:val="00D26E19"/>
    <w:rsid w:val="00D26F3D"/>
    <w:rsid w:val="00D27C9E"/>
    <w:rsid w:val="00D30169"/>
    <w:rsid w:val="00D331EA"/>
    <w:rsid w:val="00D35D24"/>
    <w:rsid w:val="00D36560"/>
    <w:rsid w:val="00D416DE"/>
    <w:rsid w:val="00D41C0B"/>
    <w:rsid w:val="00D42164"/>
    <w:rsid w:val="00D42223"/>
    <w:rsid w:val="00D43381"/>
    <w:rsid w:val="00D45BAE"/>
    <w:rsid w:val="00D5292A"/>
    <w:rsid w:val="00D5687F"/>
    <w:rsid w:val="00D640EF"/>
    <w:rsid w:val="00D77F6F"/>
    <w:rsid w:val="00D80FEA"/>
    <w:rsid w:val="00D834E8"/>
    <w:rsid w:val="00D87C1E"/>
    <w:rsid w:val="00D963EB"/>
    <w:rsid w:val="00DA5B0D"/>
    <w:rsid w:val="00DA646F"/>
    <w:rsid w:val="00DA724D"/>
    <w:rsid w:val="00DB034F"/>
    <w:rsid w:val="00DB424D"/>
    <w:rsid w:val="00DB6FE8"/>
    <w:rsid w:val="00DB7375"/>
    <w:rsid w:val="00DC4657"/>
    <w:rsid w:val="00DC76A2"/>
    <w:rsid w:val="00DD28F2"/>
    <w:rsid w:val="00DD60A9"/>
    <w:rsid w:val="00DD6938"/>
    <w:rsid w:val="00DE1C54"/>
    <w:rsid w:val="00DE250E"/>
    <w:rsid w:val="00DE4A14"/>
    <w:rsid w:val="00DF30E4"/>
    <w:rsid w:val="00DF3B1F"/>
    <w:rsid w:val="00DF4A44"/>
    <w:rsid w:val="00DF4BEA"/>
    <w:rsid w:val="00DF5C0F"/>
    <w:rsid w:val="00DF6E68"/>
    <w:rsid w:val="00DF7E37"/>
    <w:rsid w:val="00E12803"/>
    <w:rsid w:val="00E15C9E"/>
    <w:rsid w:val="00E16783"/>
    <w:rsid w:val="00E179FA"/>
    <w:rsid w:val="00E17FCF"/>
    <w:rsid w:val="00E334A4"/>
    <w:rsid w:val="00E45610"/>
    <w:rsid w:val="00E47C78"/>
    <w:rsid w:val="00E51865"/>
    <w:rsid w:val="00E54D9E"/>
    <w:rsid w:val="00E63D12"/>
    <w:rsid w:val="00E64A1B"/>
    <w:rsid w:val="00E7133A"/>
    <w:rsid w:val="00E71A9D"/>
    <w:rsid w:val="00E71B67"/>
    <w:rsid w:val="00E7342E"/>
    <w:rsid w:val="00E73F02"/>
    <w:rsid w:val="00E7461E"/>
    <w:rsid w:val="00E7614B"/>
    <w:rsid w:val="00E9294E"/>
    <w:rsid w:val="00E970E3"/>
    <w:rsid w:val="00EA307A"/>
    <w:rsid w:val="00EA3701"/>
    <w:rsid w:val="00EA39DF"/>
    <w:rsid w:val="00EA5312"/>
    <w:rsid w:val="00EA61E7"/>
    <w:rsid w:val="00EB64C6"/>
    <w:rsid w:val="00EC27BA"/>
    <w:rsid w:val="00EC2C21"/>
    <w:rsid w:val="00EC5A2B"/>
    <w:rsid w:val="00EC6075"/>
    <w:rsid w:val="00EC7F40"/>
    <w:rsid w:val="00ED1274"/>
    <w:rsid w:val="00ED22DE"/>
    <w:rsid w:val="00EE2310"/>
    <w:rsid w:val="00EE3E0A"/>
    <w:rsid w:val="00EE632E"/>
    <w:rsid w:val="00EE67FD"/>
    <w:rsid w:val="00EF1978"/>
    <w:rsid w:val="00EF1981"/>
    <w:rsid w:val="00EF287B"/>
    <w:rsid w:val="00F019CB"/>
    <w:rsid w:val="00F025C4"/>
    <w:rsid w:val="00F03253"/>
    <w:rsid w:val="00F064B4"/>
    <w:rsid w:val="00F07676"/>
    <w:rsid w:val="00F11409"/>
    <w:rsid w:val="00F14BFE"/>
    <w:rsid w:val="00F22BB8"/>
    <w:rsid w:val="00F264E7"/>
    <w:rsid w:val="00F2771A"/>
    <w:rsid w:val="00F278DC"/>
    <w:rsid w:val="00F2792E"/>
    <w:rsid w:val="00F30F41"/>
    <w:rsid w:val="00F31739"/>
    <w:rsid w:val="00F31B9F"/>
    <w:rsid w:val="00F368A7"/>
    <w:rsid w:val="00F4008C"/>
    <w:rsid w:val="00F45685"/>
    <w:rsid w:val="00F46C8E"/>
    <w:rsid w:val="00F51494"/>
    <w:rsid w:val="00F5598D"/>
    <w:rsid w:val="00F629BD"/>
    <w:rsid w:val="00F67CD5"/>
    <w:rsid w:val="00F7119A"/>
    <w:rsid w:val="00F7445D"/>
    <w:rsid w:val="00F755C1"/>
    <w:rsid w:val="00F85EC9"/>
    <w:rsid w:val="00F8614B"/>
    <w:rsid w:val="00F928C9"/>
    <w:rsid w:val="00F92BD4"/>
    <w:rsid w:val="00FA4798"/>
    <w:rsid w:val="00FA51F2"/>
    <w:rsid w:val="00FA654B"/>
    <w:rsid w:val="00FB128B"/>
    <w:rsid w:val="00FB19AD"/>
    <w:rsid w:val="00FB4BEB"/>
    <w:rsid w:val="00FC156F"/>
    <w:rsid w:val="00FC179E"/>
    <w:rsid w:val="00FC2971"/>
    <w:rsid w:val="00FD141C"/>
    <w:rsid w:val="00FD3813"/>
    <w:rsid w:val="00FD5901"/>
    <w:rsid w:val="00FD72EA"/>
    <w:rsid w:val="00FD7501"/>
    <w:rsid w:val="00FE2B5A"/>
    <w:rsid w:val="00FE7078"/>
    <w:rsid w:val="00FF3527"/>
    <w:rsid w:val="00FF43A7"/>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2FEA3"/>
  <w15:chartTrackingRefBased/>
  <w15:docId w15:val="{17B95441-774E-4693-9EDE-967F82D6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C29"/>
    <w:rPr>
      <w:rFonts w:eastAsiaTheme="majorEastAsia" w:cstheme="majorBidi"/>
      <w:color w:val="272727" w:themeColor="text1" w:themeTint="D8"/>
    </w:rPr>
  </w:style>
  <w:style w:type="paragraph" w:styleId="Title">
    <w:name w:val="Title"/>
    <w:basedOn w:val="Normal"/>
    <w:next w:val="Normal"/>
    <w:link w:val="TitleChar"/>
    <w:uiPriority w:val="10"/>
    <w:qFormat/>
    <w:rsid w:val="00452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C29"/>
    <w:pPr>
      <w:spacing w:before="160"/>
      <w:jc w:val="center"/>
    </w:pPr>
    <w:rPr>
      <w:i/>
      <w:iCs/>
      <w:color w:val="404040" w:themeColor="text1" w:themeTint="BF"/>
    </w:rPr>
  </w:style>
  <w:style w:type="character" w:customStyle="1" w:styleId="QuoteChar">
    <w:name w:val="Quote Char"/>
    <w:basedOn w:val="DefaultParagraphFont"/>
    <w:link w:val="Quote"/>
    <w:uiPriority w:val="29"/>
    <w:rsid w:val="00452C29"/>
    <w:rPr>
      <w:i/>
      <w:iCs/>
      <w:color w:val="404040" w:themeColor="text1" w:themeTint="BF"/>
    </w:rPr>
  </w:style>
  <w:style w:type="paragraph" w:styleId="ListParagraph">
    <w:name w:val="List Paragraph"/>
    <w:basedOn w:val="Normal"/>
    <w:uiPriority w:val="34"/>
    <w:qFormat/>
    <w:rsid w:val="00452C29"/>
    <w:pPr>
      <w:ind w:left="720"/>
      <w:contextualSpacing/>
    </w:pPr>
  </w:style>
  <w:style w:type="character" w:styleId="IntenseEmphasis">
    <w:name w:val="Intense Emphasis"/>
    <w:basedOn w:val="DefaultParagraphFont"/>
    <w:uiPriority w:val="21"/>
    <w:qFormat/>
    <w:rsid w:val="00452C29"/>
    <w:rPr>
      <w:i/>
      <w:iCs/>
      <w:color w:val="0F4761" w:themeColor="accent1" w:themeShade="BF"/>
    </w:rPr>
  </w:style>
  <w:style w:type="paragraph" w:styleId="IntenseQuote">
    <w:name w:val="Intense Quote"/>
    <w:basedOn w:val="Normal"/>
    <w:next w:val="Normal"/>
    <w:link w:val="IntenseQuoteChar"/>
    <w:uiPriority w:val="30"/>
    <w:qFormat/>
    <w:rsid w:val="00452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C29"/>
    <w:rPr>
      <w:i/>
      <w:iCs/>
      <w:color w:val="0F4761" w:themeColor="accent1" w:themeShade="BF"/>
    </w:rPr>
  </w:style>
  <w:style w:type="character" w:styleId="IntenseReference">
    <w:name w:val="Intense Reference"/>
    <w:basedOn w:val="DefaultParagraphFont"/>
    <w:uiPriority w:val="32"/>
    <w:qFormat/>
    <w:rsid w:val="00452C29"/>
    <w:rPr>
      <w:b/>
      <w:bCs/>
      <w:smallCaps/>
      <w:color w:val="0F4761" w:themeColor="accent1" w:themeShade="BF"/>
      <w:spacing w:val="5"/>
    </w:rPr>
  </w:style>
  <w:style w:type="paragraph" w:styleId="NoSpacing">
    <w:name w:val="No Spacing"/>
    <w:uiPriority w:val="1"/>
    <w:qFormat/>
    <w:rsid w:val="00452C29"/>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452C2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452C29"/>
    <w:rPr>
      <w:kern w:val="0"/>
      <w:sz w:val="20"/>
      <w:szCs w:val="20"/>
      <w14:ligatures w14:val="none"/>
    </w:rPr>
  </w:style>
  <w:style w:type="character" w:styleId="FootnoteReference">
    <w:name w:val="footnote reference"/>
    <w:basedOn w:val="DefaultParagraphFont"/>
    <w:uiPriority w:val="99"/>
    <w:semiHidden/>
    <w:unhideWhenUsed/>
    <w:rsid w:val="00452C29"/>
    <w:rPr>
      <w:vertAlign w:val="superscript"/>
    </w:rPr>
  </w:style>
  <w:style w:type="paragraph" w:styleId="Header">
    <w:name w:val="header"/>
    <w:basedOn w:val="Normal"/>
    <w:link w:val="HeaderChar"/>
    <w:uiPriority w:val="99"/>
    <w:unhideWhenUsed/>
    <w:rsid w:val="00631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F6"/>
  </w:style>
  <w:style w:type="paragraph" w:styleId="Footer">
    <w:name w:val="footer"/>
    <w:basedOn w:val="Normal"/>
    <w:link w:val="FooterChar"/>
    <w:uiPriority w:val="99"/>
    <w:unhideWhenUsed/>
    <w:rsid w:val="00631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CF6"/>
  </w:style>
  <w:style w:type="paragraph" w:styleId="Revision">
    <w:name w:val="Revision"/>
    <w:hidden/>
    <w:uiPriority w:val="99"/>
    <w:semiHidden/>
    <w:rsid w:val="00312E8C"/>
    <w:pPr>
      <w:spacing w:after="0" w:line="240" w:lineRule="auto"/>
    </w:pPr>
  </w:style>
  <w:style w:type="character" w:styleId="Hyperlink">
    <w:name w:val="Hyperlink"/>
    <w:basedOn w:val="DefaultParagraphFont"/>
    <w:uiPriority w:val="99"/>
    <w:unhideWhenUsed/>
    <w:rsid w:val="00D27C9E"/>
    <w:rPr>
      <w:color w:val="467886" w:themeColor="hyperlink"/>
      <w:u w:val="single"/>
    </w:rPr>
  </w:style>
  <w:style w:type="character" w:styleId="UnresolvedMention">
    <w:name w:val="Unresolved Mention"/>
    <w:basedOn w:val="DefaultParagraphFont"/>
    <w:uiPriority w:val="99"/>
    <w:semiHidden/>
    <w:unhideWhenUsed/>
    <w:rsid w:val="00D27C9E"/>
    <w:rPr>
      <w:color w:val="605E5C"/>
      <w:shd w:val="clear" w:color="auto" w:fill="E1DFDD"/>
    </w:rPr>
  </w:style>
  <w:style w:type="paragraph" w:styleId="NormalWeb">
    <w:name w:val="Normal (Web)"/>
    <w:basedOn w:val="Normal"/>
    <w:uiPriority w:val="99"/>
    <w:semiHidden/>
    <w:unhideWhenUsed/>
    <w:rsid w:val="00F4008C"/>
    <w:rPr>
      <w:rFonts w:ascii="Times New Roman" w:hAnsi="Times New Roman" w:cs="Times New Roman"/>
    </w:rPr>
  </w:style>
  <w:style w:type="character" w:styleId="CommentReference">
    <w:name w:val="annotation reference"/>
    <w:basedOn w:val="DefaultParagraphFont"/>
    <w:uiPriority w:val="99"/>
    <w:semiHidden/>
    <w:unhideWhenUsed/>
    <w:rsid w:val="00822139"/>
    <w:rPr>
      <w:sz w:val="16"/>
      <w:szCs w:val="16"/>
    </w:rPr>
  </w:style>
  <w:style w:type="paragraph" w:styleId="CommentText">
    <w:name w:val="annotation text"/>
    <w:basedOn w:val="Normal"/>
    <w:link w:val="CommentTextChar"/>
    <w:uiPriority w:val="99"/>
    <w:unhideWhenUsed/>
    <w:rsid w:val="00822139"/>
    <w:pPr>
      <w:spacing w:line="240" w:lineRule="auto"/>
    </w:pPr>
    <w:rPr>
      <w:sz w:val="20"/>
      <w:szCs w:val="20"/>
    </w:rPr>
  </w:style>
  <w:style w:type="character" w:customStyle="1" w:styleId="CommentTextChar">
    <w:name w:val="Comment Text Char"/>
    <w:basedOn w:val="DefaultParagraphFont"/>
    <w:link w:val="CommentText"/>
    <w:uiPriority w:val="99"/>
    <w:rsid w:val="00822139"/>
    <w:rPr>
      <w:sz w:val="20"/>
      <w:szCs w:val="20"/>
    </w:rPr>
  </w:style>
  <w:style w:type="paragraph" w:styleId="CommentSubject">
    <w:name w:val="annotation subject"/>
    <w:basedOn w:val="CommentText"/>
    <w:next w:val="CommentText"/>
    <w:link w:val="CommentSubjectChar"/>
    <w:uiPriority w:val="99"/>
    <w:semiHidden/>
    <w:unhideWhenUsed/>
    <w:rsid w:val="00822139"/>
    <w:rPr>
      <w:b/>
      <w:bCs/>
    </w:rPr>
  </w:style>
  <w:style w:type="character" w:customStyle="1" w:styleId="CommentSubjectChar">
    <w:name w:val="Comment Subject Char"/>
    <w:basedOn w:val="CommentTextChar"/>
    <w:link w:val="CommentSubject"/>
    <w:uiPriority w:val="99"/>
    <w:semiHidden/>
    <w:rsid w:val="008221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855">
      <w:bodyDiv w:val="1"/>
      <w:marLeft w:val="0"/>
      <w:marRight w:val="0"/>
      <w:marTop w:val="0"/>
      <w:marBottom w:val="0"/>
      <w:divBdr>
        <w:top w:val="none" w:sz="0" w:space="0" w:color="auto"/>
        <w:left w:val="none" w:sz="0" w:space="0" w:color="auto"/>
        <w:bottom w:val="none" w:sz="0" w:space="0" w:color="auto"/>
        <w:right w:val="none" w:sz="0" w:space="0" w:color="auto"/>
      </w:divBdr>
    </w:div>
    <w:div w:id="56982522">
      <w:bodyDiv w:val="1"/>
      <w:marLeft w:val="0"/>
      <w:marRight w:val="0"/>
      <w:marTop w:val="0"/>
      <w:marBottom w:val="0"/>
      <w:divBdr>
        <w:top w:val="none" w:sz="0" w:space="0" w:color="auto"/>
        <w:left w:val="none" w:sz="0" w:space="0" w:color="auto"/>
        <w:bottom w:val="none" w:sz="0" w:space="0" w:color="auto"/>
        <w:right w:val="none" w:sz="0" w:space="0" w:color="auto"/>
      </w:divBdr>
    </w:div>
    <w:div w:id="269357488">
      <w:bodyDiv w:val="1"/>
      <w:marLeft w:val="0"/>
      <w:marRight w:val="0"/>
      <w:marTop w:val="0"/>
      <w:marBottom w:val="0"/>
      <w:divBdr>
        <w:top w:val="none" w:sz="0" w:space="0" w:color="auto"/>
        <w:left w:val="none" w:sz="0" w:space="0" w:color="auto"/>
        <w:bottom w:val="none" w:sz="0" w:space="0" w:color="auto"/>
        <w:right w:val="none" w:sz="0" w:space="0" w:color="auto"/>
      </w:divBdr>
    </w:div>
    <w:div w:id="6648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ppa.ca.gov/meetings/materials/20250926_item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www.nbcbayarea.com/investigations/sfs-chinatown-businesses-hit-with-lawsuits-by-prolific-ada-plaintiffs-officials-vow-help/2612493/" TargetMode="External"/><Relationship Id="rId2" Type="http://schemas.openxmlformats.org/officeDocument/2006/relationships/hyperlink" Target="https://www.labor.ca.gov/resources/paga/rulemaking-labor-code-private-attorneys-general-act-of-2004/" TargetMode="External"/><Relationship Id="rId1" Type="http://schemas.openxmlformats.org/officeDocument/2006/relationships/hyperlink" Target="https://cppa.ca.gov/meetings/materials/20250724_item5_3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4f4ba8-594d-4fba-aab9-24fbcba8a15d" xsi:nil="true"/>
    <lcf76f155ced4ddcb4097134ff3c332f xmlns="c890d0c9-0b70-4dc6-8c41-3af9c36c84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FE69E40203F34B9681D00FBC537DF7" ma:contentTypeVersion="17" ma:contentTypeDescription="Create a new document." ma:contentTypeScope="" ma:versionID="587060cdf2e201a99382170654c11a8e">
  <xsd:schema xmlns:xsd="http://www.w3.org/2001/XMLSchema" xmlns:xs="http://www.w3.org/2001/XMLSchema" xmlns:p="http://schemas.microsoft.com/office/2006/metadata/properties" xmlns:ns2="c890d0c9-0b70-4dc6-8c41-3af9c36c84e4" xmlns:ns3="bb4f4ba8-594d-4fba-aab9-24fbcba8a15d" targetNamespace="http://schemas.microsoft.com/office/2006/metadata/properties" ma:root="true" ma:fieldsID="343ea3228fea2c854cf51490c904e9fc" ns2:_="" ns3:_="">
    <xsd:import namespace="c890d0c9-0b70-4dc6-8c41-3af9c36c84e4"/>
    <xsd:import namespace="bb4f4ba8-594d-4fba-aab9-24fbcba8a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0d0c9-0b70-4dc6-8c41-3af9c36c8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fa3bb4-6533-4e06-bf5a-59250ae3c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f4ba8-594d-4fba-aab9-24fbcba8a1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7aa026-91dd-4880-868f-907fc86678df}" ma:internalName="TaxCatchAll" ma:showField="CatchAllData" ma:web="bb4f4ba8-594d-4fba-aab9-24fbcba8a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32461-B1F9-4B90-9D48-FE9BBF15025D}">
  <ds:schemaRefs>
    <ds:schemaRef ds:uri="http://schemas.openxmlformats.org/officeDocument/2006/bibliography"/>
  </ds:schemaRefs>
</ds:datastoreItem>
</file>

<file path=customXml/itemProps2.xml><?xml version="1.0" encoding="utf-8"?>
<ds:datastoreItem xmlns:ds="http://schemas.openxmlformats.org/officeDocument/2006/customXml" ds:itemID="{3F231A11-0027-40C7-92A0-761C0888F959}">
  <ds:schemaRefs>
    <ds:schemaRef ds:uri="http://schemas.microsoft.com/office/2006/metadata/properties"/>
    <ds:schemaRef ds:uri="http://schemas.microsoft.com/office/infopath/2007/PartnerControls"/>
    <ds:schemaRef ds:uri="bb4f4ba8-594d-4fba-aab9-24fbcba8a15d"/>
    <ds:schemaRef ds:uri="c890d0c9-0b70-4dc6-8c41-3af9c36c84e4"/>
  </ds:schemaRefs>
</ds:datastoreItem>
</file>

<file path=customXml/itemProps3.xml><?xml version="1.0" encoding="utf-8"?>
<ds:datastoreItem xmlns:ds="http://schemas.openxmlformats.org/officeDocument/2006/customXml" ds:itemID="{BE6215EC-8631-404F-9A11-8D456BB1CADC}">
  <ds:schemaRefs>
    <ds:schemaRef ds:uri="http://schemas.microsoft.com/sharepoint/v3/contenttype/forms"/>
  </ds:schemaRefs>
</ds:datastoreItem>
</file>

<file path=customXml/itemProps4.xml><?xml version="1.0" encoding="utf-8"?>
<ds:datastoreItem xmlns:ds="http://schemas.openxmlformats.org/officeDocument/2006/customXml" ds:itemID="{A4FFA59A-6F5F-48FC-8C92-27EAF2FC6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0d0c9-0b70-4dc6-8c41-3af9c36c84e4"/>
    <ds:schemaRef ds:uri="bb4f4ba8-594d-4fba-aab9-24fbcba8a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abc4f7-4509-41ba-980a-f561a25182bc}" enabled="0" method="" siteId="{a7abc4f7-4509-41ba-980a-f561a25182b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2043</Words>
  <Characters>11629</Characters>
  <Application>Microsoft Office Word</Application>
  <DocSecurity>0</DocSecurity>
  <Lines>168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Daylami, Ronak</cp:lastModifiedBy>
  <cp:revision>4</cp:revision>
  <dcterms:created xsi:type="dcterms:W3CDTF">2026-03-20T20:52:00Z</dcterms:created>
  <dcterms:modified xsi:type="dcterms:W3CDTF">2026-03-20T21:50:00Z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0x010100E1FE69E40203F34B9681D00FBC537DF7</vt:lpwstr>
  </property>
  <property fmtid="{D5CDD505-2E9C-101B-9397-08002B2CF9AE}" pid="3" name="MediaServiceImageTags">
    <vt:lpwstr/>
  </property>
</Properties>
</file>