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BC96" w14:textId="2EF7A51A" w:rsidR="00F40FC5" w:rsidRPr="008007C2" w:rsidRDefault="008007C2">
      <w:pPr>
        <w:rPr>
          <w:rFonts w:cstheme="minorHAnsi"/>
          <w:b/>
          <w:bCs/>
          <w:u w:val="single"/>
        </w:rPr>
      </w:pPr>
      <w:r w:rsidRPr="008007C2">
        <w:rPr>
          <w:rFonts w:cstheme="minorHAnsi"/>
          <w:b/>
          <w:bCs/>
          <w:u w:val="single"/>
        </w:rPr>
        <w:t>Circular Action Alliance Producer Working Group Meeting Notes – December 5, 2023</w:t>
      </w:r>
    </w:p>
    <w:p w14:paraId="419E0B41" w14:textId="77777777" w:rsidR="008007C2" w:rsidRPr="008007C2" w:rsidRDefault="008007C2">
      <w:pPr>
        <w:rPr>
          <w:rFonts w:cstheme="minorHAnsi"/>
          <w:b/>
          <w:bCs/>
          <w:u w:val="single"/>
        </w:rPr>
      </w:pPr>
    </w:p>
    <w:p w14:paraId="3F237B4C" w14:textId="77777777" w:rsidR="008007C2" w:rsidRPr="008007C2" w:rsidRDefault="008007C2">
      <w:pPr>
        <w:rPr>
          <w:rFonts w:cstheme="minorHAnsi"/>
          <w:color w:val="242424"/>
          <w:shd w:val="clear" w:color="auto" w:fill="FFFFFF"/>
        </w:rPr>
      </w:pPr>
      <w:r w:rsidRPr="008007C2">
        <w:rPr>
          <w:rFonts w:cstheme="minorHAnsi"/>
          <w:color w:val="242424"/>
          <w:shd w:val="clear" w:color="auto" w:fill="FFFFFF"/>
        </w:rPr>
        <w:t>Circular Action Alliance host</w:t>
      </w:r>
      <w:r w:rsidRPr="008007C2">
        <w:rPr>
          <w:rFonts w:cstheme="minorHAnsi"/>
          <w:color w:val="242424"/>
          <w:shd w:val="clear" w:color="auto" w:fill="FFFFFF"/>
        </w:rPr>
        <w:t>ed</w:t>
      </w:r>
      <w:r w:rsidRPr="008007C2">
        <w:rPr>
          <w:rFonts w:cstheme="minorHAnsi"/>
          <w:color w:val="242424"/>
          <w:shd w:val="clear" w:color="auto" w:fill="FFFFFF"/>
        </w:rPr>
        <w:t xml:space="preserve"> </w:t>
      </w:r>
      <w:r w:rsidRPr="008007C2">
        <w:rPr>
          <w:rFonts w:cstheme="minorHAnsi"/>
          <w:color w:val="242424"/>
          <w:shd w:val="clear" w:color="auto" w:fill="FFFFFF"/>
        </w:rPr>
        <w:t>a</w:t>
      </w:r>
      <w:r w:rsidRPr="008007C2">
        <w:rPr>
          <w:rFonts w:cstheme="minorHAnsi"/>
          <w:color w:val="242424"/>
          <w:shd w:val="clear" w:color="auto" w:fill="FFFFFF"/>
        </w:rPr>
        <w:t xml:space="preserve"> Producer Working Group (PWG)</w:t>
      </w:r>
      <w:r w:rsidRPr="008007C2">
        <w:rPr>
          <w:rFonts w:cstheme="minorHAnsi"/>
          <w:color w:val="242424"/>
          <w:shd w:val="clear" w:color="auto" w:fill="FFFFFF"/>
        </w:rPr>
        <w:t xml:space="preserve"> today</w:t>
      </w:r>
      <w:r w:rsidRPr="008007C2">
        <w:rPr>
          <w:rFonts w:cstheme="minorHAnsi"/>
          <w:color w:val="242424"/>
          <w:shd w:val="clear" w:color="auto" w:fill="FFFFFF"/>
        </w:rPr>
        <w:t>, a forum for information sharing and discussion among companies who expect to have producer obligations in one or multiple states with enacted EPR laws for paper and packaging. PWG participation is open to all producers, trade associations representing producers, and legal counsel to producers. Th</w:t>
      </w:r>
      <w:r w:rsidRPr="008007C2">
        <w:rPr>
          <w:rFonts w:cstheme="minorHAnsi"/>
          <w:color w:val="242424"/>
          <w:shd w:val="clear" w:color="auto" w:fill="FFFFFF"/>
        </w:rPr>
        <w:t>e</w:t>
      </w:r>
      <w:r w:rsidRPr="008007C2">
        <w:rPr>
          <w:rFonts w:cstheme="minorHAnsi"/>
          <w:color w:val="242424"/>
          <w:shd w:val="clear" w:color="auto" w:fill="FFFFFF"/>
        </w:rPr>
        <w:t xml:space="preserve"> meeting w</w:t>
      </w:r>
      <w:r w:rsidRPr="008007C2">
        <w:rPr>
          <w:rFonts w:cstheme="minorHAnsi"/>
          <w:color w:val="242424"/>
          <w:shd w:val="clear" w:color="auto" w:fill="FFFFFF"/>
        </w:rPr>
        <w:t xml:space="preserve">as </w:t>
      </w:r>
      <w:r w:rsidRPr="008007C2">
        <w:rPr>
          <w:rFonts w:cstheme="minorHAnsi"/>
          <w:color w:val="242424"/>
          <w:shd w:val="clear" w:color="auto" w:fill="FFFFFF"/>
        </w:rPr>
        <w:t xml:space="preserve">not recorded </w:t>
      </w:r>
      <w:proofErr w:type="gramStart"/>
      <w:r w:rsidRPr="008007C2">
        <w:rPr>
          <w:rFonts w:cstheme="minorHAnsi"/>
          <w:color w:val="242424"/>
          <w:shd w:val="clear" w:color="auto" w:fill="FFFFFF"/>
        </w:rPr>
        <w:t>in order to</w:t>
      </w:r>
      <w:proofErr w:type="gramEnd"/>
      <w:r w:rsidRPr="008007C2">
        <w:rPr>
          <w:rFonts w:cstheme="minorHAnsi"/>
          <w:color w:val="242424"/>
          <w:shd w:val="clear" w:color="auto" w:fill="FFFFFF"/>
        </w:rPr>
        <w:t xml:space="preserve"> encourage open discussion</w:t>
      </w:r>
      <w:r w:rsidRPr="008007C2">
        <w:rPr>
          <w:rFonts w:cstheme="minorHAnsi"/>
          <w:color w:val="242424"/>
          <w:shd w:val="clear" w:color="auto" w:fill="FFFFFF"/>
        </w:rPr>
        <w:t>, so the CRA team took notes on key questions asked and answers provided by CAA, listed below.</w:t>
      </w:r>
    </w:p>
    <w:p w14:paraId="1711D907" w14:textId="77777777" w:rsidR="008007C2" w:rsidRPr="008007C2" w:rsidRDefault="008007C2">
      <w:pPr>
        <w:rPr>
          <w:rFonts w:cstheme="minorHAnsi"/>
          <w:color w:val="242424"/>
          <w:shd w:val="clear" w:color="auto" w:fill="FFFFFF"/>
        </w:rPr>
      </w:pPr>
    </w:p>
    <w:p w14:paraId="407424CA" w14:textId="77777777" w:rsidR="00715987" w:rsidRDefault="008007C2">
      <w:pPr>
        <w:rPr>
          <w:rFonts w:cstheme="minorHAnsi"/>
          <w:color w:val="242424"/>
          <w:shd w:val="clear" w:color="auto" w:fill="FFFFFF"/>
        </w:rPr>
      </w:pPr>
      <w:r w:rsidRPr="008007C2">
        <w:rPr>
          <w:rFonts w:cstheme="minorHAnsi"/>
          <w:color w:val="242424"/>
          <w:shd w:val="clear" w:color="auto" w:fill="FFFFFF"/>
        </w:rPr>
        <w:t>A copy of today’s presentation, which includes a VERY good timeline CAA put together of the California SB 54 regs, will be provided by CAA this week and a summary of the forum discussion made available next week, both of which the CRA team will share with members once received.</w:t>
      </w:r>
    </w:p>
    <w:p w14:paraId="145367F9" w14:textId="77777777" w:rsidR="00715987" w:rsidRDefault="00715987">
      <w:pPr>
        <w:rPr>
          <w:rFonts w:cstheme="minorHAnsi"/>
          <w:color w:val="242424"/>
          <w:shd w:val="clear" w:color="auto" w:fill="FFFFFF"/>
        </w:rPr>
      </w:pPr>
    </w:p>
    <w:p w14:paraId="32942D1A" w14:textId="1221F1D4" w:rsidR="008007C2" w:rsidRPr="008007C2" w:rsidRDefault="00715987">
      <w:pPr>
        <w:rPr>
          <w:rFonts w:cstheme="minorHAnsi"/>
          <w:color w:val="242424"/>
          <w:shd w:val="clear" w:color="auto" w:fill="FFFFFF"/>
        </w:rPr>
      </w:pPr>
      <w:r>
        <w:rPr>
          <w:rFonts w:cstheme="minorHAnsi"/>
          <w:color w:val="242424"/>
          <w:shd w:val="clear" w:color="auto" w:fill="FFFFFF"/>
        </w:rPr>
        <w:t xml:space="preserve">The next PWG meeting will be held on January 16. Register </w:t>
      </w:r>
      <w:hyperlink r:id="rId5" w:history="1">
        <w:r w:rsidRPr="00715987">
          <w:rPr>
            <w:rStyle w:val="Hyperlink"/>
            <w:rFonts w:cstheme="minorHAnsi"/>
            <w:shd w:val="clear" w:color="auto" w:fill="FFFFFF"/>
          </w:rPr>
          <w:t>HERE</w:t>
        </w:r>
      </w:hyperlink>
      <w:r>
        <w:rPr>
          <w:rFonts w:cstheme="minorHAnsi"/>
          <w:color w:val="242424"/>
          <w:shd w:val="clear" w:color="auto" w:fill="FFFFFF"/>
        </w:rPr>
        <w:t>.</w:t>
      </w:r>
      <w:r w:rsidR="008007C2" w:rsidRPr="008007C2">
        <w:rPr>
          <w:rFonts w:cstheme="minorHAnsi"/>
          <w:color w:val="242424"/>
        </w:rPr>
        <w:br/>
      </w:r>
      <w:r w:rsidR="008007C2" w:rsidRPr="008007C2">
        <w:rPr>
          <w:rFonts w:cstheme="minorHAnsi"/>
          <w:color w:val="242424"/>
        </w:rPr>
        <w:br/>
      </w:r>
      <w:r w:rsidR="008007C2" w:rsidRPr="008007C2">
        <w:rPr>
          <w:rFonts w:cstheme="minorHAnsi"/>
          <w:color w:val="242424"/>
          <w:shd w:val="clear" w:color="auto" w:fill="FFFFFF"/>
        </w:rPr>
        <w:t>CAA is a 501(c)(3) non-profit Producer Responsibility Organization (PRO) established to support the successful implementation of Extended Producer Responsibility (EPR) laws for paper and packaging in the United States.</w:t>
      </w:r>
    </w:p>
    <w:p w14:paraId="69F26441" w14:textId="77777777" w:rsidR="008007C2" w:rsidRPr="008007C2" w:rsidRDefault="008007C2">
      <w:pPr>
        <w:rPr>
          <w:rFonts w:cstheme="minorHAnsi"/>
          <w:color w:val="242424"/>
          <w:shd w:val="clear" w:color="auto" w:fill="FFFFFF"/>
        </w:rPr>
      </w:pPr>
    </w:p>
    <w:p w14:paraId="0D8AFFAD" w14:textId="434D3F38" w:rsidR="008007C2" w:rsidRPr="008007C2" w:rsidRDefault="008007C2">
      <w:pPr>
        <w:rPr>
          <w:rFonts w:cstheme="minorHAnsi"/>
          <w:color w:val="242424"/>
          <w:shd w:val="clear" w:color="auto" w:fill="FFFFFF"/>
        </w:rPr>
      </w:pPr>
      <w:r w:rsidRPr="008007C2">
        <w:rPr>
          <w:rFonts w:cstheme="minorHAnsi"/>
          <w:color w:val="242424"/>
          <w:shd w:val="clear" w:color="auto" w:fill="FFFFFF"/>
        </w:rPr>
        <w:t>Highlights of Q&amp;A during today’s meeting:</w:t>
      </w:r>
    </w:p>
    <w:p w14:paraId="57DBA403" w14:textId="08FDBC8B"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Q: Are there exclusions to C</w:t>
      </w:r>
      <w:r w:rsidR="0000253B">
        <w:rPr>
          <w:rStyle w:val="xs1"/>
          <w:rFonts w:asciiTheme="minorHAnsi" w:hAnsiTheme="minorHAnsi" w:cstheme="minorHAnsi"/>
          <w:color w:val="242424"/>
          <w:bdr w:val="none" w:sz="0" w:space="0" w:color="auto" w:frame="1"/>
        </w:rPr>
        <w:t>overed Material</w:t>
      </w:r>
      <w:r w:rsidRPr="008007C2">
        <w:rPr>
          <w:rStyle w:val="xs1"/>
          <w:rFonts w:asciiTheme="minorHAnsi" w:hAnsiTheme="minorHAnsi" w:cstheme="minorHAnsi"/>
          <w:color w:val="242424"/>
          <w:bdr w:val="none" w:sz="0" w:space="0" w:color="auto" w:frame="1"/>
        </w:rPr>
        <w:t>, do you need to transition your material</w:t>
      </w:r>
      <w:r w:rsidR="0000253B">
        <w:rPr>
          <w:rStyle w:val="xs1"/>
          <w:rFonts w:asciiTheme="minorHAnsi" w:hAnsiTheme="minorHAnsi" w:cstheme="minorHAnsi"/>
          <w:color w:val="242424"/>
          <w:bdr w:val="none" w:sz="0" w:space="0" w:color="auto" w:frame="1"/>
        </w:rPr>
        <w:t>?</w:t>
      </w:r>
    </w:p>
    <w:p w14:paraId="202FEC9F" w14:textId="3BB9D177" w:rsidR="008007C2" w:rsidRPr="008007C2" w:rsidRDefault="008007C2" w:rsidP="0000253B">
      <w:pPr>
        <w:pStyle w:val="xli1"/>
        <w:shd w:val="clear" w:color="auto" w:fill="FFFFFF"/>
        <w:spacing w:before="0" w:beforeAutospacing="0" w:after="0" w:afterAutospacing="0"/>
        <w:ind w:left="72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A: Exclusions are for specific packaging for specific product groups like medicine, which falls under federal reg</w:t>
      </w:r>
      <w:r w:rsidR="0000253B">
        <w:rPr>
          <w:rStyle w:val="xs1"/>
          <w:rFonts w:asciiTheme="minorHAnsi" w:hAnsiTheme="minorHAnsi" w:cstheme="minorHAnsi"/>
          <w:color w:val="242424"/>
          <w:bdr w:val="none" w:sz="0" w:space="0" w:color="auto" w:frame="1"/>
        </w:rPr>
        <w:t>ulations</w:t>
      </w:r>
      <w:r w:rsidRPr="008007C2">
        <w:rPr>
          <w:rStyle w:val="xs1"/>
          <w:rFonts w:asciiTheme="minorHAnsi" w:hAnsiTheme="minorHAnsi" w:cstheme="minorHAnsi"/>
          <w:color w:val="242424"/>
          <w:bdr w:val="none" w:sz="0" w:space="0" w:color="auto" w:frame="1"/>
        </w:rPr>
        <w:t>. S</w:t>
      </w:r>
      <w:r w:rsidR="0000253B">
        <w:rPr>
          <w:rStyle w:val="xs1"/>
          <w:rFonts w:asciiTheme="minorHAnsi" w:hAnsiTheme="minorHAnsi" w:cstheme="minorHAnsi"/>
          <w:color w:val="242424"/>
          <w:bdr w:val="none" w:sz="0" w:space="0" w:color="auto" w:frame="1"/>
        </w:rPr>
        <w:t>o, in those exclusion cases,</w:t>
      </w:r>
      <w:r w:rsidRPr="008007C2">
        <w:rPr>
          <w:rStyle w:val="xs1"/>
          <w:rFonts w:asciiTheme="minorHAnsi" w:hAnsiTheme="minorHAnsi" w:cstheme="minorHAnsi"/>
          <w:color w:val="242424"/>
          <w:bdr w:val="none" w:sz="0" w:space="0" w:color="auto" w:frame="1"/>
        </w:rPr>
        <w:t xml:space="preserve"> no obligation </w:t>
      </w:r>
      <w:r w:rsidR="0000253B">
        <w:rPr>
          <w:rStyle w:val="xs1"/>
          <w:rFonts w:asciiTheme="minorHAnsi" w:hAnsiTheme="minorHAnsi" w:cstheme="minorHAnsi"/>
          <w:color w:val="242424"/>
          <w:bdr w:val="none" w:sz="0" w:space="0" w:color="auto" w:frame="1"/>
        </w:rPr>
        <w:t xml:space="preserve">is </w:t>
      </w:r>
      <w:r w:rsidRPr="008007C2">
        <w:rPr>
          <w:rStyle w:val="xs1"/>
          <w:rFonts w:asciiTheme="minorHAnsi" w:hAnsiTheme="minorHAnsi" w:cstheme="minorHAnsi"/>
          <w:color w:val="242424"/>
          <w:bdr w:val="none" w:sz="0" w:space="0" w:color="auto" w:frame="1"/>
        </w:rPr>
        <w:t>required</w:t>
      </w:r>
      <w:r w:rsidR="0000253B">
        <w:rPr>
          <w:rStyle w:val="xs1"/>
          <w:rFonts w:asciiTheme="minorHAnsi" w:hAnsiTheme="minorHAnsi" w:cstheme="minorHAnsi"/>
          <w:color w:val="242424"/>
          <w:bdr w:val="none" w:sz="0" w:space="0" w:color="auto" w:frame="1"/>
        </w:rPr>
        <w:t>.</w:t>
      </w:r>
    </w:p>
    <w:p w14:paraId="6D816FE1" w14:textId="52B683EF"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 xml:space="preserve">Q: </w:t>
      </w:r>
      <w:r w:rsidR="0000253B">
        <w:rPr>
          <w:rStyle w:val="xs1"/>
          <w:rFonts w:asciiTheme="minorHAnsi" w:hAnsiTheme="minorHAnsi" w:cstheme="minorHAnsi"/>
          <w:color w:val="242424"/>
          <w:bdr w:val="none" w:sz="0" w:space="0" w:color="auto" w:frame="1"/>
        </w:rPr>
        <w:t>What is CAA’s a</w:t>
      </w:r>
      <w:r w:rsidRPr="008007C2">
        <w:rPr>
          <w:rStyle w:val="xs1"/>
          <w:rFonts w:asciiTheme="minorHAnsi" w:hAnsiTheme="minorHAnsi" w:cstheme="minorHAnsi"/>
          <w:color w:val="242424"/>
          <w:bdr w:val="none" w:sz="0" w:space="0" w:color="auto" w:frame="1"/>
        </w:rPr>
        <w:t xml:space="preserve">bility to estimate fees to help producers build out </w:t>
      </w:r>
      <w:r w:rsidR="0000253B">
        <w:rPr>
          <w:rStyle w:val="xs1"/>
          <w:rFonts w:asciiTheme="minorHAnsi" w:hAnsiTheme="minorHAnsi" w:cstheme="minorHAnsi"/>
          <w:color w:val="242424"/>
          <w:bdr w:val="none" w:sz="0" w:space="0" w:color="auto" w:frame="1"/>
        </w:rPr>
        <w:t xml:space="preserve">their </w:t>
      </w:r>
      <w:r w:rsidRPr="008007C2">
        <w:rPr>
          <w:rStyle w:val="xs1"/>
          <w:rFonts w:asciiTheme="minorHAnsi" w:hAnsiTheme="minorHAnsi" w:cstheme="minorHAnsi"/>
          <w:color w:val="242424"/>
          <w:bdr w:val="none" w:sz="0" w:space="0" w:color="auto" w:frame="1"/>
        </w:rPr>
        <w:t>budgets</w:t>
      </w:r>
      <w:r w:rsidR="0000253B">
        <w:rPr>
          <w:rStyle w:val="xs1"/>
          <w:rFonts w:asciiTheme="minorHAnsi" w:hAnsiTheme="minorHAnsi" w:cstheme="minorHAnsi"/>
          <w:color w:val="242424"/>
          <w:bdr w:val="none" w:sz="0" w:space="0" w:color="auto" w:frame="1"/>
        </w:rPr>
        <w:t xml:space="preserve"> over the next 3-5 years</w:t>
      </w:r>
      <w:r w:rsidRPr="008007C2">
        <w:rPr>
          <w:rStyle w:val="xs1"/>
          <w:rFonts w:asciiTheme="minorHAnsi" w:hAnsiTheme="minorHAnsi" w:cstheme="minorHAnsi"/>
          <w:color w:val="242424"/>
          <w:bdr w:val="none" w:sz="0" w:space="0" w:color="auto" w:frame="1"/>
        </w:rPr>
        <w:t>?</w:t>
      </w:r>
    </w:p>
    <w:p w14:paraId="19ADF092" w14:textId="57150845" w:rsidR="008007C2" w:rsidRPr="008007C2" w:rsidRDefault="008007C2" w:rsidP="0000253B">
      <w:pPr>
        <w:pStyle w:val="xli1"/>
        <w:shd w:val="clear" w:color="auto" w:fill="FFFFFF"/>
        <w:spacing w:before="0" w:beforeAutospacing="0" w:after="0" w:afterAutospacing="0"/>
        <w:ind w:left="72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A: CAA cannot yet give estimates</w:t>
      </w:r>
      <w:r w:rsidR="0000253B">
        <w:rPr>
          <w:rStyle w:val="xs1"/>
          <w:rFonts w:asciiTheme="minorHAnsi" w:hAnsiTheme="minorHAnsi" w:cstheme="minorHAnsi"/>
          <w:color w:val="242424"/>
          <w:bdr w:val="none" w:sz="0" w:space="0" w:color="auto" w:frame="1"/>
        </w:rPr>
        <w:t xml:space="preserve">, </w:t>
      </w:r>
      <w:r w:rsidRPr="008007C2">
        <w:rPr>
          <w:rStyle w:val="xs1"/>
          <w:rFonts w:asciiTheme="minorHAnsi" w:hAnsiTheme="minorHAnsi" w:cstheme="minorHAnsi"/>
          <w:color w:val="242424"/>
          <w:bdr w:val="none" w:sz="0" w:space="0" w:color="auto" w:frame="1"/>
        </w:rPr>
        <w:t xml:space="preserve">but will be diving into this topic in </w:t>
      </w:r>
      <w:proofErr w:type="gramStart"/>
      <w:r w:rsidRPr="008007C2">
        <w:rPr>
          <w:rStyle w:val="xs1"/>
          <w:rFonts w:asciiTheme="minorHAnsi" w:hAnsiTheme="minorHAnsi" w:cstheme="minorHAnsi"/>
          <w:color w:val="242424"/>
          <w:bdr w:val="none" w:sz="0" w:space="0" w:color="auto" w:frame="1"/>
        </w:rPr>
        <w:t>January</w:t>
      </w:r>
      <w:r w:rsidR="0000253B">
        <w:rPr>
          <w:rStyle w:val="xs1"/>
          <w:rFonts w:asciiTheme="minorHAnsi" w:hAnsiTheme="minorHAnsi" w:cstheme="minorHAnsi"/>
          <w:color w:val="242424"/>
          <w:bdr w:val="none" w:sz="0" w:space="0" w:color="auto" w:frame="1"/>
        </w:rPr>
        <w:t>,</w:t>
      </w:r>
      <w:proofErr w:type="gramEnd"/>
      <w:r w:rsidR="0000253B">
        <w:rPr>
          <w:rStyle w:val="xs1"/>
          <w:rFonts w:asciiTheme="minorHAnsi" w:hAnsiTheme="minorHAnsi" w:cstheme="minorHAnsi"/>
          <w:color w:val="242424"/>
          <w:bdr w:val="none" w:sz="0" w:space="0" w:color="auto" w:frame="1"/>
        </w:rPr>
        <w:t xml:space="preserve"> 2024</w:t>
      </w:r>
      <w:r w:rsidRPr="008007C2">
        <w:rPr>
          <w:rStyle w:val="xs1"/>
          <w:rFonts w:asciiTheme="minorHAnsi" w:hAnsiTheme="minorHAnsi" w:cstheme="minorHAnsi"/>
          <w:color w:val="242424"/>
          <w:bdr w:val="none" w:sz="0" w:space="0" w:color="auto" w:frame="1"/>
        </w:rPr>
        <w:t xml:space="preserve">. </w:t>
      </w:r>
      <w:r w:rsidR="0000253B">
        <w:rPr>
          <w:rStyle w:val="xs1"/>
          <w:rFonts w:asciiTheme="minorHAnsi" w:hAnsiTheme="minorHAnsi" w:cstheme="minorHAnsi"/>
          <w:color w:val="242424"/>
          <w:bdr w:val="none" w:sz="0" w:space="0" w:color="auto" w:frame="1"/>
        </w:rPr>
        <w:t xml:space="preserve">Producers will need to </w:t>
      </w:r>
      <w:r w:rsidRPr="008007C2">
        <w:rPr>
          <w:rStyle w:val="xs1"/>
          <w:rFonts w:asciiTheme="minorHAnsi" w:hAnsiTheme="minorHAnsi" w:cstheme="minorHAnsi"/>
          <w:color w:val="242424"/>
          <w:bdr w:val="none" w:sz="0" w:space="0" w:color="auto" w:frame="1"/>
        </w:rPr>
        <w:t xml:space="preserve">understand </w:t>
      </w:r>
      <w:r w:rsidR="0000253B">
        <w:rPr>
          <w:rStyle w:val="xs1"/>
          <w:rFonts w:asciiTheme="minorHAnsi" w:hAnsiTheme="minorHAnsi" w:cstheme="minorHAnsi"/>
          <w:color w:val="242424"/>
          <w:bdr w:val="none" w:sz="0" w:space="0" w:color="auto" w:frame="1"/>
        </w:rPr>
        <w:t xml:space="preserve">their </w:t>
      </w:r>
      <w:r w:rsidRPr="008007C2">
        <w:rPr>
          <w:rStyle w:val="xs1"/>
          <w:rFonts w:asciiTheme="minorHAnsi" w:hAnsiTheme="minorHAnsi" w:cstheme="minorHAnsi"/>
          <w:color w:val="242424"/>
          <w:bdr w:val="none" w:sz="0" w:space="0" w:color="auto" w:frame="1"/>
        </w:rPr>
        <w:t xml:space="preserve">program costs (costs to collect, sort, audit, do education, </w:t>
      </w:r>
      <w:proofErr w:type="spellStart"/>
      <w:r w:rsidRPr="008007C2">
        <w:rPr>
          <w:rStyle w:val="xs1"/>
          <w:rFonts w:asciiTheme="minorHAnsi" w:hAnsiTheme="minorHAnsi" w:cstheme="minorHAnsi"/>
          <w:color w:val="242424"/>
          <w:bdr w:val="none" w:sz="0" w:space="0" w:color="auto" w:frame="1"/>
        </w:rPr>
        <w:t>etc</w:t>
      </w:r>
      <w:proofErr w:type="spellEnd"/>
      <w:r w:rsidRPr="008007C2">
        <w:rPr>
          <w:rStyle w:val="xs1"/>
          <w:rFonts w:asciiTheme="minorHAnsi" w:hAnsiTheme="minorHAnsi" w:cstheme="minorHAnsi"/>
          <w:color w:val="242424"/>
          <w:bdr w:val="none" w:sz="0" w:space="0" w:color="auto" w:frame="1"/>
        </w:rPr>
        <w:t xml:space="preserve">) including taking total program budget and doing material costing for material specific program costs across </w:t>
      </w:r>
      <w:r w:rsidR="0000253B">
        <w:rPr>
          <w:rStyle w:val="xs1"/>
          <w:rFonts w:asciiTheme="minorHAnsi" w:hAnsiTheme="minorHAnsi" w:cstheme="minorHAnsi"/>
          <w:color w:val="242424"/>
          <w:bdr w:val="none" w:sz="0" w:space="0" w:color="auto" w:frame="1"/>
        </w:rPr>
        <w:t xml:space="preserve">their </w:t>
      </w:r>
      <w:r w:rsidRPr="008007C2">
        <w:rPr>
          <w:rStyle w:val="xs1"/>
          <w:rFonts w:asciiTheme="minorHAnsi" w:hAnsiTheme="minorHAnsi" w:cstheme="minorHAnsi"/>
          <w:color w:val="242424"/>
          <w:bdr w:val="none" w:sz="0" w:space="0" w:color="auto" w:frame="1"/>
        </w:rPr>
        <w:t>entire budget. </w:t>
      </w:r>
    </w:p>
    <w:p w14:paraId="40F2BED2" w14:textId="243C6E70"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 xml:space="preserve">CAA cannot say who obligated producers are yet until more clarity comes out of </w:t>
      </w:r>
      <w:r w:rsidR="0000253B">
        <w:rPr>
          <w:rStyle w:val="xs1"/>
          <w:rFonts w:asciiTheme="minorHAnsi" w:hAnsiTheme="minorHAnsi" w:cstheme="minorHAnsi"/>
          <w:color w:val="242424"/>
          <w:bdr w:val="none" w:sz="0" w:space="0" w:color="auto" w:frame="1"/>
        </w:rPr>
        <w:t xml:space="preserve">the </w:t>
      </w:r>
      <w:r w:rsidRPr="008007C2">
        <w:rPr>
          <w:rStyle w:val="xs1"/>
          <w:rFonts w:asciiTheme="minorHAnsi" w:hAnsiTheme="minorHAnsi" w:cstheme="minorHAnsi"/>
          <w:color w:val="242424"/>
          <w:bdr w:val="none" w:sz="0" w:space="0" w:color="auto" w:frame="1"/>
        </w:rPr>
        <w:t xml:space="preserve">regs </w:t>
      </w:r>
      <w:proofErr w:type="gramStart"/>
      <w:r w:rsidRPr="008007C2">
        <w:rPr>
          <w:rStyle w:val="xs1"/>
          <w:rFonts w:asciiTheme="minorHAnsi" w:hAnsiTheme="minorHAnsi" w:cstheme="minorHAnsi"/>
          <w:color w:val="242424"/>
          <w:bdr w:val="none" w:sz="0" w:space="0" w:color="auto" w:frame="1"/>
        </w:rPr>
        <w:t>process</w:t>
      </w:r>
      <w:proofErr w:type="gramEnd"/>
    </w:p>
    <w:p w14:paraId="3B8F5774" w14:textId="4BD238F8" w:rsidR="008007C2" w:rsidRPr="008007C2" w:rsidRDefault="0000253B"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Pr>
          <w:rStyle w:val="xs1"/>
          <w:rFonts w:asciiTheme="minorHAnsi" w:hAnsiTheme="minorHAnsi" w:cstheme="minorHAnsi"/>
          <w:color w:val="242424"/>
          <w:bdr w:val="none" w:sz="0" w:space="0" w:color="auto" w:frame="1"/>
        </w:rPr>
        <w:t>It is still u</w:t>
      </w:r>
      <w:r w:rsidR="008007C2" w:rsidRPr="008007C2">
        <w:rPr>
          <w:rStyle w:val="xs1"/>
          <w:rFonts w:asciiTheme="minorHAnsi" w:hAnsiTheme="minorHAnsi" w:cstheme="minorHAnsi"/>
          <w:color w:val="242424"/>
          <w:bdr w:val="none" w:sz="0" w:space="0" w:color="auto" w:frame="1"/>
        </w:rPr>
        <w:t>nclear</w:t>
      </w:r>
      <w:r>
        <w:rPr>
          <w:rStyle w:val="xs1"/>
          <w:rFonts w:asciiTheme="minorHAnsi" w:hAnsiTheme="minorHAnsi" w:cstheme="minorHAnsi"/>
          <w:color w:val="242424"/>
          <w:bdr w:val="none" w:sz="0" w:space="0" w:color="auto" w:frame="1"/>
        </w:rPr>
        <w:t xml:space="preserve"> for CAA</w:t>
      </w:r>
      <w:r w:rsidR="008007C2" w:rsidRPr="008007C2">
        <w:rPr>
          <w:rStyle w:val="xs1"/>
          <w:rFonts w:asciiTheme="minorHAnsi" w:hAnsiTheme="minorHAnsi" w:cstheme="minorHAnsi"/>
          <w:color w:val="242424"/>
          <w:bdr w:val="none" w:sz="0" w:space="0" w:color="auto" w:frame="1"/>
        </w:rPr>
        <w:t xml:space="preserve"> if there is a duplicative reporting role for retailers and wholesalers not already reporting as a producer</w:t>
      </w:r>
      <w:r>
        <w:rPr>
          <w:rStyle w:val="xs1"/>
          <w:rFonts w:asciiTheme="minorHAnsi" w:hAnsiTheme="minorHAnsi" w:cstheme="minorHAnsi"/>
          <w:color w:val="242424"/>
          <w:bdr w:val="none" w:sz="0" w:space="0" w:color="auto" w:frame="1"/>
        </w:rPr>
        <w:t xml:space="preserve">. </w:t>
      </w:r>
    </w:p>
    <w:p w14:paraId="051ADCD4" w14:textId="0706D577" w:rsidR="008007C2" w:rsidRPr="008007C2" w:rsidRDefault="0000253B"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Pr>
          <w:rStyle w:val="xs1"/>
          <w:rFonts w:asciiTheme="minorHAnsi" w:hAnsiTheme="minorHAnsi" w:cstheme="minorHAnsi"/>
          <w:color w:val="242424"/>
          <w:bdr w:val="none" w:sz="0" w:space="0" w:color="auto" w:frame="1"/>
        </w:rPr>
        <w:t>Third</w:t>
      </w:r>
      <w:r w:rsidR="008007C2" w:rsidRPr="008007C2">
        <w:rPr>
          <w:rStyle w:val="xs1"/>
          <w:rFonts w:asciiTheme="minorHAnsi" w:hAnsiTheme="minorHAnsi" w:cstheme="minorHAnsi"/>
          <w:color w:val="242424"/>
          <w:bdr w:val="none" w:sz="0" w:space="0" w:color="auto" w:frame="1"/>
        </w:rPr>
        <w:t xml:space="preserve"> party fulfillment depends on where obligation is set- likely in category of distributor unless packing multiple items under a new </w:t>
      </w:r>
      <w:proofErr w:type="gramStart"/>
      <w:r w:rsidR="008007C2" w:rsidRPr="008007C2">
        <w:rPr>
          <w:rStyle w:val="xs1"/>
          <w:rFonts w:asciiTheme="minorHAnsi" w:hAnsiTheme="minorHAnsi" w:cstheme="minorHAnsi"/>
          <w:color w:val="242424"/>
          <w:bdr w:val="none" w:sz="0" w:space="0" w:color="auto" w:frame="1"/>
        </w:rPr>
        <w:t>brand</w:t>
      </w:r>
      <w:proofErr w:type="gramEnd"/>
      <w:r w:rsidR="008007C2" w:rsidRPr="008007C2">
        <w:rPr>
          <w:rStyle w:val="xs1"/>
          <w:rFonts w:asciiTheme="minorHAnsi" w:hAnsiTheme="minorHAnsi" w:cstheme="minorHAnsi"/>
          <w:color w:val="242424"/>
          <w:bdr w:val="none" w:sz="0" w:space="0" w:color="auto" w:frame="1"/>
        </w:rPr>
        <w:t> </w:t>
      </w:r>
    </w:p>
    <w:p w14:paraId="729662C4" w14:textId="4829410C"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 xml:space="preserve">Producers will have a much easier time reporting through the </w:t>
      </w:r>
      <w:proofErr w:type="gramStart"/>
      <w:r w:rsidRPr="008007C2">
        <w:rPr>
          <w:rStyle w:val="xs1"/>
          <w:rFonts w:asciiTheme="minorHAnsi" w:hAnsiTheme="minorHAnsi" w:cstheme="minorHAnsi"/>
          <w:color w:val="242424"/>
          <w:bdr w:val="none" w:sz="0" w:space="0" w:color="auto" w:frame="1"/>
        </w:rPr>
        <w:t>PRO</w:t>
      </w:r>
      <w:proofErr w:type="gramEnd"/>
      <w:r w:rsidR="0000253B">
        <w:rPr>
          <w:rStyle w:val="xs1"/>
          <w:rFonts w:asciiTheme="minorHAnsi" w:hAnsiTheme="minorHAnsi" w:cstheme="minorHAnsi"/>
          <w:color w:val="242424"/>
          <w:bdr w:val="none" w:sz="0" w:space="0" w:color="auto" w:frame="1"/>
        </w:rPr>
        <w:t xml:space="preserve"> </w:t>
      </w:r>
    </w:p>
    <w:p w14:paraId="0E57EA6C" w14:textId="77777777"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Q: Can estimates be made on national sale data? </w:t>
      </w:r>
    </w:p>
    <w:p w14:paraId="5DC8F664" w14:textId="4DD2B813" w:rsidR="008007C2" w:rsidRPr="008007C2" w:rsidRDefault="008007C2" w:rsidP="0000253B">
      <w:pPr>
        <w:pStyle w:val="xli1"/>
        <w:shd w:val="clear" w:color="auto" w:fill="FFFFFF"/>
        <w:spacing w:before="0" w:beforeAutospacing="0" w:after="0" w:afterAutospacing="0"/>
        <w:ind w:left="72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A: estimates of sales quantities in a state w/EPR laws</w:t>
      </w:r>
      <w:r w:rsidR="0000253B">
        <w:rPr>
          <w:rStyle w:val="xs1"/>
          <w:rFonts w:asciiTheme="minorHAnsi" w:hAnsiTheme="minorHAnsi" w:cstheme="minorHAnsi"/>
          <w:color w:val="242424"/>
          <w:bdr w:val="none" w:sz="0" w:space="0" w:color="auto" w:frame="1"/>
        </w:rPr>
        <w:t xml:space="preserve"> </w:t>
      </w:r>
      <w:r w:rsidRPr="008007C2">
        <w:rPr>
          <w:rStyle w:val="xs1"/>
          <w:rFonts w:asciiTheme="minorHAnsi" w:hAnsiTheme="minorHAnsi" w:cstheme="minorHAnsi"/>
          <w:color w:val="242424"/>
          <w:bdr w:val="none" w:sz="0" w:space="0" w:color="auto" w:frame="1"/>
        </w:rPr>
        <w:t>will be an allowable approach when retailers don't have sales data. </w:t>
      </w:r>
    </w:p>
    <w:p w14:paraId="241E1BF9" w14:textId="438B1820" w:rsidR="008007C2" w:rsidRPr="008007C2" w:rsidRDefault="008007C2" w:rsidP="008007C2">
      <w:pPr>
        <w:pStyle w:val="xli1"/>
        <w:numPr>
          <w:ilvl w:val="0"/>
          <w:numId w:val="1"/>
        </w:numPr>
        <w:shd w:val="clear" w:color="auto" w:fill="FFFFFF"/>
        <w:spacing w:before="0" w:beforeAutospacing="0" w:after="0" w:afterAutospacing="0"/>
        <w:rPr>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t>CAA has commented on C</w:t>
      </w:r>
      <w:r w:rsidR="0000253B">
        <w:rPr>
          <w:rStyle w:val="xs1"/>
          <w:rFonts w:asciiTheme="minorHAnsi" w:hAnsiTheme="minorHAnsi" w:cstheme="minorHAnsi"/>
          <w:color w:val="242424"/>
          <w:bdr w:val="none" w:sz="0" w:space="0" w:color="auto" w:frame="1"/>
        </w:rPr>
        <w:t xml:space="preserve">overed Material Categories </w:t>
      </w:r>
      <w:r w:rsidRPr="008007C2">
        <w:rPr>
          <w:rStyle w:val="xs1"/>
          <w:rFonts w:asciiTheme="minorHAnsi" w:hAnsiTheme="minorHAnsi" w:cstheme="minorHAnsi"/>
          <w:color w:val="242424"/>
          <w:bdr w:val="none" w:sz="0" w:space="0" w:color="auto" w:frame="1"/>
        </w:rPr>
        <w:t xml:space="preserve">drafts </w:t>
      </w:r>
      <w:proofErr w:type="spellStart"/>
      <w:r w:rsidRPr="008007C2">
        <w:rPr>
          <w:rStyle w:val="xs1"/>
          <w:rFonts w:asciiTheme="minorHAnsi" w:hAnsiTheme="minorHAnsi" w:cstheme="minorHAnsi"/>
          <w:color w:val="242424"/>
          <w:bdr w:val="none" w:sz="0" w:space="0" w:color="auto" w:frame="1"/>
        </w:rPr>
        <w:t>CalRecycle</w:t>
      </w:r>
      <w:proofErr w:type="spellEnd"/>
      <w:r w:rsidRPr="008007C2">
        <w:rPr>
          <w:rStyle w:val="xs1"/>
          <w:rFonts w:asciiTheme="minorHAnsi" w:hAnsiTheme="minorHAnsi" w:cstheme="minorHAnsi"/>
          <w:color w:val="242424"/>
          <w:bdr w:val="none" w:sz="0" w:space="0" w:color="auto" w:frame="1"/>
        </w:rPr>
        <w:t xml:space="preserve"> has given</w:t>
      </w:r>
      <w:r w:rsidR="0000253B">
        <w:rPr>
          <w:rStyle w:val="xs1"/>
          <w:rFonts w:asciiTheme="minorHAnsi" w:hAnsiTheme="minorHAnsi" w:cstheme="minorHAnsi"/>
          <w:color w:val="242424"/>
          <w:bdr w:val="none" w:sz="0" w:space="0" w:color="auto" w:frame="1"/>
        </w:rPr>
        <w:t xml:space="preserve"> and </w:t>
      </w:r>
      <w:r w:rsidRPr="008007C2">
        <w:rPr>
          <w:rStyle w:val="xs1"/>
          <w:rFonts w:asciiTheme="minorHAnsi" w:hAnsiTheme="minorHAnsi" w:cstheme="minorHAnsi"/>
          <w:color w:val="242424"/>
          <w:bdr w:val="none" w:sz="0" w:space="0" w:color="auto" w:frame="1"/>
        </w:rPr>
        <w:t>anticipate</w:t>
      </w:r>
      <w:r w:rsidR="0000253B">
        <w:rPr>
          <w:rStyle w:val="xs1"/>
          <w:rFonts w:asciiTheme="minorHAnsi" w:hAnsiTheme="minorHAnsi" w:cstheme="minorHAnsi"/>
          <w:color w:val="242424"/>
          <w:bdr w:val="none" w:sz="0" w:space="0" w:color="auto" w:frame="1"/>
        </w:rPr>
        <w:t>s</w:t>
      </w:r>
      <w:r w:rsidRPr="008007C2">
        <w:rPr>
          <w:rStyle w:val="xs1"/>
          <w:rFonts w:asciiTheme="minorHAnsi" w:hAnsiTheme="minorHAnsi" w:cstheme="minorHAnsi"/>
          <w:color w:val="242424"/>
          <w:bdr w:val="none" w:sz="0" w:space="0" w:color="auto" w:frame="1"/>
        </w:rPr>
        <w:t xml:space="preserve"> little changes </w:t>
      </w:r>
      <w:r w:rsidR="0000253B">
        <w:rPr>
          <w:rStyle w:val="xs1"/>
          <w:rFonts w:asciiTheme="minorHAnsi" w:hAnsiTheme="minorHAnsi" w:cstheme="minorHAnsi"/>
          <w:color w:val="242424"/>
          <w:bdr w:val="none" w:sz="0" w:space="0" w:color="auto" w:frame="1"/>
        </w:rPr>
        <w:t xml:space="preserve">that will be made </w:t>
      </w:r>
      <w:r w:rsidRPr="008007C2">
        <w:rPr>
          <w:rStyle w:val="xs1"/>
          <w:rFonts w:asciiTheme="minorHAnsi" w:hAnsiTheme="minorHAnsi" w:cstheme="minorHAnsi"/>
          <w:color w:val="242424"/>
          <w:bdr w:val="none" w:sz="0" w:space="0" w:color="auto" w:frame="1"/>
        </w:rPr>
        <w:t>between Jan</w:t>
      </w:r>
      <w:r w:rsidR="0000253B">
        <w:rPr>
          <w:rStyle w:val="xs1"/>
          <w:rFonts w:asciiTheme="minorHAnsi" w:hAnsiTheme="minorHAnsi" w:cstheme="minorHAnsi"/>
          <w:color w:val="242424"/>
          <w:bdr w:val="none" w:sz="0" w:space="0" w:color="auto" w:frame="1"/>
        </w:rPr>
        <w:t>uary</w:t>
      </w:r>
      <w:r w:rsidRPr="008007C2">
        <w:rPr>
          <w:rStyle w:val="xs1"/>
          <w:rFonts w:asciiTheme="minorHAnsi" w:hAnsiTheme="minorHAnsi" w:cstheme="minorHAnsi"/>
          <w:color w:val="242424"/>
          <w:bdr w:val="none" w:sz="0" w:space="0" w:color="auto" w:frame="1"/>
        </w:rPr>
        <w:t xml:space="preserve"> 1</w:t>
      </w:r>
      <w:r w:rsidR="0000253B">
        <w:rPr>
          <w:rStyle w:val="xs1"/>
          <w:rFonts w:asciiTheme="minorHAnsi" w:hAnsiTheme="minorHAnsi" w:cstheme="minorHAnsi"/>
          <w:color w:val="242424"/>
          <w:bdr w:val="none" w:sz="0" w:space="0" w:color="auto" w:frame="1"/>
        </w:rPr>
        <w:t>, 2024</w:t>
      </w:r>
      <w:r w:rsidRPr="008007C2">
        <w:rPr>
          <w:rStyle w:val="xs1"/>
          <w:rFonts w:asciiTheme="minorHAnsi" w:hAnsiTheme="minorHAnsi" w:cstheme="minorHAnsi"/>
          <w:color w:val="242424"/>
          <w:bdr w:val="none" w:sz="0" w:space="0" w:color="auto" w:frame="1"/>
        </w:rPr>
        <w:t xml:space="preserve"> (when CAA anticipates getting the final list) and July 1, 2024. There are 110 CMC on </w:t>
      </w:r>
      <w:proofErr w:type="spellStart"/>
      <w:r w:rsidRPr="008007C2">
        <w:rPr>
          <w:rStyle w:val="xs1"/>
          <w:rFonts w:asciiTheme="minorHAnsi" w:hAnsiTheme="minorHAnsi" w:cstheme="minorHAnsi"/>
          <w:color w:val="242424"/>
          <w:bdr w:val="none" w:sz="0" w:space="0" w:color="auto" w:frame="1"/>
        </w:rPr>
        <w:t>CalRecycle's</w:t>
      </w:r>
      <w:proofErr w:type="spellEnd"/>
      <w:r w:rsidRPr="008007C2">
        <w:rPr>
          <w:rStyle w:val="xs1"/>
          <w:rFonts w:asciiTheme="minorHAnsi" w:hAnsiTheme="minorHAnsi" w:cstheme="minorHAnsi"/>
          <w:color w:val="242424"/>
          <w:bdr w:val="none" w:sz="0" w:space="0" w:color="auto" w:frame="1"/>
        </w:rPr>
        <w:t xml:space="preserve"> second draft list. </w:t>
      </w:r>
    </w:p>
    <w:p w14:paraId="3223D303" w14:textId="38B71F47" w:rsidR="008007C2" w:rsidRPr="00715987" w:rsidRDefault="008007C2" w:rsidP="008007C2">
      <w:pPr>
        <w:pStyle w:val="xli1"/>
        <w:numPr>
          <w:ilvl w:val="0"/>
          <w:numId w:val="1"/>
        </w:numPr>
        <w:shd w:val="clear" w:color="auto" w:fill="FFFFFF"/>
        <w:spacing w:before="0" w:beforeAutospacing="0" w:after="0" w:afterAutospacing="0"/>
        <w:rPr>
          <w:rStyle w:val="xs1"/>
          <w:rFonts w:asciiTheme="minorHAnsi" w:hAnsiTheme="minorHAnsi" w:cstheme="minorHAnsi"/>
          <w:color w:val="242424"/>
        </w:rPr>
      </w:pPr>
      <w:r w:rsidRPr="008007C2">
        <w:rPr>
          <w:rStyle w:val="xs1"/>
          <w:rFonts w:asciiTheme="minorHAnsi" w:hAnsiTheme="minorHAnsi" w:cstheme="minorHAnsi"/>
          <w:color w:val="242424"/>
          <w:bdr w:val="none" w:sz="0" w:space="0" w:color="auto" w:frame="1"/>
        </w:rPr>
        <w:lastRenderedPageBreak/>
        <w:t>Deadline to join PRO is same as PRO app deadline (</w:t>
      </w:r>
      <w:r w:rsidR="0000253B">
        <w:rPr>
          <w:rStyle w:val="xs1"/>
          <w:rFonts w:asciiTheme="minorHAnsi" w:hAnsiTheme="minorHAnsi" w:cstheme="minorHAnsi"/>
          <w:color w:val="242424"/>
          <w:bdr w:val="none" w:sz="0" w:space="0" w:color="auto" w:frame="1"/>
        </w:rPr>
        <w:t>January 1, 2024</w:t>
      </w:r>
      <w:r w:rsidRPr="008007C2">
        <w:rPr>
          <w:rStyle w:val="xs1"/>
          <w:rFonts w:asciiTheme="minorHAnsi" w:hAnsiTheme="minorHAnsi" w:cstheme="minorHAnsi"/>
          <w:color w:val="242424"/>
          <w:bdr w:val="none" w:sz="0" w:space="0" w:color="auto" w:frame="1"/>
        </w:rPr>
        <w:t xml:space="preserve">). CAA has suggested to </w:t>
      </w:r>
      <w:proofErr w:type="spellStart"/>
      <w:r w:rsidRPr="008007C2">
        <w:rPr>
          <w:rStyle w:val="xs1"/>
          <w:rFonts w:asciiTheme="minorHAnsi" w:hAnsiTheme="minorHAnsi" w:cstheme="minorHAnsi"/>
          <w:color w:val="242424"/>
          <w:bdr w:val="none" w:sz="0" w:space="0" w:color="auto" w:frame="1"/>
        </w:rPr>
        <w:t>CalRecycle</w:t>
      </w:r>
      <w:proofErr w:type="spellEnd"/>
      <w:r w:rsidRPr="008007C2">
        <w:rPr>
          <w:rStyle w:val="xs1"/>
          <w:rFonts w:asciiTheme="minorHAnsi" w:hAnsiTheme="minorHAnsi" w:cstheme="minorHAnsi"/>
          <w:color w:val="242424"/>
          <w:bdr w:val="none" w:sz="0" w:space="0" w:color="auto" w:frame="1"/>
        </w:rPr>
        <w:t xml:space="preserve"> </w:t>
      </w:r>
      <w:r w:rsidR="0000253B">
        <w:rPr>
          <w:rStyle w:val="xs1"/>
          <w:rFonts w:asciiTheme="minorHAnsi" w:hAnsiTheme="minorHAnsi" w:cstheme="minorHAnsi"/>
          <w:color w:val="242424"/>
          <w:bdr w:val="none" w:sz="0" w:space="0" w:color="auto" w:frame="1"/>
        </w:rPr>
        <w:t xml:space="preserve">to move the registration deadline to join the PRO to Q3 to account for this contradictory deadline. </w:t>
      </w:r>
      <w:proofErr w:type="spellStart"/>
      <w:r w:rsidRPr="008007C2">
        <w:rPr>
          <w:rStyle w:val="xs1"/>
          <w:rFonts w:asciiTheme="minorHAnsi" w:hAnsiTheme="minorHAnsi" w:cstheme="minorHAnsi"/>
          <w:color w:val="242424"/>
          <w:bdr w:val="none" w:sz="0" w:space="0" w:color="auto" w:frame="1"/>
        </w:rPr>
        <w:t>CalRecycle</w:t>
      </w:r>
      <w:proofErr w:type="spellEnd"/>
      <w:r w:rsidRPr="008007C2">
        <w:rPr>
          <w:rStyle w:val="xs1"/>
          <w:rFonts w:asciiTheme="minorHAnsi" w:hAnsiTheme="minorHAnsi" w:cstheme="minorHAnsi"/>
          <w:color w:val="242424"/>
          <w:bdr w:val="none" w:sz="0" w:space="0" w:color="auto" w:frame="1"/>
        </w:rPr>
        <w:t xml:space="preserve"> came back with July 1, 2024. Producer readiness and reporting, training, webinars, working groups</w:t>
      </w:r>
      <w:r w:rsidR="0000253B">
        <w:rPr>
          <w:rStyle w:val="xs1"/>
          <w:rFonts w:asciiTheme="minorHAnsi" w:hAnsiTheme="minorHAnsi" w:cstheme="minorHAnsi"/>
          <w:color w:val="242424"/>
          <w:bdr w:val="none" w:sz="0" w:space="0" w:color="auto" w:frame="1"/>
        </w:rPr>
        <w:t xml:space="preserve"> like the one CAA held today</w:t>
      </w:r>
      <w:r w:rsidRPr="008007C2">
        <w:rPr>
          <w:rStyle w:val="xs1"/>
          <w:rFonts w:asciiTheme="minorHAnsi" w:hAnsiTheme="minorHAnsi" w:cstheme="minorHAnsi"/>
          <w:color w:val="242424"/>
          <w:bdr w:val="none" w:sz="0" w:space="0" w:color="auto" w:frame="1"/>
        </w:rPr>
        <w:t>, helping producers prepare their IT system</w:t>
      </w:r>
      <w:r w:rsidR="0000253B">
        <w:rPr>
          <w:rStyle w:val="xs1"/>
          <w:rFonts w:asciiTheme="minorHAnsi" w:hAnsiTheme="minorHAnsi" w:cstheme="minorHAnsi"/>
          <w:color w:val="242424"/>
          <w:bdr w:val="none" w:sz="0" w:space="0" w:color="auto" w:frame="1"/>
        </w:rPr>
        <w:t xml:space="preserve">, </w:t>
      </w:r>
      <w:r w:rsidRPr="008007C2">
        <w:rPr>
          <w:rStyle w:val="xs1"/>
          <w:rFonts w:asciiTheme="minorHAnsi" w:hAnsiTheme="minorHAnsi" w:cstheme="minorHAnsi"/>
          <w:color w:val="242424"/>
          <w:bdr w:val="none" w:sz="0" w:space="0" w:color="auto" w:frame="1"/>
        </w:rPr>
        <w:t>for example</w:t>
      </w:r>
      <w:r w:rsidR="0000253B">
        <w:rPr>
          <w:rStyle w:val="xs1"/>
          <w:rFonts w:asciiTheme="minorHAnsi" w:hAnsiTheme="minorHAnsi" w:cstheme="minorHAnsi"/>
          <w:color w:val="242424"/>
          <w:bdr w:val="none" w:sz="0" w:space="0" w:color="auto" w:frame="1"/>
        </w:rPr>
        <w:t>,</w:t>
      </w:r>
      <w:r w:rsidRPr="008007C2">
        <w:rPr>
          <w:rStyle w:val="xs1"/>
          <w:rFonts w:asciiTheme="minorHAnsi" w:hAnsiTheme="minorHAnsi" w:cstheme="minorHAnsi"/>
          <w:color w:val="242424"/>
          <w:bdr w:val="none" w:sz="0" w:space="0" w:color="auto" w:frame="1"/>
        </w:rPr>
        <w:t xml:space="preserve"> will start after </w:t>
      </w:r>
      <w:r w:rsidR="0000253B">
        <w:rPr>
          <w:rStyle w:val="xs1"/>
          <w:rFonts w:asciiTheme="minorHAnsi" w:hAnsiTheme="minorHAnsi" w:cstheme="minorHAnsi"/>
          <w:color w:val="242424"/>
          <w:bdr w:val="none" w:sz="0" w:space="0" w:color="auto" w:frame="1"/>
        </w:rPr>
        <w:t>the PRO registration</w:t>
      </w:r>
      <w:r w:rsidRPr="008007C2">
        <w:rPr>
          <w:rStyle w:val="xs1"/>
          <w:rFonts w:asciiTheme="minorHAnsi" w:hAnsiTheme="minorHAnsi" w:cstheme="minorHAnsi"/>
          <w:color w:val="242424"/>
          <w:bdr w:val="none" w:sz="0" w:space="0" w:color="auto" w:frame="1"/>
        </w:rPr>
        <w:t xml:space="preserve"> deadline of July 1, </w:t>
      </w:r>
      <w:r w:rsidR="0000253B">
        <w:rPr>
          <w:rStyle w:val="xs1"/>
          <w:rFonts w:asciiTheme="minorHAnsi" w:hAnsiTheme="minorHAnsi" w:cstheme="minorHAnsi"/>
          <w:color w:val="242424"/>
          <w:bdr w:val="none" w:sz="0" w:space="0" w:color="auto" w:frame="1"/>
        </w:rPr>
        <w:t>2024.</w:t>
      </w:r>
    </w:p>
    <w:p w14:paraId="28AA2280" w14:textId="02BA13A0" w:rsidR="00715987" w:rsidRPr="00715987" w:rsidRDefault="00715987" w:rsidP="008007C2">
      <w:pPr>
        <w:pStyle w:val="xli1"/>
        <w:numPr>
          <w:ilvl w:val="0"/>
          <w:numId w:val="1"/>
        </w:numPr>
        <w:shd w:val="clear" w:color="auto" w:fill="FFFFFF"/>
        <w:spacing w:before="0" w:beforeAutospacing="0" w:after="0" w:afterAutospacing="0"/>
        <w:rPr>
          <w:rStyle w:val="xs1"/>
          <w:rFonts w:asciiTheme="minorHAnsi" w:hAnsiTheme="minorHAnsi" w:cstheme="minorHAnsi"/>
          <w:color w:val="242424"/>
        </w:rPr>
      </w:pPr>
      <w:r>
        <w:rPr>
          <w:rStyle w:val="xs1"/>
          <w:rFonts w:asciiTheme="minorHAnsi" w:hAnsiTheme="minorHAnsi" w:cstheme="minorHAnsi"/>
          <w:color w:val="242424"/>
          <w:bdr w:val="none" w:sz="0" w:space="0" w:color="auto" w:frame="1"/>
        </w:rPr>
        <w:t xml:space="preserve">Q: Has CAA had informal conversations with </w:t>
      </w:r>
      <w:proofErr w:type="spellStart"/>
      <w:r>
        <w:rPr>
          <w:rStyle w:val="xs1"/>
          <w:rFonts w:asciiTheme="minorHAnsi" w:hAnsiTheme="minorHAnsi" w:cstheme="minorHAnsi"/>
          <w:color w:val="242424"/>
          <w:bdr w:val="none" w:sz="0" w:space="0" w:color="auto" w:frame="1"/>
        </w:rPr>
        <w:t>CalRecycle</w:t>
      </w:r>
      <w:proofErr w:type="spellEnd"/>
      <w:r>
        <w:rPr>
          <w:rStyle w:val="xs1"/>
          <w:rFonts w:asciiTheme="minorHAnsi" w:hAnsiTheme="minorHAnsi" w:cstheme="minorHAnsi"/>
          <w:color w:val="242424"/>
          <w:bdr w:val="none" w:sz="0" w:space="0" w:color="auto" w:frame="1"/>
        </w:rPr>
        <w:t xml:space="preserve"> regarding CAA’s revised timeline as a way to make the SB 54 requirements and deadlines work and is </w:t>
      </w:r>
      <w:proofErr w:type="spellStart"/>
      <w:r>
        <w:rPr>
          <w:rStyle w:val="xs1"/>
          <w:rFonts w:asciiTheme="minorHAnsi" w:hAnsiTheme="minorHAnsi" w:cstheme="minorHAnsi"/>
          <w:color w:val="242424"/>
          <w:bdr w:val="none" w:sz="0" w:space="0" w:color="auto" w:frame="1"/>
        </w:rPr>
        <w:t>CalRecycle</w:t>
      </w:r>
      <w:proofErr w:type="spellEnd"/>
      <w:r>
        <w:rPr>
          <w:rStyle w:val="xs1"/>
          <w:rFonts w:asciiTheme="minorHAnsi" w:hAnsiTheme="minorHAnsi" w:cstheme="minorHAnsi"/>
          <w:color w:val="242424"/>
          <w:bdr w:val="none" w:sz="0" w:space="0" w:color="auto" w:frame="1"/>
        </w:rPr>
        <w:t xml:space="preserve"> amenable to these changes?</w:t>
      </w:r>
      <w:r>
        <w:rPr>
          <w:rStyle w:val="xs1"/>
          <w:rFonts w:asciiTheme="minorHAnsi" w:hAnsiTheme="minorHAnsi" w:cstheme="minorHAnsi"/>
          <w:color w:val="242424"/>
          <w:bdr w:val="none" w:sz="0" w:space="0" w:color="auto" w:frame="1"/>
        </w:rPr>
        <w:br/>
        <w:t xml:space="preserve">A: Yes, CAA has </w:t>
      </w:r>
      <w:proofErr w:type="gramStart"/>
      <w:r>
        <w:rPr>
          <w:rStyle w:val="xs1"/>
          <w:rFonts w:asciiTheme="minorHAnsi" w:hAnsiTheme="minorHAnsi" w:cstheme="minorHAnsi"/>
          <w:color w:val="242424"/>
          <w:bdr w:val="none" w:sz="0" w:space="0" w:color="auto" w:frame="1"/>
        </w:rPr>
        <w:t>included  timeline</w:t>
      </w:r>
      <w:proofErr w:type="gramEnd"/>
      <w:r>
        <w:rPr>
          <w:rStyle w:val="xs1"/>
          <w:rFonts w:asciiTheme="minorHAnsi" w:hAnsiTheme="minorHAnsi" w:cstheme="minorHAnsi"/>
          <w:color w:val="242424"/>
          <w:bdr w:val="none" w:sz="0" w:space="0" w:color="auto" w:frame="1"/>
        </w:rPr>
        <w:t xml:space="preserve"> considerations in CAA’s comments to </w:t>
      </w:r>
      <w:proofErr w:type="spellStart"/>
      <w:r>
        <w:rPr>
          <w:rStyle w:val="xs1"/>
          <w:rFonts w:asciiTheme="minorHAnsi" w:hAnsiTheme="minorHAnsi" w:cstheme="minorHAnsi"/>
          <w:color w:val="242424"/>
          <w:bdr w:val="none" w:sz="0" w:space="0" w:color="auto" w:frame="1"/>
        </w:rPr>
        <w:t>CalRecycle</w:t>
      </w:r>
      <w:proofErr w:type="spellEnd"/>
      <w:r>
        <w:rPr>
          <w:rStyle w:val="xs1"/>
          <w:rFonts w:asciiTheme="minorHAnsi" w:hAnsiTheme="minorHAnsi" w:cstheme="minorHAnsi"/>
          <w:color w:val="242424"/>
          <w:bdr w:val="none" w:sz="0" w:space="0" w:color="auto" w:frame="1"/>
        </w:rPr>
        <w:t xml:space="preserve"> through CAA’s submissions.</w:t>
      </w:r>
    </w:p>
    <w:p w14:paraId="457CA57B" w14:textId="2655E3A3" w:rsidR="008007C2" w:rsidRPr="00715987" w:rsidRDefault="00715987" w:rsidP="00715987">
      <w:pPr>
        <w:pStyle w:val="xli1"/>
        <w:numPr>
          <w:ilvl w:val="0"/>
          <w:numId w:val="1"/>
        </w:numPr>
        <w:shd w:val="clear" w:color="auto" w:fill="FFFFFF"/>
        <w:spacing w:before="0" w:beforeAutospacing="0" w:after="0" w:afterAutospacing="0"/>
        <w:rPr>
          <w:rStyle w:val="xs1"/>
          <w:rFonts w:asciiTheme="minorHAnsi" w:hAnsiTheme="minorHAnsi" w:cstheme="minorHAnsi"/>
          <w:color w:val="242424"/>
        </w:rPr>
      </w:pPr>
      <w:r>
        <w:rPr>
          <w:rStyle w:val="xs1"/>
          <w:rFonts w:asciiTheme="minorHAnsi" w:hAnsiTheme="minorHAnsi" w:cstheme="minorHAnsi"/>
          <w:color w:val="242424"/>
          <w:bdr w:val="none" w:sz="0" w:space="0" w:color="auto" w:frame="1"/>
        </w:rPr>
        <w:t xml:space="preserve">Q: If a portal is established to input packaging data, will there be additional information shared with producers regarding data integrity, </w:t>
      </w:r>
      <w:proofErr w:type="gramStart"/>
      <w:r>
        <w:rPr>
          <w:rStyle w:val="xs1"/>
          <w:rFonts w:asciiTheme="minorHAnsi" w:hAnsiTheme="minorHAnsi" w:cstheme="minorHAnsi"/>
          <w:color w:val="242424"/>
          <w:bdr w:val="none" w:sz="0" w:space="0" w:color="auto" w:frame="1"/>
        </w:rPr>
        <w:t>confidentiality</w:t>
      </w:r>
      <w:proofErr w:type="gramEnd"/>
      <w:r>
        <w:rPr>
          <w:rStyle w:val="xs1"/>
          <w:rFonts w:asciiTheme="minorHAnsi" w:hAnsiTheme="minorHAnsi" w:cstheme="minorHAnsi"/>
          <w:color w:val="242424"/>
          <w:bdr w:val="none" w:sz="0" w:space="0" w:color="auto" w:frame="1"/>
        </w:rPr>
        <w:t xml:space="preserve"> and security?</w:t>
      </w:r>
      <w:r>
        <w:rPr>
          <w:rStyle w:val="xs1"/>
          <w:rFonts w:asciiTheme="minorHAnsi" w:hAnsiTheme="minorHAnsi" w:cstheme="minorHAnsi"/>
          <w:color w:val="242424"/>
          <w:bdr w:val="none" w:sz="0" w:space="0" w:color="auto" w:frame="1"/>
        </w:rPr>
        <w:br/>
        <w:t>A: Yes, CAA will develop reporting guidance materials and look to have regular meetings to support producers.</w:t>
      </w:r>
    </w:p>
    <w:p w14:paraId="7B0BC404" w14:textId="7A9E9FE2" w:rsidR="008007C2" w:rsidRDefault="00715987" w:rsidP="00715987">
      <w:pPr>
        <w:pStyle w:val="xli1"/>
        <w:numPr>
          <w:ilvl w:val="0"/>
          <w:numId w:val="1"/>
        </w:numPr>
        <w:shd w:val="clear" w:color="auto" w:fill="FFFFFF"/>
        <w:spacing w:before="0" w:beforeAutospacing="0" w:after="0" w:afterAutospacing="0"/>
        <w:rPr>
          <w:rFonts w:asciiTheme="minorHAnsi" w:hAnsiTheme="minorHAnsi" w:cstheme="minorHAnsi"/>
          <w:color w:val="242424"/>
        </w:rPr>
      </w:pPr>
      <w:r>
        <w:rPr>
          <w:rStyle w:val="xs1"/>
          <w:rFonts w:asciiTheme="minorHAnsi" w:hAnsiTheme="minorHAnsi" w:cstheme="minorHAnsi"/>
          <w:color w:val="242424"/>
          <w:bdr w:val="none" w:sz="0" w:space="0" w:color="auto" w:frame="1"/>
        </w:rPr>
        <w:t xml:space="preserve">Q: When does CAA estimate </w:t>
      </w:r>
      <w:proofErr w:type="spellStart"/>
      <w:r>
        <w:rPr>
          <w:rStyle w:val="xs1"/>
          <w:rFonts w:asciiTheme="minorHAnsi" w:hAnsiTheme="minorHAnsi" w:cstheme="minorHAnsi"/>
          <w:color w:val="242424"/>
          <w:bdr w:val="none" w:sz="0" w:space="0" w:color="auto" w:frame="1"/>
        </w:rPr>
        <w:t>CalRecycle</w:t>
      </w:r>
      <w:proofErr w:type="spellEnd"/>
      <w:r>
        <w:rPr>
          <w:rStyle w:val="xs1"/>
          <w:rFonts w:asciiTheme="minorHAnsi" w:hAnsiTheme="minorHAnsi" w:cstheme="minorHAnsi"/>
          <w:color w:val="242424"/>
          <w:bdr w:val="none" w:sz="0" w:space="0" w:color="auto" w:frame="1"/>
        </w:rPr>
        <w:t xml:space="preserve"> will decide who the PRO will be?</w:t>
      </w:r>
      <w:r>
        <w:rPr>
          <w:rStyle w:val="xs1"/>
          <w:rFonts w:asciiTheme="minorHAnsi" w:hAnsiTheme="minorHAnsi" w:cstheme="minorHAnsi"/>
          <w:color w:val="242424"/>
          <w:bdr w:val="none" w:sz="0" w:space="0" w:color="auto" w:frame="1"/>
        </w:rPr>
        <w:br/>
      </w:r>
      <w:r>
        <w:rPr>
          <w:rFonts w:asciiTheme="minorHAnsi" w:hAnsiTheme="minorHAnsi" w:cstheme="minorHAnsi"/>
          <w:color w:val="242424"/>
        </w:rPr>
        <w:t>A: CAA expects next year during Q1. The deadline for PRO applications is January 1, 2024.</w:t>
      </w:r>
      <w:r w:rsidR="00222535">
        <w:rPr>
          <w:rFonts w:asciiTheme="minorHAnsi" w:hAnsiTheme="minorHAnsi" w:cstheme="minorHAnsi"/>
          <w:color w:val="242424"/>
        </w:rPr>
        <w:t xml:space="preserve"> There is not a specific date for PRO approval in SB 54, but given the application deadline, CAA expects a decision on the PRO in the January/February time frame. </w:t>
      </w:r>
    </w:p>
    <w:p w14:paraId="62EFADF7" w14:textId="04745FC8" w:rsidR="00715987" w:rsidRDefault="00715987" w:rsidP="00715987">
      <w:pPr>
        <w:pStyle w:val="xli1"/>
        <w:numPr>
          <w:ilvl w:val="0"/>
          <w:numId w:val="1"/>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 xml:space="preserve">Q: Do EPR regulations cover just consumer/residential products or are commercial products included? </w:t>
      </w:r>
    </w:p>
    <w:p w14:paraId="1A03785F" w14:textId="22A8F78E" w:rsidR="00715987" w:rsidRDefault="00715987"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 xml:space="preserve">A: California and Oregon include commercial material (both B2C and B2B) while Colorado and Maine primarily focus on residential (which some B2C </w:t>
      </w:r>
      <w:r w:rsidR="00CF0C71">
        <w:rPr>
          <w:rFonts w:asciiTheme="minorHAnsi" w:hAnsiTheme="minorHAnsi" w:cstheme="minorHAnsi"/>
          <w:color w:val="242424"/>
        </w:rPr>
        <w:t xml:space="preserve">is </w:t>
      </w:r>
      <w:r>
        <w:rPr>
          <w:rFonts w:asciiTheme="minorHAnsi" w:hAnsiTheme="minorHAnsi" w:cstheme="minorHAnsi"/>
          <w:color w:val="242424"/>
        </w:rPr>
        <w:t xml:space="preserve">included </w:t>
      </w:r>
      <w:r w:rsidR="00CF0C71">
        <w:rPr>
          <w:rFonts w:asciiTheme="minorHAnsi" w:hAnsiTheme="minorHAnsi" w:cstheme="minorHAnsi"/>
          <w:color w:val="242424"/>
        </w:rPr>
        <w:t>in certain instances).</w:t>
      </w:r>
    </w:p>
    <w:p w14:paraId="4309CED1" w14:textId="0F52E0B9" w:rsidR="00CF0C71" w:rsidRDefault="00CF0C71" w:rsidP="00715987">
      <w:pPr>
        <w:pStyle w:val="xli1"/>
        <w:numPr>
          <w:ilvl w:val="0"/>
          <w:numId w:val="1"/>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Q: If a company has multiple subsidiary companies with their annual revenue qualifying for the exemption, is the parent company considered an obligated producer, or is each individual subsidiary considered an exempted producer?</w:t>
      </w:r>
    </w:p>
    <w:p w14:paraId="4F954FA7" w14:textId="18E03DDF" w:rsidR="00CF0C71" w:rsidRDefault="00CF0C71"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 xml:space="preserve">A: This question has many </w:t>
      </w:r>
      <w:proofErr w:type="gramStart"/>
      <w:r>
        <w:rPr>
          <w:rFonts w:asciiTheme="minorHAnsi" w:hAnsiTheme="minorHAnsi" w:cstheme="minorHAnsi"/>
          <w:color w:val="242424"/>
        </w:rPr>
        <w:t>level</w:t>
      </w:r>
      <w:proofErr w:type="gramEnd"/>
      <w:r>
        <w:rPr>
          <w:rFonts w:asciiTheme="minorHAnsi" w:hAnsiTheme="minorHAnsi" w:cstheme="minorHAnsi"/>
          <w:color w:val="242424"/>
        </w:rPr>
        <w:t>, here are some of the potential ways it can play out. As always, it is largely dependent on the laws, rules, regulations of the jurisdiction.</w:t>
      </w:r>
    </w:p>
    <w:p w14:paraId="7A9DE50E" w14:textId="72DE7AE8" w:rsidR="00CF0C71" w:rsidRDefault="00CF0C71" w:rsidP="00CF0C71">
      <w:pPr>
        <w:pStyle w:val="xli1"/>
        <w:numPr>
          <w:ilvl w:val="2"/>
          <w:numId w:val="1"/>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 xml:space="preserve">Company A has several franchises each set up as their own </w:t>
      </w:r>
      <w:proofErr w:type="gramStart"/>
      <w:r>
        <w:rPr>
          <w:rFonts w:asciiTheme="minorHAnsi" w:hAnsiTheme="minorHAnsi" w:cstheme="minorHAnsi"/>
          <w:color w:val="242424"/>
        </w:rPr>
        <w:t>companies, but</w:t>
      </w:r>
      <w:proofErr w:type="gramEnd"/>
      <w:r>
        <w:rPr>
          <w:rFonts w:asciiTheme="minorHAnsi" w:hAnsiTheme="minorHAnsi" w:cstheme="minorHAnsi"/>
          <w:color w:val="242424"/>
        </w:rPr>
        <w:t xml:space="preserve"> operating under one brand – typically obligated at the Company A level.</w:t>
      </w:r>
    </w:p>
    <w:p w14:paraId="08F568F0" w14:textId="4B7477B7" w:rsidR="00CF0C71" w:rsidRDefault="00CF0C71" w:rsidP="00CF0C71">
      <w:pPr>
        <w:pStyle w:val="xli1"/>
        <w:numPr>
          <w:ilvl w:val="2"/>
          <w:numId w:val="1"/>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Company A has a house of brands each which is set up as a separate company. Typically, Company A is obligated. Note: residency is often relevant in this situation.</w:t>
      </w:r>
    </w:p>
    <w:p w14:paraId="671B5949" w14:textId="7B64C513" w:rsidR="00CF0C71" w:rsidRDefault="00CF0C71"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 xml:space="preserve">There are many other relevant factors to determining this. CAA will be able to provide more clarity for each state as the definition of producer becomes </w:t>
      </w:r>
      <w:proofErr w:type="gramStart"/>
      <w:r>
        <w:rPr>
          <w:rFonts w:asciiTheme="minorHAnsi" w:hAnsiTheme="minorHAnsi" w:cstheme="minorHAnsi"/>
          <w:color w:val="242424"/>
        </w:rPr>
        <w:t>more clear</w:t>
      </w:r>
      <w:proofErr w:type="gramEnd"/>
      <w:r>
        <w:rPr>
          <w:rFonts w:asciiTheme="minorHAnsi" w:hAnsiTheme="minorHAnsi" w:cstheme="minorHAnsi"/>
          <w:color w:val="242424"/>
        </w:rPr>
        <w:t>.</w:t>
      </w:r>
    </w:p>
    <w:p w14:paraId="0E644ADE" w14:textId="6399E017" w:rsidR="00CF0C71" w:rsidRDefault="00CF0C71" w:rsidP="00CF0C71">
      <w:pPr>
        <w:pStyle w:val="xli1"/>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Q: Will CAA help producers understand eco-modulation?</w:t>
      </w:r>
    </w:p>
    <w:p w14:paraId="6F9F56A3" w14:textId="4ECB9816" w:rsidR="00CF0C71" w:rsidRDefault="00CF0C71"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A: Yes, CAA will help producers understand eco-modulation across states and continue to seek clarification through rulemaking processes.</w:t>
      </w:r>
    </w:p>
    <w:p w14:paraId="6A2D4AF6" w14:textId="1A6C6A39" w:rsidR="00CF0C71" w:rsidRDefault="00CF0C71" w:rsidP="00CF0C71">
      <w:pPr>
        <w:pStyle w:val="xli1"/>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Q: Just to clarify, source reductions in CA are aggregated up to the PRO – and not Producer specific? Understood the PRO may suggest producers to reduce. It was our impression that if a Producer does not hit source reductions in the future, they could no longer sell in the state.</w:t>
      </w:r>
    </w:p>
    <w:p w14:paraId="7A9CA302" w14:textId="5762ED1F" w:rsidR="00CF0C71" w:rsidRDefault="00CF0C71"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lastRenderedPageBreak/>
        <w:t xml:space="preserve">A: Correct, the source reduction requirement is on </w:t>
      </w:r>
      <w:proofErr w:type="gramStart"/>
      <w:r>
        <w:rPr>
          <w:rFonts w:asciiTheme="minorHAnsi" w:hAnsiTheme="minorHAnsi" w:cstheme="minorHAnsi"/>
          <w:color w:val="242424"/>
        </w:rPr>
        <w:t>producers as a whole</w:t>
      </w:r>
      <w:proofErr w:type="gramEnd"/>
      <w:r>
        <w:rPr>
          <w:rFonts w:asciiTheme="minorHAnsi" w:hAnsiTheme="minorHAnsi" w:cstheme="minorHAnsi"/>
          <w:color w:val="242424"/>
        </w:rPr>
        <w:t xml:space="preserve"> (collectively, Producers must meet the requirements). Individually, Producers will have to ensure that their single-use packaging and plastic </w:t>
      </w:r>
      <w:r w:rsidR="00D90CA4">
        <w:rPr>
          <w:rFonts w:asciiTheme="minorHAnsi" w:hAnsiTheme="minorHAnsi" w:cstheme="minorHAnsi"/>
          <w:color w:val="242424"/>
        </w:rPr>
        <w:t>food ware</w:t>
      </w:r>
      <w:r>
        <w:rPr>
          <w:rFonts w:asciiTheme="minorHAnsi" w:hAnsiTheme="minorHAnsi" w:cstheme="minorHAnsi"/>
          <w:color w:val="242424"/>
        </w:rPr>
        <w:t xml:space="preserve"> is 100% recyclable or compostable by 2032.</w:t>
      </w:r>
    </w:p>
    <w:p w14:paraId="644706B9" w14:textId="1C351394" w:rsidR="00CF0C71" w:rsidRDefault="00CF0C71" w:rsidP="00CF0C71">
      <w:pPr>
        <w:pStyle w:val="xli1"/>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Q: Will fees be at a different rate for different types of covered material- metal, plastic, fiber?</w:t>
      </w:r>
    </w:p>
    <w:p w14:paraId="27A0EFC3" w14:textId="1B99A59E" w:rsidR="00CF0C71" w:rsidRDefault="00CF0C71" w:rsidP="00CF0C71">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A: Yes, fees are assigned to packaging based on material type. There is variation in fees based on recyclability</w:t>
      </w:r>
      <w:r w:rsidR="00222535">
        <w:rPr>
          <w:rFonts w:asciiTheme="minorHAnsi" w:hAnsiTheme="minorHAnsi" w:cstheme="minorHAnsi"/>
          <w:color w:val="242424"/>
        </w:rPr>
        <w:t xml:space="preserve"> of those materials as well as other factors. CAA will not be getting into fee setting in detail during today’s workshop as that will be a focus at CAA’s next PWG meeting in January.</w:t>
      </w:r>
    </w:p>
    <w:p w14:paraId="72B2AC3B" w14:textId="7F6F1056" w:rsidR="00222535" w:rsidRDefault="00222535" w:rsidP="00222535">
      <w:pPr>
        <w:pStyle w:val="xli1"/>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 xml:space="preserve">Q: How can I apply to join the PRO? </w:t>
      </w:r>
    </w:p>
    <w:p w14:paraId="65DEA440" w14:textId="2AAEB249" w:rsidR="00222535" w:rsidRPr="00715987" w:rsidRDefault="00222535" w:rsidP="00D90CA4">
      <w:pPr>
        <w:pStyle w:val="xli1"/>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 xml:space="preserve">A: CAA is not yet formally registering Producers. A timeline was provided in today’s presentation, which will be sent out to everyone soon. At this time, CAA is looking for support from companies that want to see CAA approved as the PRO. </w:t>
      </w:r>
    </w:p>
    <w:sectPr w:rsidR="00222535" w:rsidRPr="0071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F34"/>
    <w:multiLevelType w:val="multilevel"/>
    <w:tmpl w:val="B13867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74FB2"/>
    <w:multiLevelType w:val="hybridMultilevel"/>
    <w:tmpl w:val="83D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85934"/>
    <w:multiLevelType w:val="hybridMultilevel"/>
    <w:tmpl w:val="C5BC6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3190836">
    <w:abstractNumId w:val="0"/>
  </w:num>
  <w:num w:numId="2" w16cid:durableId="474416707">
    <w:abstractNumId w:val="2"/>
  </w:num>
  <w:num w:numId="3" w16cid:durableId="104833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C2"/>
    <w:rsid w:val="0000253B"/>
    <w:rsid w:val="00222535"/>
    <w:rsid w:val="00715987"/>
    <w:rsid w:val="008007C2"/>
    <w:rsid w:val="00CF0C71"/>
    <w:rsid w:val="00D90CA4"/>
    <w:rsid w:val="00F4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C9DF7"/>
  <w15:chartTrackingRefBased/>
  <w15:docId w15:val="{8685F736-1D31-AC41-B823-DB171D44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1">
    <w:name w:val="x_li1"/>
    <w:basedOn w:val="Normal"/>
    <w:rsid w:val="008007C2"/>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8007C2"/>
  </w:style>
  <w:style w:type="character" w:styleId="Hyperlink">
    <w:name w:val="Hyperlink"/>
    <w:basedOn w:val="DefaultParagraphFont"/>
    <w:uiPriority w:val="99"/>
    <w:unhideWhenUsed/>
    <w:rsid w:val="00715987"/>
    <w:rPr>
      <w:color w:val="0563C1" w:themeColor="hyperlink"/>
      <w:u w:val="single"/>
    </w:rPr>
  </w:style>
  <w:style w:type="character" w:styleId="UnresolvedMention">
    <w:name w:val="Unresolved Mention"/>
    <w:basedOn w:val="DefaultParagraphFont"/>
    <w:uiPriority w:val="99"/>
    <w:semiHidden/>
    <w:unhideWhenUsed/>
    <w:rsid w:val="0071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rcularactionalliance.org/events-feed/producer-working-group-22kef-pdmx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3</cp:revision>
  <dcterms:created xsi:type="dcterms:W3CDTF">2023-12-05T19:00:00Z</dcterms:created>
  <dcterms:modified xsi:type="dcterms:W3CDTF">2023-12-05T19:37:00Z</dcterms:modified>
</cp:coreProperties>
</file>