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42D1F" w14:textId="77777777" w:rsidR="00B60EAB" w:rsidRPr="00B60EAB" w:rsidRDefault="00B60EAB" w:rsidP="00B60EAB">
      <w:pPr>
        <w:rPr>
          <w:b/>
          <w:bCs/>
        </w:rPr>
      </w:pPr>
      <w:r w:rsidRPr="00B60EAB">
        <w:rPr>
          <w:b/>
          <w:bCs/>
        </w:rPr>
        <w:t>SB 54 CEQA Public Scoping Meeting Recap</w:t>
      </w:r>
    </w:p>
    <w:p w14:paraId="78C3DFD1" w14:textId="77777777" w:rsidR="00B60EAB" w:rsidRPr="00B60EAB" w:rsidRDefault="00B60EAB" w:rsidP="00B60EAB"/>
    <w:p w14:paraId="0D6E41CD" w14:textId="77777777" w:rsidR="00B60EAB" w:rsidRPr="00B60EAB" w:rsidRDefault="00B60EAB" w:rsidP="00B60EAB">
      <w:r w:rsidRPr="00B60EAB">
        <w:t xml:space="preserve">As a discretionary action by a State Agency, decisions of the rulemaking process are subject to CEQA. The CRA team will share out the recording of the meeting once it is posted on </w:t>
      </w:r>
      <w:proofErr w:type="spellStart"/>
      <w:r w:rsidRPr="00B60EAB">
        <w:t>CalRecycle’s</w:t>
      </w:r>
      <w:proofErr w:type="spellEnd"/>
      <w:r w:rsidRPr="00B60EAB">
        <w:t xml:space="preserve"> website. The Q&amp;A portion was not recorded.</w:t>
      </w:r>
    </w:p>
    <w:p w14:paraId="59DF061A" w14:textId="77777777" w:rsidR="00B60EAB" w:rsidRPr="00B60EAB" w:rsidRDefault="00B60EAB" w:rsidP="00B60EAB"/>
    <w:p w14:paraId="5BF9E8DD" w14:textId="77777777" w:rsidR="00B60EAB" w:rsidRPr="00B60EAB" w:rsidRDefault="00B60EAB" w:rsidP="00B60EAB">
      <w:r w:rsidRPr="00B60EAB">
        <w:t>I. Overview of SB 54 and Implementing Regulations</w:t>
      </w:r>
    </w:p>
    <w:p w14:paraId="1D6742D3" w14:textId="77777777" w:rsidR="00B60EAB" w:rsidRPr="00B60EAB" w:rsidRDefault="00B60EAB" w:rsidP="00B60EAB"/>
    <w:p w14:paraId="1D7B58A5" w14:textId="77777777" w:rsidR="00B60EAB" w:rsidRPr="00B60EAB" w:rsidRDefault="00B60EAB" w:rsidP="00B60EAB">
      <w:r w:rsidRPr="00B60EAB">
        <w:t>- Recycling rates for plastic covered materials:</w:t>
      </w:r>
    </w:p>
    <w:p w14:paraId="20046A11" w14:textId="77777777" w:rsidR="00B60EAB" w:rsidRPr="00B60EAB" w:rsidRDefault="00B60EAB" w:rsidP="00B60EAB">
      <w:r w:rsidRPr="00B60EAB">
        <w:t>30% by 2028</w:t>
      </w:r>
    </w:p>
    <w:p w14:paraId="6465C386" w14:textId="77777777" w:rsidR="00B60EAB" w:rsidRPr="00B60EAB" w:rsidRDefault="00B60EAB" w:rsidP="00B60EAB">
      <w:r w:rsidRPr="00B60EAB">
        <w:t>40% by 2030</w:t>
      </w:r>
    </w:p>
    <w:p w14:paraId="2F0AD21C" w14:textId="77777777" w:rsidR="00B60EAB" w:rsidRPr="00B60EAB" w:rsidRDefault="00B60EAB" w:rsidP="00B60EAB">
      <w:r w:rsidRPr="00B60EAB">
        <w:t>65% by 2032</w:t>
      </w:r>
    </w:p>
    <w:p w14:paraId="4D2B3B43" w14:textId="77777777" w:rsidR="00B60EAB" w:rsidRPr="00B60EAB" w:rsidRDefault="00B60EAB" w:rsidP="00B60EAB"/>
    <w:p w14:paraId="0E8D50EF" w14:textId="77777777" w:rsidR="00B60EAB" w:rsidRPr="00B60EAB" w:rsidRDefault="00B60EAB" w:rsidP="00B60EAB">
      <w:r w:rsidRPr="00B60EAB">
        <w:t>- Source reduction of plastic covered material:</w:t>
      </w:r>
    </w:p>
    <w:p w14:paraId="5E66A143" w14:textId="77777777" w:rsidR="00B60EAB" w:rsidRPr="00B60EAB" w:rsidRDefault="00B60EAB" w:rsidP="00B60EAB">
      <w:r w:rsidRPr="00B60EAB">
        <w:t>10% by 2027</w:t>
      </w:r>
    </w:p>
    <w:p w14:paraId="22456946" w14:textId="77777777" w:rsidR="00B60EAB" w:rsidRPr="00B60EAB" w:rsidRDefault="00B60EAB" w:rsidP="00B60EAB">
      <w:r w:rsidRPr="00B60EAB">
        <w:t>20% by 2030</w:t>
      </w:r>
    </w:p>
    <w:p w14:paraId="5BE4656A" w14:textId="77777777" w:rsidR="00B60EAB" w:rsidRPr="00B60EAB" w:rsidRDefault="00B60EAB" w:rsidP="00B60EAB">
      <w:r w:rsidRPr="00B60EAB">
        <w:t>25% by 2032</w:t>
      </w:r>
    </w:p>
    <w:p w14:paraId="64137C2E" w14:textId="77777777" w:rsidR="00B60EAB" w:rsidRPr="00B60EAB" w:rsidRDefault="00B60EAB" w:rsidP="00B60EAB"/>
    <w:p w14:paraId="5A8FE765" w14:textId="77777777" w:rsidR="00B60EAB" w:rsidRPr="00B60EAB" w:rsidRDefault="00B60EAB" w:rsidP="00B60EAB">
      <w:r w:rsidRPr="00B60EAB">
        <w:t>- Recycling rates for expanded EPS</w:t>
      </w:r>
    </w:p>
    <w:p w14:paraId="5DAD031A" w14:textId="77777777" w:rsidR="00B60EAB" w:rsidRPr="00B60EAB" w:rsidRDefault="00B60EAB" w:rsidP="00B60EAB">
      <w:r w:rsidRPr="00B60EAB">
        <w:t>25% by 2025</w:t>
      </w:r>
    </w:p>
    <w:p w14:paraId="515CEE7C" w14:textId="77777777" w:rsidR="00B60EAB" w:rsidRPr="00B60EAB" w:rsidRDefault="00B60EAB" w:rsidP="00B60EAB">
      <w:r w:rsidRPr="00B60EAB">
        <w:t>30% by 2028</w:t>
      </w:r>
    </w:p>
    <w:p w14:paraId="7535F66B" w14:textId="77777777" w:rsidR="00B60EAB" w:rsidRPr="00B60EAB" w:rsidRDefault="00B60EAB" w:rsidP="00B60EAB">
      <w:r w:rsidRPr="00B60EAB">
        <w:t>50% by 2030</w:t>
      </w:r>
    </w:p>
    <w:p w14:paraId="323B4BE0" w14:textId="77777777" w:rsidR="00B60EAB" w:rsidRPr="00B60EAB" w:rsidRDefault="00B60EAB" w:rsidP="00B60EAB">
      <w:r w:rsidRPr="00B60EAB">
        <w:t>65% by 2032</w:t>
      </w:r>
    </w:p>
    <w:p w14:paraId="27DAA485" w14:textId="77777777" w:rsidR="00B60EAB" w:rsidRPr="00B60EAB" w:rsidRDefault="00B60EAB" w:rsidP="00B60EAB"/>
    <w:p w14:paraId="09E65B7C" w14:textId="77777777" w:rsidR="00B60EAB" w:rsidRPr="00B60EAB" w:rsidRDefault="00B60EAB" w:rsidP="00B60EAB">
      <w:r w:rsidRPr="00B60EAB">
        <w:t>II. CEQA Process, Environmental Findings and Schedule</w:t>
      </w:r>
    </w:p>
    <w:p w14:paraId="65505D5D" w14:textId="77777777" w:rsidR="00B60EAB" w:rsidRPr="00B60EAB" w:rsidRDefault="00B60EAB" w:rsidP="00B60EAB">
      <w:r w:rsidRPr="00B60EAB">
        <w:t xml:space="preserve">- PEIR uses list approach. No environmental issues considered significant when looked at in its entirety. </w:t>
      </w:r>
    </w:p>
    <w:p w14:paraId="571AB743" w14:textId="77777777" w:rsidR="00B60EAB" w:rsidRPr="00B60EAB" w:rsidRDefault="00B60EAB" w:rsidP="00B60EAB">
      <w:r w:rsidRPr="00B60EAB">
        <w:t>- Covered material containing mostly paper will not be plastic material so not object to source reduction or recycling rate requirements</w:t>
      </w:r>
    </w:p>
    <w:p w14:paraId="36F5768F" w14:textId="77777777" w:rsidR="00B60EAB" w:rsidRPr="00B60EAB" w:rsidRDefault="00B60EAB" w:rsidP="00B60EAB">
      <w:r w:rsidRPr="00B60EAB">
        <w:t>- SB 54 is not considered an environmentally superior program, but the benefits of the program outweigh that.</w:t>
      </w:r>
    </w:p>
    <w:p w14:paraId="01D2110A" w14:textId="77777777" w:rsidR="00B60EAB" w:rsidRPr="00B60EAB" w:rsidRDefault="00B60EAB" w:rsidP="00B60EAB">
      <w:r w:rsidRPr="00B60EAB">
        <w:t xml:space="preserve">- NOP Scoping Period ended in August to provide potential environmental impacts I clouded in draft PEIR for review and comment. The second comment period we are in now allows the public to weigh in on the analysis. </w:t>
      </w:r>
      <w:proofErr w:type="spellStart"/>
      <w:r w:rsidRPr="00B60EAB">
        <w:t>CalRecycle</w:t>
      </w:r>
      <w:proofErr w:type="spellEnd"/>
      <w:r w:rsidRPr="00B60EAB">
        <w:t xml:space="preserve"> will respond to each comment and then prepare a final PEIR.</w:t>
      </w:r>
    </w:p>
    <w:p w14:paraId="72E44BE0" w14:textId="77777777" w:rsidR="00B60EAB" w:rsidRPr="00B60EAB" w:rsidRDefault="00B60EAB" w:rsidP="00B60EAB"/>
    <w:p w14:paraId="3B3FC6C4" w14:textId="77777777" w:rsidR="00B60EAB" w:rsidRPr="00B60EAB" w:rsidRDefault="00B60EAB" w:rsidP="00B60EAB">
      <w:r w:rsidRPr="00B60EAB">
        <w:t>III. Q&amp;A</w:t>
      </w:r>
    </w:p>
    <w:p w14:paraId="18B91776" w14:textId="77777777" w:rsidR="00B60EAB" w:rsidRPr="00B60EAB" w:rsidRDefault="00B60EAB" w:rsidP="00B60EAB">
      <w:r w:rsidRPr="00B60EAB">
        <w:t>Q. Question about infrastructure development for SB 54 implementation and those facilities’ impacts on the environment. How much does waste management need to get involved?</w:t>
      </w:r>
    </w:p>
    <w:p w14:paraId="0FC5BD92" w14:textId="77777777" w:rsidR="00B60EAB" w:rsidRPr="00B60EAB" w:rsidRDefault="00B60EAB" w:rsidP="00B60EAB">
      <w:r w:rsidRPr="00B60EAB">
        <w:t xml:space="preserve">A. We look at likely demand for these facilities that would be driven by the regulation - reasonable means of compliance. Not a specific requirement to build specific facilities in specific locations. The goal of the regulation is to create the conditions where these facilities will be constructed where they can promote the circular economy - where </w:t>
      </w:r>
      <w:r w:rsidRPr="00B60EAB">
        <w:lastRenderedPageBreak/>
        <w:t xml:space="preserve">products can be reused or recycled in the future. Waste management is required to collect to the degree they sort for recycling. They are required to comply with this regulation. This creates the condition in which the PRO and the enhanced producer responsibility law, up to producers to comply through these facilities and then waste management is required to take and sort these. </w:t>
      </w:r>
      <w:proofErr w:type="spellStart"/>
      <w:r w:rsidRPr="00B60EAB">
        <w:t>CalRecycle</w:t>
      </w:r>
      <w:proofErr w:type="spellEnd"/>
      <w:r w:rsidRPr="00B60EAB">
        <w:t xml:space="preserve"> suggested contacting CAA with the question as well and provide feedback on the Needs Assessment for SB 54. </w:t>
      </w:r>
    </w:p>
    <w:p w14:paraId="30064A41" w14:textId="77777777" w:rsidR="00B60EAB" w:rsidRPr="00B60EAB" w:rsidRDefault="00B60EAB" w:rsidP="00B60EAB"/>
    <w:p w14:paraId="7C5B6CA3" w14:textId="77777777" w:rsidR="00B60EAB" w:rsidRPr="00B60EAB" w:rsidRDefault="00B60EAB" w:rsidP="00B60EAB">
      <w:r w:rsidRPr="00B60EAB">
        <w:t xml:space="preserve">Q. Many sustainable, more disposable products cost three times or more. Dishwashing capabilities are also very costly. We need clear instructions and advanced notice for these requirements so we can budget for these changes. </w:t>
      </w:r>
    </w:p>
    <w:p w14:paraId="5A639EED" w14:textId="77777777" w:rsidR="00B60EAB" w:rsidRPr="00B60EAB" w:rsidRDefault="00B60EAB" w:rsidP="00B60EAB">
      <w:r w:rsidRPr="00B60EAB">
        <w:t xml:space="preserve">A. The CEQA analysis is part of the final decision on regulation rulemaking, but final decision has yet to be made, which might be why you are not getting notices yet. </w:t>
      </w:r>
      <w:proofErr w:type="spellStart"/>
      <w:r w:rsidRPr="00B60EAB">
        <w:t>CalRecycle</w:t>
      </w:r>
      <w:proofErr w:type="spellEnd"/>
      <w:r w:rsidRPr="00B60EAB">
        <w:t xml:space="preserve"> urged the company to stay informed. </w:t>
      </w:r>
    </w:p>
    <w:p w14:paraId="3AD4D1B9" w14:textId="77777777" w:rsidR="00B60EAB" w:rsidRPr="00B60EAB" w:rsidRDefault="00B60EAB" w:rsidP="00B60EAB"/>
    <w:p w14:paraId="117E8811" w14:textId="77777777" w:rsidR="00B60EAB" w:rsidRPr="00B60EAB" w:rsidRDefault="00B60EAB" w:rsidP="00B60EAB">
      <w:r w:rsidRPr="00B60EAB">
        <w:t>Q. As drafted the analysis assumes a PRO depot model, but statute requires working with existing recycling systems and would like clarity here for the basis of the environmental impact analysis.</w:t>
      </w:r>
    </w:p>
    <w:p w14:paraId="3E36B032" w14:textId="77777777" w:rsidR="00B60EAB" w:rsidRPr="00B60EAB" w:rsidRDefault="00B60EAB" w:rsidP="00B60EAB">
      <w:r w:rsidRPr="00B60EAB">
        <w:t xml:space="preserve">A. We did use the Depot approach and analyzed the </w:t>
      </w:r>
      <w:proofErr w:type="gramStart"/>
      <w:r w:rsidRPr="00B60EAB">
        <w:t>amount</w:t>
      </w:r>
      <w:proofErr w:type="gramEnd"/>
      <w:r w:rsidRPr="00B60EAB">
        <w:t xml:space="preserve"> of depots that might be constructed to implement SB 54. These are the same assumptions that were used for the strategic regulatory standardized impact analysis. There will be additional detail in that beyond what is provided here as well.</w:t>
      </w:r>
    </w:p>
    <w:p w14:paraId="53123499" w14:textId="77777777" w:rsidR="00B60EAB" w:rsidRPr="00B60EAB" w:rsidRDefault="00B60EAB" w:rsidP="00B60EAB"/>
    <w:p w14:paraId="7C78A187" w14:textId="77777777" w:rsidR="00B60EAB" w:rsidRPr="00B60EAB" w:rsidRDefault="00B60EAB" w:rsidP="00B60EAB">
      <w:r w:rsidRPr="00B60EAB">
        <w:t xml:space="preserve">Q. Western Growers asked if there was an opportunity to look at the section establishing a recycling requirement, the PRO shall consider amount of organic waste and greenhouse gas emissions as it relates to organic produce. Was that part of the analysis in the PEIR? Some of the fresh produce packaging would not be able to be recycled under the law, so wondering if part of </w:t>
      </w:r>
      <w:proofErr w:type="spellStart"/>
      <w:r w:rsidRPr="00B60EAB">
        <w:t>CalRecycle’s</w:t>
      </w:r>
      <w:proofErr w:type="spellEnd"/>
      <w:r w:rsidRPr="00B60EAB">
        <w:t xml:space="preserve"> analysis if that had been considered.</w:t>
      </w:r>
    </w:p>
    <w:p w14:paraId="69091AAE" w14:textId="3AD9B0FA" w:rsidR="008B0BAC" w:rsidRDefault="00B60EAB" w:rsidP="00B60EAB">
      <w:r w:rsidRPr="00B60EAB">
        <w:t xml:space="preserve">A. </w:t>
      </w:r>
      <w:proofErr w:type="spellStart"/>
      <w:r w:rsidRPr="00B60EAB">
        <w:t>CalRecycle</w:t>
      </w:r>
      <w:proofErr w:type="spellEnd"/>
      <w:r w:rsidRPr="00B60EAB">
        <w:t xml:space="preserve"> said they were not sure. We did not get quite that granular as the analysis was for </w:t>
      </w:r>
      <w:proofErr w:type="gramStart"/>
      <w:r w:rsidRPr="00B60EAB">
        <w:t>reasonable</w:t>
      </w:r>
      <w:proofErr w:type="gramEnd"/>
      <w:r w:rsidRPr="00B60EAB">
        <w:t xml:space="preserve"> foreseeable means of compliance. For greenhouse gas the analysis doesn’t tease out </w:t>
      </w:r>
      <w:proofErr w:type="gramStart"/>
      <w:r w:rsidRPr="00B60EAB">
        <w:t>produce in particular, more</w:t>
      </w:r>
      <w:proofErr w:type="gramEnd"/>
      <w:r w:rsidRPr="00B60EAB">
        <w:t xml:space="preserve"> focused on transition from plastic to alternative or compostable materials. It would be very speculative to determine degree greenhouse gas emissions would change.</w:t>
      </w:r>
    </w:p>
    <w:sectPr w:rsidR="008B0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AB"/>
    <w:rsid w:val="008B0BAC"/>
    <w:rsid w:val="00B60EAB"/>
    <w:rsid w:val="00BB244A"/>
    <w:rsid w:val="00C14C28"/>
    <w:rsid w:val="00FA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2EF90B"/>
  <w15:chartTrackingRefBased/>
  <w15:docId w15:val="{4FC2AA9B-B591-E74E-9A3C-B16A7AA4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E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E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E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E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EAB"/>
    <w:rPr>
      <w:rFonts w:eastAsiaTheme="majorEastAsia" w:cstheme="majorBidi"/>
      <w:color w:val="272727" w:themeColor="text1" w:themeTint="D8"/>
    </w:rPr>
  </w:style>
  <w:style w:type="paragraph" w:styleId="Title">
    <w:name w:val="Title"/>
    <w:basedOn w:val="Normal"/>
    <w:next w:val="Normal"/>
    <w:link w:val="TitleChar"/>
    <w:uiPriority w:val="10"/>
    <w:qFormat/>
    <w:rsid w:val="00B60E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E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E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0EAB"/>
    <w:rPr>
      <w:i/>
      <w:iCs/>
      <w:color w:val="404040" w:themeColor="text1" w:themeTint="BF"/>
    </w:rPr>
  </w:style>
  <w:style w:type="paragraph" w:styleId="ListParagraph">
    <w:name w:val="List Paragraph"/>
    <w:basedOn w:val="Normal"/>
    <w:uiPriority w:val="34"/>
    <w:qFormat/>
    <w:rsid w:val="00B60EAB"/>
    <w:pPr>
      <w:ind w:left="720"/>
      <w:contextualSpacing/>
    </w:pPr>
  </w:style>
  <w:style w:type="character" w:styleId="IntenseEmphasis">
    <w:name w:val="Intense Emphasis"/>
    <w:basedOn w:val="DefaultParagraphFont"/>
    <w:uiPriority w:val="21"/>
    <w:qFormat/>
    <w:rsid w:val="00B60EAB"/>
    <w:rPr>
      <w:i/>
      <w:iCs/>
      <w:color w:val="0F4761" w:themeColor="accent1" w:themeShade="BF"/>
    </w:rPr>
  </w:style>
  <w:style w:type="paragraph" w:styleId="IntenseQuote">
    <w:name w:val="Intense Quote"/>
    <w:basedOn w:val="Normal"/>
    <w:next w:val="Normal"/>
    <w:link w:val="IntenseQuoteChar"/>
    <w:uiPriority w:val="30"/>
    <w:qFormat/>
    <w:rsid w:val="00B60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EAB"/>
    <w:rPr>
      <w:i/>
      <w:iCs/>
      <w:color w:val="0F4761" w:themeColor="accent1" w:themeShade="BF"/>
    </w:rPr>
  </w:style>
  <w:style w:type="character" w:styleId="IntenseReference">
    <w:name w:val="Intense Reference"/>
    <w:basedOn w:val="DefaultParagraphFont"/>
    <w:uiPriority w:val="32"/>
    <w:qFormat/>
    <w:rsid w:val="00B60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1</cp:revision>
  <dcterms:created xsi:type="dcterms:W3CDTF">2024-11-19T22:58:00Z</dcterms:created>
  <dcterms:modified xsi:type="dcterms:W3CDTF">2024-11-19T22:58:00Z</dcterms:modified>
</cp:coreProperties>
</file>