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0A73E" w14:textId="77777777" w:rsidR="00D774B4" w:rsidRPr="00D774B4" w:rsidRDefault="00D774B4" w:rsidP="00D774B4">
      <w:pPr>
        <w:rPr>
          <w:b/>
          <w:bCs/>
          <w:sz w:val="32"/>
          <w:szCs w:val="32"/>
        </w:rPr>
      </w:pPr>
      <w:r w:rsidRPr="00D774B4">
        <w:rPr>
          <w:b/>
          <w:bCs/>
          <w:sz w:val="32"/>
          <w:szCs w:val="32"/>
        </w:rPr>
        <w:t>Transition of post-acute care authorizations</w:t>
      </w:r>
    </w:p>
    <w:p w14:paraId="245F2EAD" w14:textId="77777777" w:rsidR="00D774B4" w:rsidRPr="002A56D2" w:rsidRDefault="00D774B4" w:rsidP="00D774B4">
      <w:pPr>
        <w:rPr>
          <w:sz w:val="24"/>
          <w:szCs w:val="24"/>
        </w:rPr>
      </w:pPr>
    </w:p>
    <w:p w14:paraId="7694F3CE" w14:textId="43A1B87F" w:rsidR="002A56D2" w:rsidRDefault="002A56D2" w:rsidP="002A56D2">
      <w:pPr>
        <w:rPr>
          <w:sz w:val="24"/>
          <w:szCs w:val="24"/>
        </w:rPr>
      </w:pPr>
      <w:r w:rsidRPr="002A56D2">
        <w:rPr>
          <w:sz w:val="24"/>
          <w:szCs w:val="24"/>
        </w:rPr>
        <w:t>In the Nov. 1 issue of Provider News Security Health Plan announced the transition of the post-acute care utilization management reviews from Optum Home and Community (formerly naviHealth) back to Security Health Plan. Post-</w:t>
      </w:r>
      <w:r>
        <w:rPr>
          <w:sz w:val="24"/>
          <w:szCs w:val="24"/>
        </w:rPr>
        <w:t>a</w:t>
      </w:r>
      <w:r w:rsidRPr="002A56D2">
        <w:rPr>
          <w:sz w:val="24"/>
          <w:szCs w:val="24"/>
        </w:rPr>
        <w:t xml:space="preserve">cute care utilization review includes </w:t>
      </w:r>
      <w:r>
        <w:rPr>
          <w:sz w:val="24"/>
          <w:szCs w:val="24"/>
        </w:rPr>
        <w:t>l</w:t>
      </w:r>
      <w:r w:rsidRPr="002A56D2">
        <w:rPr>
          <w:sz w:val="24"/>
          <w:szCs w:val="24"/>
        </w:rPr>
        <w:t>ong</w:t>
      </w:r>
      <w:r>
        <w:rPr>
          <w:sz w:val="24"/>
          <w:szCs w:val="24"/>
        </w:rPr>
        <w:t>-t</w:t>
      </w:r>
      <w:r w:rsidRPr="002A56D2">
        <w:rPr>
          <w:sz w:val="24"/>
          <w:szCs w:val="24"/>
        </w:rPr>
        <w:t xml:space="preserve">erm </w:t>
      </w:r>
      <w:r>
        <w:rPr>
          <w:sz w:val="24"/>
          <w:szCs w:val="24"/>
        </w:rPr>
        <w:t>a</w:t>
      </w:r>
      <w:r w:rsidRPr="002A56D2">
        <w:rPr>
          <w:sz w:val="24"/>
          <w:szCs w:val="24"/>
        </w:rPr>
        <w:t xml:space="preserve">cute </w:t>
      </w:r>
      <w:r>
        <w:rPr>
          <w:sz w:val="24"/>
          <w:szCs w:val="24"/>
        </w:rPr>
        <w:t>c</w:t>
      </w:r>
      <w:r w:rsidRPr="002A56D2">
        <w:rPr>
          <w:sz w:val="24"/>
          <w:szCs w:val="24"/>
        </w:rPr>
        <w:t xml:space="preserve">are (LTAC), </w:t>
      </w:r>
      <w:r>
        <w:rPr>
          <w:sz w:val="24"/>
          <w:szCs w:val="24"/>
        </w:rPr>
        <w:t>a</w:t>
      </w:r>
      <w:r w:rsidRPr="002A56D2">
        <w:rPr>
          <w:sz w:val="24"/>
          <w:szCs w:val="24"/>
        </w:rPr>
        <w:t xml:space="preserve">cute </w:t>
      </w:r>
      <w:r>
        <w:rPr>
          <w:sz w:val="24"/>
          <w:szCs w:val="24"/>
        </w:rPr>
        <w:t>i</w:t>
      </w:r>
      <w:r w:rsidRPr="002A56D2">
        <w:rPr>
          <w:sz w:val="24"/>
          <w:szCs w:val="24"/>
        </w:rPr>
        <w:t xml:space="preserve">npatient </w:t>
      </w:r>
      <w:r>
        <w:rPr>
          <w:sz w:val="24"/>
          <w:szCs w:val="24"/>
        </w:rPr>
        <w:t>r</w:t>
      </w:r>
      <w:r w:rsidRPr="002A56D2">
        <w:rPr>
          <w:sz w:val="24"/>
          <w:szCs w:val="24"/>
        </w:rPr>
        <w:t xml:space="preserve">ehab, </w:t>
      </w:r>
      <w:r>
        <w:rPr>
          <w:sz w:val="24"/>
          <w:szCs w:val="24"/>
        </w:rPr>
        <w:t>s</w:t>
      </w:r>
      <w:r w:rsidRPr="002A56D2">
        <w:rPr>
          <w:sz w:val="24"/>
          <w:szCs w:val="24"/>
        </w:rPr>
        <w:t xml:space="preserve">killed </w:t>
      </w:r>
      <w:r>
        <w:rPr>
          <w:sz w:val="24"/>
          <w:szCs w:val="24"/>
        </w:rPr>
        <w:t>n</w:t>
      </w:r>
      <w:r w:rsidRPr="002A56D2">
        <w:rPr>
          <w:sz w:val="24"/>
          <w:szCs w:val="24"/>
        </w:rPr>
        <w:t xml:space="preserve">ursing </w:t>
      </w:r>
      <w:r>
        <w:rPr>
          <w:sz w:val="24"/>
          <w:szCs w:val="24"/>
        </w:rPr>
        <w:t>f</w:t>
      </w:r>
      <w:r w:rsidRPr="002A56D2">
        <w:rPr>
          <w:sz w:val="24"/>
          <w:szCs w:val="24"/>
        </w:rPr>
        <w:t xml:space="preserve">acility (SNF) and </w:t>
      </w:r>
      <w:r>
        <w:rPr>
          <w:sz w:val="24"/>
          <w:szCs w:val="24"/>
        </w:rPr>
        <w:t>s</w:t>
      </w:r>
      <w:r w:rsidRPr="002A56D2">
        <w:rPr>
          <w:sz w:val="24"/>
          <w:szCs w:val="24"/>
        </w:rPr>
        <w:t xml:space="preserve">wing </w:t>
      </w:r>
      <w:r>
        <w:rPr>
          <w:sz w:val="24"/>
          <w:szCs w:val="24"/>
        </w:rPr>
        <w:t>b</w:t>
      </w:r>
      <w:r w:rsidRPr="002A56D2">
        <w:rPr>
          <w:sz w:val="24"/>
          <w:szCs w:val="24"/>
        </w:rPr>
        <w:t>ed</w:t>
      </w:r>
      <w:r>
        <w:rPr>
          <w:sz w:val="24"/>
          <w:szCs w:val="24"/>
        </w:rPr>
        <w:t xml:space="preserve"> care</w:t>
      </w:r>
      <w:r w:rsidRPr="002A56D2">
        <w:rPr>
          <w:sz w:val="24"/>
          <w:szCs w:val="24"/>
        </w:rPr>
        <w:t>.</w:t>
      </w:r>
    </w:p>
    <w:p w14:paraId="7990EB62" w14:textId="77777777" w:rsidR="002A56D2" w:rsidRPr="002A56D2" w:rsidRDefault="002A56D2" w:rsidP="002A56D2">
      <w:pPr>
        <w:rPr>
          <w:sz w:val="24"/>
          <w:szCs w:val="24"/>
        </w:rPr>
      </w:pPr>
    </w:p>
    <w:p w14:paraId="4B5A1AF3" w14:textId="55576154" w:rsidR="002A56D2" w:rsidRPr="002A56D2" w:rsidRDefault="002A56D2" w:rsidP="002A56D2">
      <w:pPr>
        <w:rPr>
          <w:sz w:val="24"/>
          <w:szCs w:val="24"/>
        </w:rPr>
      </w:pPr>
      <w:r>
        <w:rPr>
          <w:sz w:val="24"/>
          <w:szCs w:val="24"/>
        </w:rPr>
        <w:t>K</w:t>
      </w:r>
      <w:r w:rsidRPr="002A56D2">
        <w:rPr>
          <w:sz w:val="24"/>
          <w:szCs w:val="24"/>
        </w:rPr>
        <w:t>ey dates for this transition:</w:t>
      </w:r>
    </w:p>
    <w:p w14:paraId="5AC8B285" w14:textId="77777777" w:rsidR="002A56D2" w:rsidRPr="002A56D2" w:rsidRDefault="002A56D2" w:rsidP="002A56D2">
      <w:pPr>
        <w:pStyle w:val="ListParagraph"/>
        <w:numPr>
          <w:ilvl w:val="0"/>
          <w:numId w:val="26"/>
        </w:numPr>
        <w:spacing w:after="160" w:line="252" w:lineRule="auto"/>
        <w:ind w:left="720" w:hanging="360"/>
        <w:rPr>
          <w:rFonts w:ascii="Calibri" w:hAnsi="Calibri"/>
        </w:rPr>
      </w:pPr>
      <w:r w:rsidRPr="002A56D2">
        <w:rPr>
          <w:rFonts w:ascii="Calibri" w:hAnsi="Calibri"/>
          <w:b/>
          <w:bCs/>
        </w:rPr>
        <w:t>Sunday, Dec. 15</w:t>
      </w:r>
      <w:r w:rsidRPr="002A56D2">
        <w:rPr>
          <w:rFonts w:ascii="Calibri" w:hAnsi="Calibri"/>
        </w:rPr>
        <w:t xml:space="preserve"> – last day to submit any initial authorization to Optum Home and Community. </w:t>
      </w:r>
    </w:p>
    <w:p w14:paraId="607574C7" w14:textId="77777777" w:rsidR="002A56D2" w:rsidRPr="002A56D2" w:rsidRDefault="002A56D2" w:rsidP="002A56D2">
      <w:pPr>
        <w:pStyle w:val="ListParagraph"/>
        <w:numPr>
          <w:ilvl w:val="0"/>
          <w:numId w:val="26"/>
        </w:numPr>
        <w:spacing w:after="160" w:line="252" w:lineRule="auto"/>
        <w:ind w:left="720" w:hanging="360"/>
        <w:rPr>
          <w:rFonts w:ascii="Calibri" w:hAnsi="Calibri"/>
        </w:rPr>
      </w:pPr>
      <w:r w:rsidRPr="002A56D2">
        <w:rPr>
          <w:rFonts w:ascii="Calibri" w:hAnsi="Calibri"/>
          <w:b/>
          <w:bCs/>
        </w:rPr>
        <w:t xml:space="preserve">Monday, Dec. 16 </w:t>
      </w:r>
      <w:r w:rsidRPr="002A56D2">
        <w:rPr>
          <w:rFonts w:ascii="Calibri" w:hAnsi="Calibri"/>
        </w:rPr>
        <w:t xml:space="preserve">– all initial post-acute care utilization review requests for all products should be submitted to Security Health Plan. Optum Home and Community will continue to do concurrent reviews on their current cases through Dec. 31. </w:t>
      </w:r>
    </w:p>
    <w:p w14:paraId="150DD5AE" w14:textId="48179941" w:rsidR="002A56D2" w:rsidRPr="002A56D2" w:rsidRDefault="002A56D2" w:rsidP="002A56D2">
      <w:pPr>
        <w:pStyle w:val="ListParagraph"/>
        <w:numPr>
          <w:ilvl w:val="0"/>
          <w:numId w:val="26"/>
        </w:numPr>
        <w:spacing w:after="160" w:line="252" w:lineRule="auto"/>
        <w:ind w:left="720" w:hanging="360"/>
        <w:rPr>
          <w:rFonts w:ascii="Calibri" w:hAnsi="Calibri"/>
        </w:rPr>
      </w:pPr>
      <w:r w:rsidRPr="002A56D2">
        <w:rPr>
          <w:rFonts w:ascii="Calibri" w:hAnsi="Calibri"/>
          <w:b/>
          <w:bCs/>
        </w:rPr>
        <w:t xml:space="preserve">Tuesday, Dec. 31 </w:t>
      </w:r>
      <w:r w:rsidRPr="002A56D2">
        <w:rPr>
          <w:rFonts w:ascii="Calibri" w:hAnsi="Calibri"/>
        </w:rPr>
        <w:t>– Last day to submit any concurrent reviews that Optum Home and Community is following.</w:t>
      </w:r>
    </w:p>
    <w:p w14:paraId="4ECB3074" w14:textId="77777777" w:rsidR="002A56D2" w:rsidRPr="002A56D2" w:rsidRDefault="002A56D2" w:rsidP="002A56D2">
      <w:pPr>
        <w:pStyle w:val="ListParagraph"/>
        <w:numPr>
          <w:ilvl w:val="0"/>
          <w:numId w:val="26"/>
        </w:numPr>
        <w:spacing w:after="160" w:line="252" w:lineRule="auto"/>
        <w:ind w:left="720" w:hanging="360"/>
        <w:rPr>
          <w:rFonts w:ascii="Calibri" w:hAnsi="Calibri"/>
        </w:rPr>
      </w:pPr>
      <w:r w:rsidRPr="002A56D2">
        <w:rPr>
          <w:rFonts w:ascii="Calibri" w:hAnsi="Calibri"/>
          <w:b/>
          <w:bCs/>
        </w:rPr>
        <w:t xml:space="preserve">Wednesday, Jan. 1 </w:t>
      </w:r>
      <w:r w:rsidRPr="002A56D2">
        <w:rPr>
          <w:rFonts w:ascii="Calibri" w:hAnsi="Calibri"/>
        </w:rPr>
        <w:t>- all reviews, initial and open concurrent authorizations, will be reviewed and completed by Security Health Plan.</w:t>
      </w:r>
    </w:p>
    <w:p w14:paraId="640EAD7A" w14:textId="4C5F2675" w:rsidR="002A56D2" w:rsidRPr="002A56D2" w:rsidRDefault="002A56D2" w:rsidP="002A56D2">
      <w:pPr>
        <w:pStyle w:val="ListParagraph"/>
        <w:numPr>
          <w:ilvl w:val="0"/>
          <w:numId w:val="26"/>
        </w:numPr>
        <w:spacing w:after="160" w:line="252" w:lineRule="auto"/>
        <w:ind w:left="720" w:hanging="360"/>
        <w:rPr>
          <w:rFonts w:ascii="Calibri" w:hAnsi="Calibri"/>
        </w:rPr>
      </w:pPr>
      <w:r w:rsidRPr="002A56D2">
        <w:rPr>
          <w:rFonts w:ascii="Calibri" w:hAnsi="Calibri"/>
          <w:b/>
          <w:bCs/>
          <w:u w:val="single"/>
        </w:rPr>
        <w:t>Any form of Non-Medical Coverage (NOMNCs), Quality Improvement Organization appeals,</w:t>
      </w:r>
      <w:r w:rsidRPr="002A56D2">
        <w:rPr>
          <w:rFonts w:ascii="Calibri" w:hAnsi="Calibri"/>
        </w:rPr>
        <w:t xml:space="preserve"> or initial denial issued from Optum Home and Community will be managed by Optum.</w:t>
      </w:r>
    </w:p>
    <w:p w14:paraId="22220B45" w14:textId="08EB00B4" w:rsidR="002A56D2" w:rsidRDefault="002A56D2" w:rsidP="002A56D2">
      <w:pPr>
        <w:rPr>
          <w:sz w:val="24"/>
          <w:szCs w:val="24"/>
        </w:rPr>
      </w:pPr>
      <w:r w:rsidRPr="002A56D2">
        <w:rPr>
          <w:sz w:val="24"/>
          <w:szCs w:val="24"/>
        </w:rPr>
        <w:t>To submit post-acute care authorizations and clinical documentation to Security Health Plan</w:t>
      </w:r>
      <w:r>
        <w:rPr>
          <w:sz w:val="24"/>
          <w:szCs w:val="24"/>
        </w:rPr>
        <w:t>,</w:t>
      </w:r>
      <w:r w:rsidRPr="002A56D2">
        <w:rPr>
          <w:sz w:val="24"/>
          <w:szCs w:val="24"/>
        </w:rPr>
        <w:t xml:space="preserve"> log in to the Security Health Plan Provider Portal. If your staff/facility does not have provider portal access, please complete this </w:t>
      </w:r>
      <w:hyperlink r:id="rId9" w:history="1">
        <w:r w:rsidRPr="002A56D2">
          <w:rPr>
            <w:rStyle w:val="Hyperlink"/>
            <w:sz w:val="24"/>
            <w:szCs w:val="24"/>
          </w:rPr>
          <w:t>form</w:t>
        </w:r>
      </w:hyperlink>
      <w:r w:rsidRPr="002A56D2">
        <w:rPr>
          <w:sz w:val="24"/>
          <w:szCs w:val="24"/>
        </w:rPr>
        <w:t xml:space="preserve"> and return it to us. Instructions are included on the bottom of the form.</w:t>
      </w:r>
    </w:p>
    <w:p w14:paraId="5B29D7C0" w14:textId="77777777" w:rsidR="002A56D2" w:rsidRPr="002A56D2" w:rsidRDefault="002A56D2" w:rsidP="002A56D2">
      <w:pPr>
        <w:rPr>
          <w:sz w:val="24"/>
          <w:szCs w:val="24"/>
        </w:rPr>
      </w:pPr>
    </w:p>
    <w:p w14:paraId="0F1729C4" w14:textId="31E99738" w:rsidR="002A56D2" w:rsidRDefault="002A56D2" w:rsidP="002A56D2">
      <w:pPr>
        <w:rPr>
          <w:sz w:val="24"/>
          <w:szCs w:val="24"/>
        </w:rPr>
      </w:pPr>
      <w:r w:rsidRPr="002A56D2">
        <w:rPr>
          <w:sz w:val="24"/>
          <w:szCs w:val="24"/>
        </w:rPr>
        <w:t xml:space="preserve">You can also find instructions on how to submit a prior authorization on the </w:t>
      </w:r>
      <w:r>
        <w:rPr>
          <w:sz w:val="24"/>
          <w:szCs w:val="24"/>
        </w:rPr>
        <w:t>p</w:t>
      </w:r>
      <w:r w:rsidRPr="002A56D2">
        <w:rPr>
          <w:sz w:val="24"/>
          <w:szCs w:val="24"/>
        </w:rPr>
        <w:t xml:space="preserve">rovider </w:t>
      </w:r>
      <w:r>
        <w:rPr>
          <w:sz w:val="24"/>
          <w:szCs w:val="24"/>
        </w:rPr>
        <w:t>p</w:t>
      </w:r>
      <w:r w:rsidRPr="002A56D2">
        <w:rPr>
          <w:sz w:val="24"/>
          <w:szCs w:val="24"/>
        </w:rPr>
        <w:t>ortal once logged in. It also includes instructions on how to create and submit a post-acute care request authorization.</w:t>
      </w:r>
    </w:p>
    <w:p w14:paraId="67CDA724" w14:textId="77777777" w:rsidR="002A56D2" w:rsidRPr="002A56D2" w:rsidRDefault="002A56D2" w:rsidP="002A56D2">
      <w:pPr>
        <w:rPr>
          <w:sz w:val="24"/>
          <w:szCs w:val="24"/>
        </w:rPr>
      </w:pPr>
    </w:p>
    <w:p w14:paraId="06A9F390" w14:textId="703F3A80" w:rsidR="002A56D2" w:rsidRPr="002A56D2" w:rsidRDefault="002A56D2" w:rsidP="002A56D2">
      <w:pPr>
        <w:shd w:val="clear" w:color="auto" w:fill="FFFFFF"/>
        <w:rPr>
          <w:color w:val="222222"/>
          <w:sz w:val="24"/>
          <w:szCs w:val="24"/>
        </w:rPr>
      </w:pPr>
      <w:r w:rsidRPr="002A56D2">
        <w:rPr>
          <w:rStyle w:val="ui-provider"/>
          <w:color w:val="000000"/>
          <w:sz w:val="24"/>
          <w:szCs w:val="24"/>
        </w:rPr>
        <w:t xml:space="preserve">Submission of an authorization request via our tool ProAuth requires that you enter a CPT </w:t>
      </w:r>
      <w:r>
        <w:rPr>
          <w:rStyle w:val="ui-provider"/>
          <w:color w:val="000000"/>
          <w:sz w:val="24"/>
          <w:szCs w:val="24"/>
        </w:rPr>
        <w:t xml:space="preserve">code </w:t>
      </w:r>
      <w:r w:rsidRPr="002A56D2">
        <w:rPr>
          <w:color w:val="222222"/>
          <w:sz w:val="24"/>
          <w:szCs w:val="24"/>
        </w:rPr>
        <w:t>for the services. We recommend using the following CPT codes:</w:t>
      </w:r>
    </w:p>
    <w:p w14:paraId="40F186FF" w14:textId="77777777" w:rsidR="002A56D2" w:rsidRPr="002A56D2" w:rsidRDefault="002A56D2" w:rsidP="002A56D2">
      <w:pPr>
        <w:numPr>
          <w:ilvl w:val="0"/>
          <w:numId w:val="27"/>
        </w:numPr>
        <w:shd w:val="clear" w:color="auto" w:fill="FFFFFF"/>
        <w:spacing w:line="193" w:lineRule="atLeast"/>
        <w:rPr>
          <w:rFonts w:eastAsia="Times New Roman"/>
          <w:color w:val="222222"/>
          <w:sz w:val="24"/>
          <w:szCs w:val="24"/>
        </w:rPr>
      </w:pPr>
      <w:r w:rsidRPr="002A56D2">
        <w:rPr>
          <w:rFonts w:eastAsia="Times New Roman"/>
          <w:color w:val="222222"/>
          <w:sz w:val="24"/>
          <w:szCs w:val="24"/>
        </w:rPr>
        <w:t>99233 - LTAC and acute inpatient rehab</w:t>
      </w:r>
    </w:p>
    <w:p w14:paraId="0CD4BA82" w14:textId="77777777" w:rsidR="002A56D2" w:rsidRPr="002A56D2" w:rsidRDefault="002A56D2" w:rsidP="002A56D2">
      <w:pPr>
        <w:numPr>
          <w:ilvl w:val="0"/>
          <w:numId w:val="27"/>
        </w:numPr>
        <w:shd w:val="clear" w:color="auto" w:fill="FFFFFF"/>
        <w:spacing w:after="160" w:line="193" w:lineRule="atLeast"/>
        <w:rPr>
          <w:rFonts w:eastAsia="Times New Roman"/>
          <w:sz w:val="24"/>
          <w:szCs w:val="24"/>
        </w:rPr>
      </w:pPr>
      <w:r w:rsidRPr="002A56D2">
        <w:rPr>
          <w:rFonts w:eastAsia="Times New Roman"/>
          <w:color w:val="222222"/>
          <w:sz w:val="24"/>
          <w:szCs w:val="24"/>
        </w:rPr>
        <w:t>99307 - SNF and swing bed</w:t>
      </w:r>
    </w:p>
    <w:p w14:paraId="5803C6D8" w14:textId="44B422F5" w:rsidR="002A56D2" w:rsidRPr="002A56D2" w:rsidRDefault="002A56D2" w:rsidP="002A56D2">
      <w:pPr>
        <w:shd w:val="clear" w:color="auto" w:fill="FFFFFF"/>
        <w:spacing w:line="193" w:lineRule="atLeast"/>
        <w:rPr>
          <w:sz w:val="24"/>
          <w:szCs w:val="24"/>
        </w:rPr>
      </w:pPr>
      <w:r w:rsidRPr="002A56D2">
        <w:rPr>
          <w:color w:val="222222"/>
          <w:sz w:val="24"/>
          <w:szCs w:val="24"/>
        </w:rPr>
        <w:t>If you do not have access to our portal, please submit initial authorization request starting Dec. 16, 2024, to our post-acute service fax line at 715-221-9215.</w:t>
      </w:r>
    </w:p>
    <w:p w14:paraId="223FC75A" w14:textId="77777777" w:rsidR="002A56D2" w:rsidRDefault="002A56D2" w:rsidP="002A56D2">
      <w:pPr>
        <w:shd w:val="clear" w:color="auto" w:fill="FFFFFF"/>
        <w:spacing w:line="193" w:lineRule="atLeast"/>
        <w:rPr>
          <w:color w:val="222222"/>
          <w:sz w:val="24"/>
          <w:szCs w:val="24"/>
        </w:rPr>
      </w:pPr>
    </w:p>
    <w:p w14:paraId="23F04076" w14:textId="4DADDE8E" w:rsidR="002A56D2" w:rsidRPr="002A56D2" w:rsidRDefault="002A56D2" w:rsidP="002A56D2">
      <w:pPr>
        <w:shd w:val="clear" w:color="auto" w:fill="FFFFFF"/>
        <w:spacing w:line="193" w:lineRule="atLeast"/>
        <w:rPr>
          <w:sz w:val="24"/>
          <w:szCs w:val="24"/>
        </w:rPr>
      </w:pPr>
      <w:r w:rsidRPr="002A56D2">
        <w:rPr>
          <w:color w:val="222222"/>
          <w:sz w:val="24"/>
          <w:szCs w:val="24"/>
        </w:rPr>
        <w:lastRenderedPageBreak/>
        <w:t>Our post-acute customer service team will be available for questions starting Dec. 16, 2024. Please feel free to contact us at 715-221-9212.</w:t>
      </w:r>
    </w:p>
    <w:p w14:paraId="4D303091" w14:textId="77777777" w:rsidR="002A56D2" w:rsidRDefault="002A56D2" w:rsidP="002A56D2">
      <w:pPr>
        <w:rPr>
          <w:sz w:val="24"/>
          <w:szCs w:val="24"/>
        </w:rPr>
      </w:pPr>
    </w:p>
    <w:p w14:paraId="52E5A93C" w14:textId="15222252" w:rsidR="002A56D2" w:rsidRDefault="002A56D2" w:rsidP="002A56D2">
      <w:pPr>
        <w:rPr>
          <w:sz w:val="24"/>
          <w:szCs w:val="24"/>
        </w:rPr>
      </w:pPr>
      <w:r w:rsidRPr="002A56D2">
        <w:rPr>
          <w:sz w:val="24"/>
          <w:szCs w:val="24"/>
        </w:rPr>
        <w:t xml:space="preserve">We will not assign Health Insurance Prospective Payment System (HIPPS) rate codes for Medicare Advantage plans. Facilities will need to continue to supply the HIPPS code on claim submission. Facilities will need to follow Medicare guidelines. More information can be found in our Provider Manual </w:t>
      </w:r>
      <w:hyperlink r:id="rId10" w:history="1">
        <w:r w:rsidRPr="002A56D2">
          <w:rPr>
            <w:rStyle w:val="Hyperlink"/>
            <w:sz w:val="24"/>
            <w:szCs w:val="24"/>
          </w:rPr>
          <w:t>here</w:t>
        </w:r>
      </w:hyperlink>
      <w:r w:rsidRPr="002A56D2">
        <w:rPr>
          <w:sz w:val="24"/>
          <w:szCs w:val="24"/>
        </w:rPr>
        <w:t>.</w:t>
      </w:r>
    </w:p>
    <w:p w14:paraId="52A251BC" w14:textId="77777777" w:rsidR="002A56D2" w:rsidRPr="002A56D2" w:rsidRDefault="002A56D2" w:rsidP="002A56D2">
      <w:pPr>
        <w:rPr>
          <w:sz w:val="24"/>
          <w:szCs w:val="24"/>
        </w:rPr>
      </w:pPr>
    </w:p>
    <w:p w14:paraId="4F9A4FBE" w14:textId="37F3422E" w:rsidR="002A56D2" w:rsidRPr="002A56D2" w:rsidRDefault="002A56D2" w:rsidP="002A56D2">
      <w:pPr>
        <w:rPr>
          <w:sz w:val="24"/>
          <w:szCs w:val="24"/>
        </w:rPr>
      </w:pPr>
      <w:r w:rsidRPr="002A56D2">
        <w:rPr>
          <w:sz w:val="24"/>
          <w:szCs w:val="24"/>
        </w:rPr>
        <w:t>Security Health Plan will perform post-acute reviews using Change Healthcare InterQual, Medicare NCD/LCD and Medicaid ForwardHealth criteria as appropriate to make determinations. This includes post-acute prior authorization for LTAC, acute inpatient rehab, swing bed and skilled nursing facilities for all employer group (fully insured and self-funded), individual and family (Marketplace) plans and Medicare plans, including dual-eligible special needs plans. For Medicaid, including SSI, this includes post-acute prior authorization for LTAC and acute inpatient rehab.</w:t>
      </w:r>
    </w:p>
    <w:p w14:paraId="6DF209E8" w14:textId="77777777" w:rsidR="002A56D2" w:rsidRPr="002A56D2" w:rsidRDefault="002A56D2" w:rsidP="002A56D2">
      <w:pPr>
        <w:rPr>
          <w:sz w:val="24"/>
          <w:szCs w:val="24"/>
        </w:rPr>
      </w:pPr>
    </w:p>
    <w:p w14:paraId="7972F9F8" w14:textId="1F9D348A" w:rsidR="002A56D2" w:rsidRPr="002A56D2" w:rsidRDefault="002A56D2" w:rsidP="002A56D2">
      <w:pPr>
        <w:rPr>
          <w:sz w:val="24"/>
          <w:szCs w:val="24"/>
        </w:rPr>
      </w:pPr>
      <w:r w:rsidRPr="002A56D2">
        <w:rPr>
          <w:sz w:val="24"/>
          <w:szCs w:val="24"/>
        </w:rPr>
        <w:t>Optum Home and Community will continue to review any cases that members/providers are appealing that they have reviewed up to Jan 1, 2025. Security Health Plan will review the appeal cases for any reviews that we have completed. As of Jan 1, 2025</w:t>
      </w:r>
      <w:r>
        <w:rPr>
          <w:sz w:val="24"/>
          <w:szCs w:val="24"/>
        </w:rPr>
        <w:t>,</w:t>
      </w:r>
      <w:r w:rsidRPr="002A56D2">
        <w:rPr>
          <w:sz w:val="24"/>
          <w:szCs w:val="24"/>
        </w:rPr>
        <w:t xml:space="preserve"> Security Health Plan will review any appeal requests.</w:t>
      </w:r>
    </w:p>
    <w:p w14:paraId="4AECA67D" w14:textId="77777777" w:rsidR="002A56D2" w:rsidRPr="002A56D2" w:rsidRDefault="002A56D2" w:rsidP="002A56D2">
      <w:pPr>
        <w:rPr>
          <w:sz w:val="24"/>
          <w:szCs w:val="24"/>
        </w:rPr>
      </w:pPr>
    </w:p>
    <w:p w14:paraId="73BBEBF0" w14:textId="77777777" w:rsidR="002A56D2" w:rsidRPr="002A56D2" w:rsidRDefault="002A56D2" w:rsidP="002A56D2">
      <w:pPr>
        <w:rPr>
          <w:sz w:val="24"/>
          <w:szCs w:val="24"/>
        </w:rPr>
      </w:pPr>
      <w:r w:rsidRPr="002A56D2">
        <w:rPr>
          <w:sz w:val="24"/>
          <w:szCs w:val="24"/>
        </w:rPr>
        <w:t>Please note for Medicaid/Medicaid SSI members going to a skilled nursing facility, prior authorization for nursing home services is not required; however, to assist Security Health Plan care managers in care coordination, we request that skilled nursing facilities provide the following member information via fax (715-221-6612) or email (</w:t>
      </w:r>
      <w:hyperlink r:id="rId11" w:history="1">
        <w:r w:rsidRPr="002A56D2">
          <w:rPr>
            <w:rStyle w:val="Hyperlink"/>
            <w:sz w:val="24"/>
            <w:szCs w:val="24"/>
          </w:rPr>
          <w:t>shp.health.services@securityhealth.org</w:t>
        </w:r>
      </w:hyperlink>
      <w:r w:rsidRPr="002A56D2">
        <w:rPr>
          <w:sz w:val="24"/>
          <w:szCs w:val="24"/>
        </w:rPr>
        <w:t xml:space="preserve">): </w:t>
      </w:r>
    </w:p>
    <w:p w14:paraId="0B5750EC" w14:textId="77777777" w:rsidR="002A56D2" w:rsidRPr="002A56D2" w:rsidRDefault="002A56D2" w:rsidP="002A56D2">
      <w:pPr>
        <w:pStyle w:val="ListParagraph"/>
        <w:numPr>
          <w:ilvl w:val="0"/>
          <w:numId w:val="28"/>
        </w:numPr>
        <w:spacing w:after="160" w:line="252" w:lineRule="auto"/>
        <w:ind w:left="720" w:hanging="360"/>
        <w:rPr>
          <w:rFonts w:ascii="Calibri" w:hAnsi="Calibri"/>
        </w:rPr>
      </w:pPr>
      <w:r w:rsidRPr="002A56D2">
        <w:rPr>
          <w:rFonts w:ascii="Calibri" w:hAnsi="Calibri"/>
        </w:rPr>
        <w:t>Full name</w:t>
      </w:r>
    </w:p>
    <w:p w14:paraId="2FC83598" w14:textId="77777777" w:rsidR="002A56D2" w:rsidRPr="002A56D2" w:rsidRDefault="002A56D2" w:rsidP="002A56D2">
      <w:pPr>
        <w:pStyle w:val="ListParagraph"/>
        <w:numPr>
          <w:ilvl w:val="0"/>
          <w:numId w:val="28"/>
        </w:numPr>
        <w:spacing w:after="160" w:line="252" w:lineRule="auto"/>
        <w:ind w:left="720" w:hanging="360"/>
        <w:rPr>
          <w:rFonts w:ascii="Calibri" w:hAnsi="Calibri"/>
        </w:rPr>
      </w:pPr>
      <w:r w:rsidRPr="002A56D2">
        <w:rPr>
          <w:rFonts w:ascii="Calibri" w:hAnsi="Calibri"/>
        </w:rPr>
        <w:t>Date of birth</w:t>
      </w:r>
    </w:p>
    <w:p w14:paraId="2EBCC31D" w14:textId="77777777" w:rsidR="002A56D2" w:rsidRPr="002A56D2" w:rsidRDefault="002A56D2" w:rsidP="002A56D2">
      <w:pPr>
        <w:pStyle w:val="ListParagraph"/>
        <w:numPr>
          <w:ilvl w:val="0"/>
          <w:numId w:val="28"/>
        </w:numPr>
        <w:spacing w:after="160" w:line="252" w:lineRule="auto"/>
        <w:ind w:left="720" w:hanging="360"/>
        <w:rPr>
          <w:rFonts w:ascii="Calibri" w:hAnsi="Calibri"/>
        </w:rPr>
      </w:pPr>
      <w:r w:rsidRPr="002A56D2">
        <w:rPr>
          <w:rFonts w:ascii="Calibri" w:hAnsi="Calibri"/>
        </w:rPr>
        <w:t xml:space="preserve">Date of admission </w:t>
      </w:r>
    </w:p>
    <w:p w14:paraId="1A960089" w14:textId="77777777" w:rsidR="002A56D2" w:rsidRPr="002A56D2" w:rsidRDefault="002A56D2" w:rsidP="002A56D2">
      <w:pPr>
        <w:pStyle w:val="ListParagraph"/>
        <w:numPr>
          <w:ilvl w:val="0"/>
          <w:numId w:val="28"/>
        </w:numPr>
        <w:spacing w:after="160" w:line="252" w:lineRule="auto"/>
        <w:ind w:left="720" w:hanging="360"/>
        <w:rPr>
          <w:rFonts w:ascii="Calibri" w:hAnsi="Calibri"/>
        </w:rPr>
      </w:pPr>
      <w:r w:rsidRPr="002A56D2">
        <w:rPr>
          <w:rFonts w:ascii="Calibri" w:hAnsi="Calibri"/>
        </w:rPr>
        <w:t>Reason for admission</w:t>
      </w:r>
    </w:p>
    <w:p w14:paraId="079F48D0" w14:textId="77777777" w:rsidR="002A56D2" w:rsidRPr="002A56D2" w:rsidRDefault="002A56D2" w:rsidP="002A56D2">
      <w:pPr>
        <w:rPr>
          <w:sz w:val="24"/>
          <w:szCs w:val="24"/>
        </w:rPr>
      </w:pPr>
      <w:r w:rsidRPr="002A56D2">
        <w:rPr>
          <w:sz w:val="24"/>
          <w:szCs w:val="24"/>
        </w:rPr>
        <w:t xml:space="preserve">If you have any questions prior to Dec. 16 </w:t>
      </w:r>
      <w:hyperlink r:id="rId12" w:history="1">
        <w:r w:rsidRPr="002A56D2">
          <w:rPr>
            <w:rStyle w:val="Hyperlink"/>
            <w:sz w:val="24"/>
            <w:szCs w:val="24"/>
          </w:rPr>
          <w:t>email us at shp.hsd.um@securityhealth.org</w:t>
        </w:r>
      </w:hyperlink>
      <w:r w:rsidRPr="002A56D2">
        <w:rPr>
          <w:sz w:val="24"/>
          <w:szCs w:val="24"/>
        </w:rPr>
        <w:t xml:space="preserve">.  </w:t>
      </w:r>
    </w:p>
    <w:p w14:paraId="612D4638" w14:textId="4BF44F59" w:rsidR="00556C71" w:rsidRPr="002A56D2" w:rsidRDefault="00556C71" w:rsidP="002A56D2">
      <w:pPr>
        <w:rPr>
          <w:sz w:val="24"/>
          <w:szCs w:val="24"/>
        </w:rPr>
      </w:pPr>
    </w:p>
    <w:sectPr w:rsidR="00556C71" w:rsidRPr="002A56D2" w:rsidSect="00D33C74">
      <w:headerReference w:type="default" r:id="rId13"/>
      <w:footerReference w:type="default" r:id="rId14"/>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A347F" w14:textId="77777777" w:rsidR="00D774B4" w:rsidRDefault="00D774B4" w:rsidP="00EA2AFA">
      <w:r>
        <w:separator/>
      </w:r>
    </w:p>
  </w:endnote>
  <w:endnote w:type="continuationSeparator" w:id="0">
    <w:p w14:paraId="744967A5" w14:textId="77777777" w:rsidR="00D774B4" w:rsidRDefault="00D774B4"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F7C2F"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420106E2" wp14:editId="3C71D336">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FF10E"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BBB19" w14:textId="77777777" w:rsidR="00D774B4" w:rsidRDefault="00D774B4" w:rsidP="00EA2AFA">
      <w:r>
        <w:separator/>
      </w:r>
    </w:p>
  </w:footnote>
  <w:footnote w:type="continuationSeparator" w:id="0">
    <w:p w14:paraId="47CAC105" w14:textId="77777777" w:rsidR="00D774B4" w:rsidRDefault="00D774B4"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DC1A4"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51CF84FF" wp14:editId="212E16FC">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AC0C8"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12DA9270" w14:textId="77777777" w:rsidR="00EA2AFA" w:rsidRDefault="00D84F0A">
    <w:pPr>
      <w:pStyle w:val="Header"/>
    </w:pPr>
    <w:r>
      <w:rPr>
        <w:noProof/>
      </w:rPr>
      <w:drawing>
        <wp:anchor distT="0" distB="0" distL="114300" distR="114300" simplePos="0" relativeHeight="251660288" behindDoc="0" locked="0" layoutInCell="1" allowOverlap="1" wp14:anchorId="00348E0E" wp14:editId="7B3A4DA7">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06C20412" wp14:editId="5C22E6E7">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CC401F"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D50C4B"/>
    <w:multiLevelType w:val="multilevel"/>
    <w:tmpl w:val="9E687D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683A71"/>
    <w:multiLevelType w:val="hybridMultilevel"/>
    <w:tmpl w:val="9C807462"/>
    <w:lvl w:ilvl="0" w:tplc="27C06A3E">
      <w:numFmt w:val="bullet"/>
      <w:lvlText w:val="•"/>
      <w:lvlJc w:val="left"/>
      <w:pPr>
        <w:ind w:left="1410" w:hanging="105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DAC1492"/>
    <w:multiLevelType w:val="hybridMultilevel"/>
    <w:tmpl w:val="CFA0EC4A"/>
    <w:lvl w:ilvl="0" w:tplc="27C06A3E">
      <w:numFmt w:val="bullet"/>
      <w:lvlText w:val="•"/>
      <w:lvlJc w:val="left"/>
      <w:pPr>
        <w:ind w:left="1410" w:hanging="105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90548498">
    <w:abstractNumId w:val="16"/>
  </w:num>
  <w:num w:numId="2" w16cid:durableId="747385832">
    <w:abstractNumId w:val="15"/>
  </w:num>
  <w:num w:numId="3" w16cid:durableId="1964844111">
    <w:abstractNumId w:val="9"/>
  </w:num>
  <w:num w:numId="4" w16cid:durableId="1716004509">
    <w:abstractNumId w:val="23"/>
  </w:num>
  <w:num w:numId="5" w16cid:durableId="1377704470">
    <w:abstractNumId w:val="21"/>
  </w:num>
  <w:num w:numId="6" w16cid:durableId="212549451">
    <w:abstractNumId w:val="2"/>
  </w:num>
  <w:num w:numId="7" w16cid:durableId="325133308">
    <w:abstractNumId w:val="12"/>
  </w:num>
  <w:num w:numId="8" w16cid:durableId="1198813294">
    <w:abstractNumId w:val="25"/>
  </w:num>
  <w:num w:numId="9" w16cid:durableId="1367414582">
    <w:abstractNumId w:val="0"/>
  </w:num>
  <w:num w:numId="10" w16cid:durableId="19098759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4639139">
    <w:abstractNumId w:val="6"/>
  </w:num>
  <w:num w:numId="12" w16cid:durableId="2050570642">
    <w:abstractNumId w:val="7"/>
  </w:num>
  <w:num w:numId="13" w16cid:durableId="2146585214">
    <w:abstractNumId w:val="22"/>
  </w:num>
  <w:num w:numId="14" w16cid:durableId="902107113">
    <w:abstractNumId w:val="26"/>
  </w:num>
  <w:num w:numId="15" w16cid:durableId="1192263385">
    <w:abstractNumId w:val="13"/>
  </w:num>
  <w:num w:numId="16" w16cid:durableId="376202811">
    <w:abstractNumId w:val="11"/>
  </w:num>
  <w:num w:numId="17" w16cid:durableId="929701847">
    <w:abstractNumId w:val="5"/>
  </w:num>
  <w:num w:numId="18" w16cid:durableId="101926906">
    <w:abstractNumId w:val="1"/>
  </w:num>
  <w:num w:numId="19" w16cid:durableId="1307932466">
    <w:abstractNumId w:val="14"/>
  </w:num>
  <w:num w:numId="20" w16cid:durableId="601644970">
    <w:abstractNumId w:val="20"/>
  </w:num>
  <w:num w:numId="21" w16cid:durableId="1748378399">
    <w:abstractNumId w:val="24"/>
  </w:num>
  <w:num w:numId="22" w16cid:durableId="33700773">
    <w:abstractNumId w:val="19"/>
  </w:num>
  <w:num w:numId="23" w16cid:durableId="1291205326">
    <w:abstractNumId w:val="17"/>
  </w:num>
  <w:num w:numId="24" w16cid:durableId="406851790">
    <w:abstractNumId w:val="10"/>
  </w:num>
  <w:num w:numId="25" w16cid:durableId="389966382">
    <w:abstractNumId w:val="3"/>
  </w:num>
  <w:num w:numId="26" w16cid:durableId="136729507">
    <w:abstractNumId w:val="27"/>
    <w:lvlOverride w:ilvl="0"/>
    <w:lvlOverride w:ilvl="1"/>
    <w:lvlOverride w:ilvl="2"/>
    <w:lvlOverride w:ilvl="3"/>
    <w:lvlOverride w:ilvl="4"/>
    <w:lvlOverride w:ilvl="5"/>
    <w:lvlOverride w:ilvl="6"/>
    <w:lvlOverride w:ilvl="7"/>
    <w:lvlOverride w:ilvl="8"/>
  </w:num>
  <w:num w:numId="27" w16cid:durableId="768161080">
    <w:abstractNumId w:val="4"/>
    <w:lvlOverride w:ilvl="0"/>
    <w:lvlOverride w:ilvl="1"/>
    <w:lvlOverride w:ilvl="2"/>
    <w:lvlOverride w:ilvl="3"/>
    <w:lvlOverride w:ilvl="4"/>
    <w:lvlOverride w:ilvl="5"/>
    <w:lvlOverride w:ilvl="6"/>
    <w:lvlOverride w:ilvl="7"/>
    <w:lvlOverride w:ilvl="8"/>
  </w:num>
  <w:num w:numId="28" w16cid:durableId="525871217">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4B4"/>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A56D2"/>
    <w:rsid w:val="002D0702"/>
    <w:rsid w:val="002E325C"/>
    <w:rsid w:val="002F5CDB"/>
    <w:rsid w:val="00313A53"/>
    <w:rsid w:val="0031769F"/>
    <w:rsid w:val="00361A0A"/>
    <w:rsid w:val="0039431E"/>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D7F8B"/>
    <w:rsid w:val="00CE5361"/>
    <w:rsid w:val="00D011B8"/>
    <w:rsid w:val="00D014E1"/>
    <w:rsid w:val="00D1453D"/>
    <w:rsid w:val="00D14668"/>
    <w:rsid w:val="00D23A7D"/>
    <w:rsid w:val="00D328EF"/>
    <w:rsid w:val="00D33C74"/>
    <w:rsid w:val="00D76DAC"/>
    <w:rsid w:val="00D774B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EF78D6"/>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75109B6E"/>
  <w15:docId w15:val="{612F63B3-95DE-4428-8C1B-E6166E403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4B4"/>
    <w:rPr>
      <w:rFonts w:ascii="Calibri" w:hAnsi="Calibri" w:cs="Calibri"/>
      <w:sz w:val="22"/>
      <w:szCs w:val="22"/>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b/>
      <w:color w:val="FFFFFF" w:themeColor="background1"/>
      <w:sz w:val="62"/>
      <w:szCs w:val="24"/>
    </w:rPr>
  </w:style>
  <w:style w:type="paragraph" w:customStyle="1" w:styleId="NewsletterSubhead">
    <w:name w:val="Newsletter Subhead"/>
    <w:basedOn w:val="Normal"/>
    <w:qFormat/>
    <w:rsid w:val="001149B1"/>
    <w:rPr>
      <w:rFonts w:ascii="Times New Roman" w:eastAsia="Times New Roman" w:hAnsi="Times New Roman"/>
      <w:color w:val="FFFFFF" w:themeColor="background1"/>
      <w:sz w:val="26"/>
      <w:szCs w:val="24"/>
    </w:rPr>
  </w:style>
  <w:style w:type="paragraph" w:customStyle="1" w:styleId="NewsletterHeadline">
    <w:name w:val="Newsletter Headline"/>
    <w:basedOn w:val="Normal"/>
    <w:qFormat/>
    <w:rsid w:val="00760E4B"/>
    <w:rPr>
      <w:rFonts w:asciiTheme="majorHAnsi" w:eastAsia="Times New Roman" w:hAnsiTheme="majorHAnsi"/>
      <w:b/>
      <w:sz w:val="32"/>
      <w:szCs w:val="24"/>
    </w:rPr>
  </w:style>
  <w:style w:type="paragraph" w:customStyle="1" w:styleId="NewsletterBody">
    <w:name w:val="Newsletter Body"/>
    <w:basedOn w:val="Normal"/>
    <w:qFormat/>
    <w:rsid w:val="00F7274D"/>
    <w:pPr>
      <w:spacing w:after="200"/>
      <w:jc w:val="both"/>
    </w:pPr>
    <w:rPr>
      <w:rFonts w:ascii="Times New Roman" w:eastAsia="Times New Roman" w:hAnsi="Times New Roman"/>
      <w:color w:val="000000"/>
      <w:szCs w:val="24"/>
    </w:rPr>
  </w:style>
  <w:style w:type="paragraph" w:customStyle="1" w:styleId="WhiteText">
    <w:name w:val="White Text"/>
    <w:basedOn w:val="Normal"/>
    <w:qFormat/>
    <w:rsid w:val="00D014E1"/>
    <w:rPr>
      <w:rFonts w:ascii="Times New Roman" w:eastAsia="Times New Roman" w:hAnsi="Times New Roman"/>
      <w:color w:val="FFFFFF" w:themeColor="background1"/>
      <w:sz w:val="20"/>
      <w:szCs w:val="24"/>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sz w:val="24"/>
      <w:szCs w:val="24"/>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sz w:val="20"/>
      <w:szCs w:val="20"/>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 w:type="character" w:customStyle="1" w:styleId="ui-provider">
    <w:name w:val="ui-provider"/>
    <w:basedOn w:val="DefaultParagraphFont"/>
    <w:rsid w:val="00D7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05037389">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041384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19472947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email%20us%20at%20shp.hsd.um@securityhealth.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hp.health.services@securityhealth.or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securityhealth.org/providers/provider-manual/medicare-advantage/claims-processing-policies-and-procedures/consolidated-billing-for-medicare-advantage-members?claims-processing-policies-and-procedures-medicare-advantage" TargetMode="External"/><Relationship Id="rId4" Type="http://schemas.openxmlformats.org/officeDocument/2006/relationships/styles" Target="styles.xml"/><Relationship Id="rId9" Type="http://schemas.openxmlformats.org/officeDocument/2006/relationships/hyperlink" Target="https://www.securityhealth.org/-/media/Provider/P---Provider-Access-Request.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24</TotalTime>
  <Pages>2</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4</cp:revision>
  <cp:lastPrinted>2016-09-14T15:20:00Z</cp:lastPrinted>
  <dcterms:created xsi:type="dcterms:W3CDTF">2024-11-26T14:16:00Z</dcterms:created>
  <dcterms:modified xsi:type="dcterms:W3CDTF">2024-11-26T17:53:00Z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