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DD4EA" w14:textId="5F4BD183" w:rsidR="008A425D" w:rsidRPr="008A425D" w:rsidRDefault="008A425D" w:rsidP="008A425D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14:ligatures w14:val="none"/>
        </w:rPr>
      </w:pPr>
      <w:r w:rsidRPr="008A425D">
        <w:rPr>
          <w:rFonts w:ascii="Calibri" w:eastAsia="Times New Roman" w:hAnsi="Calibri" w:cs="Calibri"/>
          <w:b/>
          <w:bCs/>
          <w:kern w:val="36"/>
          <w:sz w:val="32"/>
          <w:szCs w:val="32"/>
          <w14:ligatures w14:val="none"/>
        </w:rPr>
        <w:t xml:space="preserve">2025 Medicare Part D </w:t>
      </w:r>
      <w:r w:rsidR="0048145F">
        <w:rPr>
          <w:rFonts w:ascii="Calibri" w:eastAsia="Times New Roman" w:hAnsi="Calibri" w:cs="Calibri"/>
          <w:b/>
          <w:bCs/>
          <w:kern w:val="36"/>
          <w:sz w:val="32"/>
          <w:szCs w:val="32"/>
          <w14:ligatures w14:val="none"/>
        </w:rPr>
        <w:t>plan design u</w:t>
      </w:r>
      <w:r w:rsidRPr="008A425D">
        <w:rPr>
          <w:rFonts w:ascii="Calibri" w:eastAsia="Times New Roman" w:hAnsi="Calibri" w:cs="Calibri"/>
          <w:b/>
          <w:bCs/>
          <w:kern w:val="36"/>
          <w:sz w:val="32"/>
          <w:szCs w:val="32"/>
          <w14:ligatures w14:val="none"/>
        </w:rPr>
        <w:t>pdates</w:t>
      </w:r>
    </w:p>
    <w:p w14:paraId="5803C6D8" w14:textId="77777777" w:rsid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06DD29A" w14:textId="0CD4BA82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The Inflation Reduction Act includes changes to Part D drug benefit phases and costs for people with Medicare.  The changes include a cap on out-of-pocket drug spending for enrollees in Medicare Part D drug plans. </w:t>
      </w:r>
    </w:p>
    <w:p w14:paraId="30351D43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0B0597A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 Medicare Part D drug benefit changes for 2025 will help make prescription drugs more affordable for people with Medicare and prevent them from falling into the notorious Medicare Part D “donut hole.” The changes limit the enrollee’s out-of-pocket cost to $2000, ensuring prescription costs won’t be as high, and eliminates the coverage gap. By implementing these changes, the Inflation Reduction Act aims to reduce healthcare disparities and ensure access for everyone.</w:t>
      </w:r>
    </w:p>
    <w:p w14:paraId="08655166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1F072C0" w14:textId="77777777" w:rsidR="008A425D" w:rsidRPr="008A425D" w:rsidRDefault="008A425D" w:rsidP="008A425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 explanation below provides an overview of the Part D drug benefit design in 2024 and changes coming in 2025.</w:t>
      </w:r>
    </w:p>
    <w:p w14:paraId="706EF3AB" w14:textId="77777777" w:rsidR="008A425D" w:rsidRPr="008A425D" w:rsidRDefault="008A425D" w:rsidP="008A425D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</w:p>
    <w:p w14:paraId="6B86ED5A" w14:textId="140AA721" w:rsidR="008A425D" w:rsidRPr="008A425D" w:rsidRDefault="008A425D" w:rsidP="008A425D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8A425D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Restructured Medicare Part D </w:t>
      </w:r>
      <w:r w:rsidR="004A13D6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b</w:t>
      </w:r>
      <w:r w:rsidRPr="008A425D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enefit </w:t>
      </w:r>
      <w:r w:rsidR="004A13D6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p</w:t>
      </w:r>
      <w:r w:rsidRPr="008A425D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hases </w:t>
      </w:r>
      <w:r w:rsidR="004A13D6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and</w:t>
      </w:r>
      <w:r w:rsidRPr="008A425D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="004A13D6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l</w:t>
      </w:r>
      <w:r w:rsidRPr="008A425D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iabilities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9"/>
        <w:gridCol w:w="4191"/>
      </w:tblGrid>
      <w:tr w:rsidR="008A425D" w:rsidRPr="008A425D" w14:paraId="6296E55C" w14:textId="77777777" w:rsidTr="00063A00">
        <w:tc>
          <w:tcPr>
            <w:tcW w:w="4990" w:type="dxa"/>
          </w:tcPr>
          <w:p w14:paraId="324C9274" w14:textId="77777777" w:rsidR="008A425D" w:rsidRPr="008A425D" w:rsidRDefault="008A425D" w:rsidP="00063A00">
            <w:pPr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2024</w:t>
            </w:r>
          </w:p>
        </w:tc>
        <w:tc>
          <w:tcPr>
            <w:tcW w:w="4360" w:type="dxa"/>
          </w:tcPr>
          <w:p w14:paraId="3E9B3040" w14:textId="77777777" w:rsidR="008A425D" w:rsidRPr="008A425D" w:rsidRDefault="008A425D" w:rsidP="00063A00">
            <w:pPr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2025</w:t>
            </w:r>
          </w:p>
        </w:tc>
      </w:tr>
      <w:tr w:rsidR="008A425D" w:rsidRPr="008A425D" w14:paraId="3F937BB7" w14:textId="77777777" w:rsidTr="00063A00">
        <w:tc>
          <w:tcPr>
            <w:tcW w:w="4990" w:type="dxa"/>
          </w:tcPr>
          <w:p w14:paraId="51E9D9A8" w14:textId="77777777" w:rsid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Benefit consists of four phases:</w:t>
            </w:r>
          </w:p>
          <w:p w14:paraId="4BB77307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8EC749B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Annual deductible:</w:t>
            </w:r>
          </w:p>
          <w:p w14:paraId="22424783" w14:textId="77777777" w:rsidR="008A425D" w:rsidRPr="008A425D" w:rsidRDefault="008A425D" w:rsidP="008A425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 xml:space="preserve">The enrollee pays 100 percent of drug costs until the deductible (if applicable) is met. </w:t>
            </w:r>
          </w:p>
          <w:p w14:paraId="63BE20F6" w14:textId="77777777" w:rsidR="008A425D" w:rsidRPr="008A425D" w:rsidRDefault="008A425D" w:rsidP="008A425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Once the enrollee meets the deductible (if applicable), they enter the next phase.</w:t>
            </w:r>
          </w:p>
          <w:p w14:paraId="2F985623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10037C4D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Initial coverage:</w:t>
            </w:r>
          </w:p>
          <w:p w14:paraId="70C43DE8" w14:textId="77777777" w:rsidR="008A425D" w:rsidRPr="008A425D" w:rsidRDefault="008A425D" w:rsidP="008A425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 xml:space="preserve">Enrollee pays co-pays or coinsurance until the amount paid by the enrollee and their drug plan reaches $5,030.  </w:t>
            </w:r>
          </w:p>
          <w:p w14:paraId="3387E65E" w14:textId="77777777" w:rsidR="008A425D" w:rsidRPr="008A425D" w:rsidRDefault="008A425D" w:rsidP="008A425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Once that amount reaches $5,030, they’ll move into the next phase.</w:t>
            </w:r>
          </w:p>
          <w:p w14:paraId="1DC93501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F9D6C00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Coverage gap (“donut hole”)</w:t>
            </w:r>
          </w:p>
          <w:p w14:paraId="5545439F" w14:textId="77777777" w:rsidR="008A425D" w:rsidRPr="008A425D" w:rsidRDefault="008A425D" w:rsidP="008A425D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 xml:space="preserve">Enrollees pay 25% of generic and brand-name drug cost. Manufacturers pay 70% of brand-name drug costs which is counted </w:t>
            </w:r>
            <w:r w:rsidRPr="008A425D">
              <w:rPr>
                <w:rFonts w:ascii="Calibri" w:hAnsi="Calibri" w:cs="Calibri"/>
                <w:kern w:val="0"/>
                <w14:ligatures w14:val="none"/>
              </w:rPr>
              <w:lastRenderedPageBreak/>
              <w:t xml:space="preserve">toward the enrollee’s $8,000 “true out of pocket” cost.  </w:t>
            </w:r>
          </w:p>
          <w:p w14:paraId="5D3FFBE8" w14:textId="77777777" w:rsidR="008A425D" w:rsidRDefault="008A425D" w:rsidP="008A425D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Once the enrollee has reached the $8,000 “true out of pocket” costs, they enter the next phase.</w:t>
            </w:r>
          </w:p>
          <w:p w14:paraId="38F927D5" w14:textId="77777777" w:rsidR="008A425D" w:rsidRPr="008A425D" w:rsidRDefault="008A425D" w:rsidP="008A425D">
            <w:pPr>
              <w:pStyle w:val="ListParagraph"/>
              <w:spacing w:after="0" w:line="240" w:lineRule="auto"/>
              <w:ind w:left="360"/>
              <w:rPr>
                <w:rFonts w:ascii="Calibri" w:hAnsi="Calibri" w:cs="Calibri"/>
                <w:kern w:val="0"/>
                <w14:ligatures w14:val="none"/>
              </w:rPr>
            </w:pPr>
          </w:p>
          <w:p w14:paraId="7AAFE89E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Catastrophic:</w:t>
            </w:r>
          </w:p>
          <w:p w14:paraId="497BE079" w14:textId="77777777" w:rsidR="008A425D" w:rsidRPr="008A425D" w:rsidRDefault="008A425D" w:rsidP="008A425D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Calibri" w:hAnsi="Calibri" w:cs="Calibri"/>
                <w:kern w:val="0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14:ligatures w14:val="none"/>
              </w:rPr>
              <w:t>The enrollee pays no cost-sharing for covered Part D drugs for the rest of the year.</w:t>
            </w:r>
          </w:p>
        </w:tc>
        <w:tc>
          <w:tcPr>
            <w:tcW w:w="4360" w:type="dxa"/>
          </w:tcPr>
          <w:p w14:paraId="305F4B2A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lastRenderedPageBreak/>
              <w:t>Benefit consists of three phases:</w:t>
            </w:r>
          </w:p>
          <w:p w14:paraId="52D34F7E" w14:textId="1CDC140F" w:rsidR="008A425D" w:rsidRDefault="008A425D" w:rsidP="008A425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C</w:t>
            </w:r>
            <w:r w:rsidRPr="008A425D">
              <w:rPr>
                <w:rFonts w:ascii="Calibri" w:hAnsi="Calibri" w:cs="Calibri"/>
                <w:kern w:val="0"/>
                <w14:ligatures w14:val="none"/>
              </w:rPr>
              <w:t>overage gap has been eliminated</w:t>
            </w:r>
            <w:r>
              <w:rPr>
                <w:rFonts w:ascii="Calibri" w:hAnsi="Calibri" w:cs="Calibri"/>
                <w:kern w:val="0"/>
                <w14:ligatures w14:val="none"/>
              </w:rPr>
              <w:t>.</w:t>
            </w:r>
          </w:p>
          <w:p w14:paraId="598E6142" w14:textId="77777777" w:rsidR="008A425D" w:rsidRPr="008A425D" w:rsidRDefault="008A425D" w:rsidP="008A425D">
            <w:pPr>
              <w:pStyle w:val="ListParagraph"/>
              <w:spacing w:after="0" w:line="240" w:lineRule="auto"/>
              <w:ind w:left="360"/>
              <w:rPr>
                <w:rFonts w:ascii="Calibri" w:hAnsi="Calibri" w:cs="Calibri"/>
                <w:kern w:val="0"/>
                <w14:ligatures w14:val="none"/>
              </w:rPr>
            </w:pPr>
          </w:p>
          <w:p w14:paraId="24B7D993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Annual deductible:</w:t>
            </w:r>
          </w:p>
          <w:p w14:paraId="3C229054" w14:textId="77777777" w:rsidR="008A425D" w:rsidRP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 xml:space="preserve">The enrollee pays 100 percent of drug costs until the deductible (if applicable) is met. </w:t>
            </w:r>
          </w:p>
          <w:p w14:paraId="1507BBA3" w14:textId="77777777" w:rsid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Once the enrollee meets the deductible (if applicable), they enter the next phase.</w:t>
            </w:r>
          </w:p>
          <w:p w14:paraId="383966D6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64B61CE0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Initial coverage:</w:t>
            </w:r>
          </w:p>
          <w:p w14:paraId="397EB436" w14:textId="77777777" w:rsidR="008A425D" w:rsidRP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 xml:space="preserve">Enrollee pays co-pays or coinsurance until they have paid $2,000 out-of-pocket towards their covered Part D drugs. </w:t>
            </w:r>
          </w:p>
          <w:p w14:paraId="4CD4589A" w14:textId="77777777" w:rsid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Once the enrollee has reached the annual OOP threshold of $2,000, they’ll move into the next phase.</w:t>
            </w:r>
          </w:p>
          <w:p w14:paraId="461FCA81" w14:textId="77777777" w:rsid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C5EFD0E" w14:textId="77777777" w:rsid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0957F5BF" w14:textId="77777777" w:rsidR="008A425D" w:rsidRPr="008A425D" w:rsidRDefault="008A425D" w:rsidP="008A425D">
            <w:pPr>
              <w:spacing w:after="0" w:line="240" w:lineRule="auto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Catastrophic:</w:t>
            </w:r>
          </w:p>
          <w:p w14:paraId="0E7B6626" w14:textId="77777777" w:rsidR="008A425D" w:rsidRPr="008A425D" w:rsidRDefault="008A425D" w:rsidP="008A425D">
            <w:pPr>
              <w:numPr>
                <w:ilvl w:val="1"/>
                <w:numId w:val="26"/>
              </w:num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  <w:r w:rsidRPr="008A425D"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  <w:t>The enrollee pays no cost-sharing for covered Part D drugs for the rest of the year.</w:t>
            </w:r>
          </w:p>
          <w:p w14:paraId="2F0A7767" w14:textId="77777777" w:rsidR="008A425D" w:rsidRPr="008A425D" w:rsidRDefault="008A425D" w:rsidP="008A425D">
            <w:pPr>
              <w:spacing w:after="0" w:line="240" w:lineRule="auto"/>
              <w:ind w:left="360"/>
              <w:rPr>
                <w:rFonts w:ascii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7FDF865" w14:textId="77777777" w:rsidR="008A425D" w:rsidRPr="008A425D" w:rsidRDefault="008A425D" w:rsidP="008A425D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5CCA9C5" w14:textId="04B42C03" w:rsidR="008A425D" w:rsidRPr="008A425D" w:rsidRDefault="008A425D" w:rsidP="008A425D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8A425D">
        <w:rPr>
          <w:rFonts w:ascii="Calibri" w:hAnsi="Calibri" w:cs="Calibri"/>
          <w:b/>
          <w:bCs/>
          <w:sz w:val="24"/>
          <w:szCs w:val="24"/>
        </w:rPr>
        <w:t xml:space="preserve">Information </w:t>
      </w:r>
      <w:r w:rsidR="004A13D6">
        <w:rPr>
          <w:rFonts w:ascii="Calibri" w:hAnsi="Calibri" w:cs="Calibri"/>
          <w:b/>
          <w:bCs/>
          <w:sz w:val="24"/>
          <w:szCs w:val="24"/>
        </w:rPr>
        <w:t>s</w:t>
      </w:r>
      <w:r w:rsidRPr="008A425D">
        <w:rPr>
          <w:rFonts w:ascii="Calibri" w:hAnsi="Calibri" w:cs="Calibri"/>
          <w:b/>
          <w:bCs/>
          <w:sz w:val="24"/>
          <w:szCs w:val="24"/>
        </w:rPr>
        <w:t xml:space="preserve">pecific to Security Health Part D </w:t>
      </w:r>
      <w:r w:rsidR="004A13D6">
        <w:rPr>
          <w:rFonts w:ascii="Calibri" w:hAnsi="Calibri" w:cs="Calibri"/>
          <w:b/>
          <w:bCs/>
          <w:sz w:val="24"/>
          <w:szCs w:val="24"/>
        </w:rPr>
        <w:t>p</w:t>
      </w:r>
      <w:r w:rsidRPr="008A425D">
        <w:rPr>
          <w:rFonts w:ascii="Calibri" w:hAnsi="Calibri" w:cs="Calibri"/>
          <w:b/>
          <w:bCs/>
          <w:sz w:val="24"/>
          <w:szCs w:val="24"/>
        </w:rPr>
        <w:t>lans for 2025</w:t>
      </w:r>
    </w:p>
    <w:p w14:paraId="4799EE84" w14:textId="77777777" w:rsidR="008A425D" w:rsidRPr="008A425D" w:rsidRDefault="008A425D" w:rsidP="008A425D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008A425D">
        <w:rPr>
          <w:rFonts w:ascii="Calibri" w:hAnsi="Calibri" w:cs="Calibri"/>
          <w:b/>
          <w:bCs/>
        </w:rPr>
        <w:t>NEW for 2025</w:t>
      </w:r>
      <w:r w:rsidRPr="008A425D">
        <w:rPr>
          <w:rFonts w:ascii="Calibri" w:hAnsi="Calibri" w:cs="Calibri"/>
        </w:rPr>
        <w:t xml:space="preserve"> - $0 Tier 1 preferred generics</w:t>
      </w:r>
    </w:p>
    <w:p w14:paraId="776012D8" w14:textId="77777777" w:rsidR="008A425D" w:rsidRPr="008A425D" w:rsidRDefault="008A425D" w:rsidP="008A425D">
      <w:pPr>
        <w:pStyle w:val="ListParagraph"/>
        <w:numPr>
          <w:ilvl w:val="1"/>
          <w:numId w:val="30"/>
        </w:numPr>
        <w:rPr>
          <w:rFonts w:ascii="Calibri" w:hAnsi="Calibri" w:cs="Calibri"/>
        </w:rPr>
      </w:pPr>
      <w:r w:rsidRPr="008A425D">
        <w:rPr>
          <w:rFonts w:ascii="Calibri" w:hAnsi="Calibri" w:cs="Calibri"/>
        </w:rPr>
        <w:t>Includes select generic medications to treat common conditions such as antibiotics, antidepressants, antihypertensives, corticosteroids, NSAIDs, levothyroxine, and warfarin</w:t>
      </w:r>
    </w:p>
    <w:p w14:paraId="3BBFE0F4" w14:textId="77777777" w:rsidR="008A425D" w:rsidRPr="008A425D" w:rsidRDefault="008A425D" w:rsidP="008A425D">
      <w:pPr>
        <w:pStyle w:val="ListParagraph"/>
        <w:ind w:left="1440"/>
        <w:rPr>
          <w:rFonts w:ascii="Calibri" w:hAnsi="Calibri" w:cs="Calibri"/>
        </w:rPr>
      </w:pPr>
    </w:p>
    <w:p w14:paraId="4B25CD7A" w14:textId="77777777" w:rsidR="008A425D" w:rsidRPr="008A425D" w:rsidRDefault="008A425D" w:rsidP="008A425D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  <w:b/>
          <w:bCs/>
        </w:rPr>
        <w:t>NEW for 2025</w:t>
      </w:r>
      <w:r w:rsidRPr="008A425D">
        <w:rPr>
          <w:rFonts w:ascii="Calibri" w:hAnsi="Calibri" w:cs="Calibri"/>
        </w:rPr>
        <w:t xml:space="preserve"> - $0 Select Care tier (Tier 6)</w:t>
      </w:r>
    </w:p>
    <w:p w14:paraId="04489D30" w14:textId="77777777" w:rsidR="008A425D" w:rsidRPr="008A425D" w:rsidRDefault="008A425D" w:rsidP="008A425D">
      <w:pPr>
        <w:pStyle w:val="ListParagraph"/>
        <w:numPr>
          <w:ilvl w:val="1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The Select Care tier contains generic drugs related to CMS Star Measures or other quality measures:</w:t>
      </w:r>
    </w:p>
    <w:p w14:paraId="70C2E212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statins</w:t>
      </w:r>
    </w:p>
    <w:p w14:paraId="7F67D01C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renin-angiotensin system (RAS) antagonists (ACE inhibitors and ARBs)</w:t>
      </w:r>
    </w:p>
    <w:p w14:paraId="4CA7C0E0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oral diabetes drugs</w:t>
      </w:r>
    </w:p>
    <w:p w14:paraId="5A9F3135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bisphosphonates</w:t>
      </w:r>
    </w:p>
    <w:p w14:paraId="282FA44F" w14:textId="77777777" w:rsidR="008A425D" w:rsidRPr="008A425D" w:rsidRDefault="008A425D" w:rsidP="008A425D">
      <w:pPr>
        <w:pStyle w:val="ListParagraph"/>
        <w:numPr>
          <w:ilvl w:val="2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DMARDs (methotrexate, sulfasalazine)</w:t>
      </w:r>
    </w:p>
    <w:p w14:paraId="46BF2D4F" w14:textId="77777777" w:rsidR="008A425D" w:rsidRPr="008A425D" w:rsidRDefault="008A425D" w:rsidP="008A425D">
      <w:pPr>
        <w:spacing w:after="0"/>
        <w:rPr>
          <w:rFonts w:ascii="Calibri" w:hAnsi="Calibri" w:cs="Calibri"/>
          <w:sz w:val="24"/>
          <w:szCs w:val="24"/>
        </w:rPr>
      </w:pPr>
    </w:p>
    <w:p w14:paraId="2F3A1BE6" w14:textId="77777777" w:rsidR="008A425D" w:rsidRPr="008A425D" w:rsidRDefault="008A425D" w:rsidP="008A425D">
      <w:pPr>
        <w:pStyle w:val="ListParagraph"/>
        <w:numPr>
          <w:ilvl w:val="0"/>
          <w:numId w:val="30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>Our Part D plan remains a six-tier plan.  Once members have met their deductible (if applicable) they will pay the copay or co-insurance listed in the chart.</w:t>
      </w:r>
    </w:p>
    <w:p w14:paraId="634D051E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07"/>
        <w:gridCol w:w="2944"/>
        <w:gridCol w:w="2619"/>
      </w:tblGrid>
      <w:tr w:rsidR="008A425D" w:rsidRPr="008A425D" w14:paraId="04C229D8" w14:textId="77777777" w:rsidTr="00063A00">
        <w:trPr>
          <w:trHeight w:val="300"/>
        </w:trPr>
        <w:tc>
          <w:tcPr>
            <w:tcW w:w="2842" w:type="dxa"/>
            <w:shd w:val="clear" w:color="auto" w:fill="BFBFBF" w:themeFill="background1" w:themeFillShade="BF"/>
          </w:tcPr>
          <w:p w14:paraId="1CCA4371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8A425D">
              <w:rPr>
                <w:rFonts w:ascii="Calibri" w:hAnsi="Calibri" w:cs="Calibri"/>
                <w:b/>
                <w:bCs/>
              </w:rPr>
              <w:t>Tier Value</w:t>
            </w:r>
          </w:p>
        </w:tc>
        <w:tc>
          <w:tcPr>
            <w:tcW w:w="3069" w:type="dxa"/>
            <w:shd w:val="clear" w:color="auto" w:fill="BFBFBF" w:themeFill="background1" w:themeFillShade="BF"/>
          </w:tcPr>
          <w:p w14:paraId="1689FCFA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8A425D">
              <w:rPr>
                <w:rFonts w:ascii="Calibri" w:hAnsi="Calibri" w:cs="Calibri"/>
                <w:b/>
                <w:bCs/>
              </w:rPr>
              <w:t>Tier Name</w:t>
            </w:r>
          </w:p>
        </w:tc>
        <w:tc>
          <w:tcPr>
            <w:tcW w:w="2719" w:type="dxa"/>
            <w:shd w:val="clear" w:color="auto" w:fill="BFBFBF" w:themeFill="background1" w:themeFillShade="BF"/>
          </w:tcPr>
          <w:p w14:paraId="46BABBC4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8A425D">
              <w:rPr>
                <w:rFonts w:ascii="Calibri" w:hAnsi="Calibri" w:cs="Calibri"/>
                <w:b/>
                <w:bCs/>
              </w:rPr>
              <w:t>Copay or Co-insurance</w:t>
            </w:r>
          </w:p>
        </w:tc>
      </w:tr>
      <w:tr w:rsidR="008A425D" w:rsidRPr="008A425D" w14:paraId="4EE79D89" w14:textId="77777777" w:rsidTr="00063A00">
        <w:trPr>
          <w:trHeight w:val="300"/>
        </w:trPr>
        <w:tc>
          <w:tcPr>
            <w:tcW w:w="2842" w:type="dxa"/>
          </w:tcPr>
          <w:p w14:paraId="27CBFC91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1</w:t>
            </w:r>
          </w:p>
        </w:tc>
        <w:tc>
          <w:tcPr>
            <w:tcW w:w="3069" w:type="dxa"/>
          </w:tcPr>
          <w:p w14:paraId="57A509E3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Preferred generic</w:t>
            </w:r>
          </w:p>
        </w:tc>
        <w:tc>
          <w:tcPr>
            <w:tcW w:w="2719" w:type="dxa"/>
          </w:tcPr>
          <w:p w14:paraId="717920AE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$0</w:t>
            </w:r>
          </w:p>
        </w:tc>
      </w:tr>
      <w:tr w:rsidR="008A425D" w:rsidRPr="008A425D" w14:paraId="5FAA4CB2" w14:textId="77777777" w:rsidTr="00063A00">
        <w:trPr>
          <w:trHeight w:val="300"/>
        </w:trPr>
        <w:tc>
          <w:tcPr>
            <w:tcW w:w="2842" w:type="dxa"/>
          </w:tcPr>
          <w:p w14:paraId="26936105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2</w:t>
            </w:r>
          </w:p>
        </w:tc>
        <w:tc>
          <w:tcPr>
            <w:tcW w:w="3069" w:type="dxa"/>
          </w:tcPr>
          <w:p w14:paraId="7EFDC4E5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Generic</w:t>
            </w:r>
          </w:p>
        </w:tc>
        <w:tc>
          <w:tcPr>
            <w:tcW w:w="2719" w:type="dxa"/>
          </w:tcPr>
          <w:p w14:paraId="68777B5A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Copay varies by plan</w:t>
            </w:r>
          </w:p>
          <w:p w14:paraId="4AC416C4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($9-$20)</w:t>
            </w:r>
          </w:p>
        </w:tc>
      </w:tr>
      <w:tr w:rsidR="008A425D" w:rsidRPr="008A425D" w14:paraId="20E3CD52" w14:textId="77777777" w:rsidTr="00063A00">
        <w:trPr>
          <w:trHeight w:val="300"/>
        </w:trPr>
        <w:tc>
          <w:tcPr>
            <w:tcW w:w="2842" w:type="dxa"/>
          </w:tcPr>
          <w:p w14:paraId="234D2D4B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3</w:t>
            </w:r>
          </w:p>
        </w:tc>
        <w:tc>
          <w:tcPr>
            <w:tcW w:w="3069" w:type="dxa"/>
          </w:tcPr>
          <w:p w14:paraId="62CF6DE9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Preferred brand</w:t>
            </w:r>
          </w:p>
        </w:tc>
        <w:tc>
          <w:tcPr>
            <w:tcW w:w="2719" w:type="dxa"/>
          </w:tcPr>
          <w:p w14:paraId="4AB8716A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$47</w:t>
            </w:r>
          </w:p>
        </w:tc>
      </w:tr>
      <w:tr w:rsidR="008A425D" w:rsidRPr="008A425D" w14:paraId="2F3B15EB" w14:textId="77777777" w:rsidTr="00063A00">
        <w:trPr>
          <w:trHeight w:val="300"/>
        </w:trPr>
        <w:tc>
          <w:tcPr>
            <w:tcW w:w="2842" w:type="dxa"/>
          </w:tcPr>
          <w:p w14:paraId="5E488626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lastRenderedPageBreak/>
              <w:t>Tier 4</w:t>
            </w:r>
          </w:p>
        </w:tc>
        <w:tc>
          <w:tcPr>
            <w:tcW w:w="3069" w:type="dxa"/>
          </w:tcPr>
          <w:p w14:paraId="1F4F44F6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Non-preferred drugs</w:t>
            </w:r>
          </w:p>
        </w:tc>
        <w:tc>
          <w:tcPr>
            <w:tcW w:w="2719" w:type="dxa"/>
          </w:tcPr>
          <w:p w14:paraId="3F154D16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$100</w:t>
            </w:r>
          </w:p>
        </w:tc>
      </w:tr>
      <w:tr w:rsidR="008A425D" w:rsidRPr="008A425D" w14:paraId="63FBB233" w14:textId="77777777" w:rsidTr="00063A00">
        <w:trPr>
          <w:trHeight w:val="300"/>
        </w:trPr>
        <w:tc>
          <w:tcPr>
            <w:tcW w:w="2842" w:type="dxa"/>
          </w:tcPr>
          <w:p w14:paraId="08C49272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5</w:t>
            </w:r>
          </w:p>
        </w:tc>
        <w:tc>
          <w:tcPr>
            <w:tcW w:w="3069" w:type="dxa"/>
          </w:tcPr>
          <w:p w14:paraId="7832CA1F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Specialty</w:t>
            </w:r>
          </w:p>
        </w:tc>
        <w:tc>
          <w:tcPr>
            <w:tcW w:w="2719" w:type="dxa"/>
          </w:tcPr>
          <w:p w14:paraId="4F80F5A1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Co-insurance varies by plan</w:t>
            </w:r>
          </w:p>
          <w:p w14:paraId="215C10C2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(29%-33%)</w:t>
            </w:r>
          </w:p>
        </w:tc>
      </w:tr>
      <w:tr w:rsidR="008A425D" w:rsidRPr="008A425D" w14:paraId="556C1103" w14:textId="77777777" w:rsidTr="00063A00">
        <w:trPr>
          <w:trHeight w:val="300"/>
        </w:trPr>
        <w:tc>
          <w:tcPr>
            <w:tcW w:w="2842" w:type="dxa"/>
          </w:tcPr>
          <w:p w14:paraId="49F0328E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Tier 6</w:t>
            </w:r>
          </w:p>
        </w:tc>
        <w:tc>
          <w:tcPr>
            <w:tcW w:w="3069" w:type="dxa"/>
          </w:tcPr>
          <w:p w14:paraId="1ED05E3C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Select Care</w:t>
            </w:r>
          </w:p>
        </w:tc>
        <w:tc>
          <w:tcPr>
            <w:tcW w:w="2719" w:type="dxa"/>
          </w:tcPr>
          <w:p w14:paraId="3ABBE5CF" w14:textId="77777777" w:rsidR="008A425D" w:rsidRPr="008A425D" w:rsidRDefault="008A425D" w:rsidP="00063A00">
            <w:pPr>
              <w:pStyle w:val="ListParagraph"/>
              <w:ind w:left="0"/>
              <w:jc w:val="center"/>
              <w:rPr>
                <w:rFonts w:ascii="Calibri" w:hAnsi="Calibri" w:cs="Calibri"/>
              </w:rPr>
            </w:pPr>
            <w:r w:rsidRPr="008A425D">
              <w:rPr>
                <w:rFonts w:ascii="Calibri" w:hAnsi="Calibri" w:cs="Calibri"/>
              </w:rPr>
              <w:t>$0</w:t>
            </w:r>
          </w:p>
        </w:tc>
      </w:tr>
    </w:tbl>
    <w:p w14:paraId="2DD57FA0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p w14:paraId="728DE74D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  <w:b/>
          <w:bCs/>
        </w:rPr>
        <w:t>IMPORTANT:</w:t>
      </w:r>
      <w:r w:rsidRPr="008A425D">
        <w:rPr>
          <w:rFonts w:ascii="Calibri" w:hAnsi="Calibri" w:cs="Calibri"/>
        </w:rPr>
        <w:t xml:space="preserve">  For 2025, most competing plans have gone to co-insurance for tier 4. This results in unknown and potentially increased costs for members. </w:t>
      </w:r>
    </w:p>
    <w:p w14:paraId="48EF6E6E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p w14:paraId="246C5CBC" w14:textId="77777777" w:rsidR="008A425D" w:rsidRPr="008A425D" w:rsidRDefault="008A425D" w:rsidP="008A425D">
      <w:pPr>
        <w:pStyle w:val="ListParagraph"/>
        <w:numPr>
          <w:ilvl w:val="0"/>
          <w:numId w:val="27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 xml:space="preserve">Most Part D vaccines are available at $0 when administered in a provider’s office or at any network pharmacy. </w:t>
      </w:r>
    </w:p>
    <w:p w14:paraId="6C2E6BEA" w14:textId="77777777" w:rsidR="008A425D" w:rsidRPr="008A425D" w:rsidRDefault="008A425D" w:rsidP="008A425D">
      <w:pPr>
        <w:pStyle w:val="ListParagraph"/>
        <w:spacing w:after="0"/>
        <w:rPr>
          <w:rFonts w:ascii="Calibri" w:hAnsi="Calibri" w:cs="Calibri"/>
        </w:rPr>
      </w:pPr>
    </w:p>
    <w:p w14:paraId="4BEEE51F" w14:textId="77777777" w:rsidR="008A425D" w:rsidRPr="008A425D" w:rsidRDefault="008A425D" w:rsidP="008A425D">
      <w:pPr>
        <w:pStyle w:val="ListParagraph"/>
        <w:numPr>
          <w:ilvl w:val="0"/>
          <w:numId w:val="27"/>
        </w:numPr>
        <w:spacing w:after="0"/>
        <w:rPr>
          <w:rFonts w:ascii="Calibri" w:hAnsi="Calibri" w:cs="Calibri"/>
        </w:rPr>
      </w:pPr>
      <w:r w:rsidRPr="008A425D">
        <w:rPr>
          <w:rFonts w:ascii="Calibri" w:hAnsi="Calibri" w:cs="Calibri"/>
        </w:rPr>
        <w:t xml:space="preserve">The copay for a month’s supply of covered insulins will be no more than $35 when self-injected or via an insulin pump. </w:t>
      </w:r>
    </w:p>
    <w:p w14:paraId="26D8AC82" w14:textId="77777777" w:rsidR="008A425D" w:rsidRPr="008A425D" w:rsidRDefault="008A425D" w:rsidP="008A425D">
      <w:pPr>
        <w:rPr>
          <w:rFonts w:ascii="Calibri" w:hAnsi="Calibri" w:cs="Calibri"/>
          <w:sz w:val="24"/>
          <w:szCs w:val="24"/>
        </w:rPr>
      </w:pPr>
    </w:p>
    <w:p w14:paraId="43E042A9" w14:textId="10F6BEEB" w:rsidR="00556C71" w:rsidRPr="008A425D" w:rsidRDefault="008A425D" w:rsidP="00361A0A">
      <w:pPr>
        <w:rPr>
          <w:rFonts w:ascii="Calibri" w:hAnsi="Calibri" w:cs="Calibri"/>
          <w:sz w:val="24"/>
          <w:szCs w:val="24"/>
        </w:rPr>
      </w:pPr>
      <w:r w:rsidRPr="008A425D">
        <w:rPr>
          <w:rFonts w:ascii="Calibri" w:hAnsi="Calibri" w:cs="Calibri"/>
          <w:sz w:val="24"/>
          <w:szCs w:val="24"/>
        </w:rPr>
        <w:t>If you have any questions about Security Health Plan’s Part D benefit, please contact Security Health Plan Pharmacy Services at 1-877-873-5611.</w:t>
      </w:r>
    </w:p>
    <w:sectPr w:rsidR="00556C71" w:rsidRPr="008A425D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AA849" w14:textId="77777777" w:rsidR="008A425D" w:rsidRDefault="008A425D" w:rsidP="00EA2AFA">
      <w:r>
        <w:separator/>
      </w:r>
    </w:p>
  </w:endnote>
  <w:endnote w:type="continuationSeparator" w:id="0">
    <w:p w14:paraId="780BC116" w14:textId="77777777" w:rsidR="008A425D" w:rsidRDefault="008A425D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74BE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4E749A" wp14:editId="30DC29D6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999594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A389F" w14:textId="77777777" w:rsidR="008A425D" w:rsidRDefault="008A425D" w:rsidP="00EA2AFA">
      <w:r>
        <w:separator/>
      </w:r>
    </w:p>
  </w:footnote>
  <w:footnote w:type="continuationSeparator" w:id="0">
    <w:p w14:paraId="1EB89D9F" w14:textId="77777777" w:rsidR="008A425D" w:rsidRDefault="008A425D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12630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7128F2" wp14:editId="4B3CD3C2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350536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40A2CB7D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7949F73" wp14:editId="1BB60726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3D06C3" wp14:editId="0D392509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031837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C710B"/>
    <w:multiLevelType w:val="multilevel"/>
    <w:tmpl w:val="318059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27790"/>
    <w:multiLevelType w:val="hybridMultilevel"/>
    <w:tmpl w:val="C3F41C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404FA"/>
    <w:multiLevelType w:val="hybridMultilevel"/>
    <w:tmpl w:val="42182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A3F96"/>
    <w:multiLevelType w:val="hybridMultilevel"/>
    <w:tmpl w:val="1CF2CF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E35B3"/>
    <w:multiLevelType w:val="hybridMultilevel"/>
    <w:tmpl w:val="4B6A71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72232"/>
    <w:multiLevelType w:val="hybridMultilevel"/>
    <w:tmpl w:val="1C9C0D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633E9"/>
    <w:multiLevelType w:val="multilevel"/>
    <w:tmpl w:val="2FC86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C4C88"/>
    <w:multiLevelType w:val="hybridMultilevel"/>
    <w:tmpl w:val="5BDC8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22F05"/>
    <w:multiLevelType w:val="multilevel"/>
    <w:tmpl w:val="11E038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3F3DA5"/>
    <w:multiLevelType w:val="hybridMultilevel"/>
    <w:tmpl w:val="A36261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F1881"/>
    <w:multiLevelType w:val="hybridMultilevel"/>
    <w:tmpl w:val="094E3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897263"/>
    <w:multiLevelType w:val="multilevel"/>
    <w:tmpl w:val="CC648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548498">
    <w:abstractNumId w:val="21"/>
  </w:num>
  <w:num w:numId="2" w16cid:durableId="747385832">
    <w:abstractNumId w:val="20"/>
  </w:num>
  <w:num w:numId="3" w16cid:durableId="1964844111">
    <w:abstractNumId w:val="10"/>
  </w:num>
  <w:num w:numId="4" w16cid:durableId="1716004509">
    <w:abstractNumId w:val="31"/>
  </w:num>
  <w:num w:numId="5" w16cid:durableId="1377704470">
    <w:abstractNumId w:val="28"/>
  </w:num>
  <w:num w:numId="6" w16cid:durableId="212549451">
    <w:abstractNumId w:val="2"/>
  </w:num>
  <w:num w:numId="7" w16cid:durableId="325133308">
    <w:abstractNumId w:val="15"/>
  </w:num>
  <w:num w:numId="8" w16cid:durableId="1198813294">
    <w:abstractNumId w:val="34"/>
  </w:num>
  <w:num w:numId="9" w16cid:durableId="1367414582">
    <w:abstractNumId w:val="0"/>
  </w:num>
  <w:num w:numId="10" w16cid:durableId="19098759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44639139">
    <w:abstractNumId w:val="7"/>
  </w:num>
  <w:num w:numId="12" w16cid:durableId="2050570642">
    <w:abstractNumId w:val="9"/>
  </w:num>
  <w:num w:numId="13" w16cid:durableId="2146585214">
    <w:abstractNumId w:val="29"/>
  </w:num>
  <w:num w:numId="14" w16cid:durableId="902107113">
    <w:abstractNumId w:val="36"/>
  </w:num>
  <w:num w:numId="15" w16cid:durableId="1192263385">
    <w:abstractNumId w:val="17"/>
  </w:num>
  <w:num w:numId="16" w16cid:durableId="376202811">
    <w:abstractNumId w:val="13"/>
  </w:num>
  <w:num w:numId="17" w16cid:durableId="929701847">
    <w:abstractNumId w:val="6"/>
  </w:num>
  <w:num w:numId="18" w16cid:durableId="101926906">
    <w:abstractNumId w:val="1"/>
  </w:num>
  <w:num w:numId="19" w16cid:durableId="1307932466">
    <w:abstractNumId w:val="18"/>
  </w:num>
  <w:num w:numId="20" w16cid:durableId="601644970">
    <w:abstractNumId w:val="25"/>
  </w:num>
  <w:num w:numId="21" w16cid:durableId="1748378399">
    <w:abstractNumId w:val="33"/>
  </w:num>
  <w:num w:numId="22" w16cid:durableId="33700773">
    <w:abstractNumId w:val="24"/>
  </w:num>
  <w:num w:numId="23" w16cid:durableId="1291205326">
    <w:abstractNumId w:val="22"/>
  </w:num>
  <w:num w:numId="24" w16cid:durableId="406851790">
    <w:abstractNumId w:val="11"/>
  </w:num>
  <w:num w:numId="25" w16cid:durableId="389966382">
    <w:abstractNumId w:val="3"/>
  </w:num>
  <w:num w:numId="26" w16cid:durableId="1833331188">
    <w:abstractNumId w:val="27"/>
  </w:num>
  <w:num w:numId="27" w16cid:durableId="498231965">
    <w:abstractNumId w:val="26"/>
  </w:num>
  <w:num w:numId="28" w16cid:durableId="717775725">
    <w:abstractNumId w:val="5"/>
  </w:num>
  <w:num w:numId="29" w16cid:durableId="1625768951">
    <w:abstractNumId w:val="12"/>
  </w:num>
  <w:num w:numId="30" w16cid:durableId="667561218">
    <w:abstractNumId w:val="32"/>
  </w:num>
  <w:num w:numId="31" w16cid:durableId="1440685903">
    <w:abstractNumId w:val="23"/>
  </w:num>
  <w:num w:numId="32" w16cid:durableId="2052537244">
    <w:abstractNumId w:val="4"/>
  </w:num>
  <w:num w:numId="33" w16cid:durableId="27073189">
    <w:abstractNumId w:val="35"/>
  </w:num>
  <w:num w:numId="34" w16cid:durableId="1492596688">
    <w:abstractNumId w:val="14"/>
  </w:num>
  <w:num w:numId="35" w16cid:durableId="301813363">
    <w:abstractNumId w:val="30"/>
  </w:num>
  <w:num w:numId="36" w16cid:durableId="1109740659">
    <w:abstractNumId w:val="19"/>
  </w:num>
  <w:num w:numId="37" w16cid:durableId="4408399">
    <w:abstractNumId w:val="16"/>
  </w:num>
  <w:num w:numId="38" w16cid:durableId="2062822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D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8145F"/>
    <w:rsid w:val="004A13D6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A425D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2401AF98"/>
  <w15:docId w15:val="{0CFE7511-E8D0-4033-B5AE-161A4EE6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25D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8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3</cp:revision>
  <cp:lastPrinted>2016-09-14T15:20:00Z</cp:lastPrinted>
  <dcterms:created xsi:type="dcterms:W3CDTF">2024-11-26T14:53:00Z</dcterms:created>
  <dcterms:modified xsi:type="dcterms:W3CDTF">2024-11-26T19:28:00Z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