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8DDDC" w14:textId="77777777" w:rsidR="00DB3D91" w:rsidRPr="003D4510" w:rsidRDefault="00DB3D91" w:rsidP="00DB3D91">
      <w:pPr>
        <w:pBdr>
          <w:top w:val="nil"/>
          <w:left w:val="nil"/>
          <w:bottom w:val="nil"/>
          <w:right w:val="nil"/>
          <w:between w:val="nil"/>
        </w:pBdr>
        <w:rPr>
          <w:rFonts w:ascii="Calibri" w:eastAsia="Poppins" w:hAnsi="Calibri" w:cs="Calibri"/>
          <w:b/>
          <w:sz w:val="32"/>
          <w:szCs w:val="32"/>
        </w:rPr>
      </w:pPr>
      <w:r w:rsidRPr="003D4510">
        <w:rPr>
          <w:rFonts w:ascii="Calibri" w:eastAsia="Poppins" w:hAnsi="Calibri" w:cs="Calibri"/>
          <w:b/>
          <w:sz w:val="32"/>
          <w:szCs w:val="32"/>
        </w:rPr>
        <w:t xml:space="preserve">Security Health Plan partners with WellBe Senior Medical to offer </w:t>
      </w:r>
      <w:r w:rsidRPr="003D4510">
        <w:rPr>
          <w:rFonts w:ascii="Calibri" w:eastAsia="Poppins" w:hAnsi="Calibri" w:cs="Calibri"/>
          <w:b/>
          <w:sz w:val="32"/>
          <w:szCs w:val="32"/>
        </w:rPr>
        <w:br/>
        <w:t>in-home medical care to eligible Medicare Advantage members</w:t>
      </w:r>
    </w:p>
    <w:p w14:paraId="45440D46"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p>
    <w:p w14:paraId="5EBE13CA"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r w:rsidRPr="003D4510">
        <w:rPr>
          <w:rFonts w:ascii="Calibri" w:eastAsia="Poppins" w:hAnsi="Calibri" w:cs="Calibri"/>
          <w:sz w:val="24"/>
          <w:szCs w:val="24"/>
        </w:rPr>
        <w:t xml:space="preserve">Security Health Plan is partnering with WellBe Senior Medical, a leading provider of in-home medical care for seniors. Targeted to start in early 2025, this partnership will bring eligible Medicare Advantage members access to free in-home medical care, 24/7 access to a licensed provider, telemedicine and mental health services. </w:t>
      </w:r>
    </w:p>
    <w:p w14:paraId="3D0A12A9"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p>
    <w:p w14:paraId="467AB4E9" w14:textId="77777777" w:rsidR="00DB3D91" w:rsidRPr="003D4510" w:rsidRDefault="00DB3D91" w:rsidP="00DB3D91">
      <w:pPr>
        <w:rPr>
          <w:rFonts w:ascii="Calibri" w:eastAsia="Poppins" w:hAnsi="Calibri" w:cs="Calibri"/>
          <w:b/>
          <w:sz w:val="24"/>
          <w:szCs w:val="24"/>
        </w:rPr>
      </w:pPr>
      <w:r w:rsidRPr="003D4510">
        <w:rPr>
          <w:rFonts w:ascii="Calibri" w:eastAsia="Poppins" w:hAnsi="Calibri" w:cs="Calibri"/>
          <w:b/>
          <w:sz w:val="24"/>
          <w:szCs w:val="24"/>
        </w:rPr>
        <w:t>How WellBe can help you</w:t>
      </w:r>
    </w:p>
    <w:p w14:paraId="6C7B2E7A"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r w:rsidRPr="003D4510">
        <w:rPr>
          <w:rFonts w:ascii="Calibri" w:eastAsia="Poppins" w:hAnsi="Calibri" w:cs="Calibri"/>
          <w:sz w:val="24"/>
          <w:szCs w:val="24"/>
        </w:rPr>
        <w:t>As an in-network provider, WellBe will collaborate with you to ensure your patients are covered, even when your office is closed. WellBe offers around-the-clock support for eligible Security Health Plan members, including a 24/7 provider hotline and telemedicine options. The WellBe care team can provide notes and updates to ensure a coordinated patient care approach. As a provider, you will have access to a dedicated provider concierge hotline to support your patient’s care plan.</w:t>
      </w:r>
    </w:p>
    <w:p w14:paraId="4CB2E45F"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p>
    <w:p w14:paraId="05EFF9A4" w14:textId="77777777" w:rsidR="00DB3D91" w:rsidRPr="003D4510" w:rsidRDefault="00DB3D91" w:rsidP="00DB3D91">
      <w:pPr>
        <w:pBdr>
          <w:top w:val="nil"/>
          <w:left w:val="nil"/>
          <w:bottom w:val="nil"/>
          <w:right w:val="nil"/>
          <w:between w:val="nil"/>
        </w:pBdr>
        <w:rPr>
          <w:rFonts w:ascii="Calibri" w:eastAsia="Poppins" w:hAnsi="Calibri" w:cs="Calibri"/>
          <w:b/>
          <w:sz w:val="24"/>
          <w:szCs w:val="24"/>
        </w:rPr>
      </w:pPr>
      <w:r w:rsidRPr="003D4510">
        <w:rPr>
          <w:rFonts w:ascii="Calibri" w:eastAsia="Poppins" w:hAnsi="Calibri" w:cs="Calibri"/>
          <w:b/>
          <w:sz w:val="24"/>
          <w:szCs w:val="24"/>
        </w:rPr>
        <w:t>How WellBe can help your patients</w:t>
      </w:r>
    </w:p>
    <w:p w14:paraId="6248B5FC" w14:textId="23D3AFA7" w:rsidR="00DB3D91" w:rsidRPr="003D4510" w:rsidRDefault="00DB3D91" w:rsidP="00DB3D91">
      <w:pPr>
        <w:pBdr>
          <w:top w:val="nil"/>
          <w:left w:val="nil"/>
          <w:bottom w:val="nil"/>
          <w:right w:val="nil"/>
          <w:between w:val="nil"/>
        </w:pBdr>
        <w:rPr>
          <w:rFonts w:ascii="Calibri" w:eastAsia="Poppins" w:hAnsi="Calibri" w:cs="Calibri"/>
          <w:sz w:val="24"/>
          <w:szCs w:val="24"/>
        </w:rPr>
      </w:pPr>
      <w:r w:rsidRPr="003D4510">
        <w:rPr>
          <w:rFonts w:ascii="Calibri" w:eastAsia="Poppins" w:hAnsi="Calibri" w:cs="Calibri"/>
          <w:sz w:val="24"/>
          <w:szCs w:val="24"/>
        </w:rPr>
        <w:t xml:space="preserve">WellBe’s presence in the home has proven to help prevent unnecessary hospitalizations for patients, and WellBe’s transition of care support helps to ensure hospitalized patients are less likely to require readmission. WellBe also provides eligible patients access to behavioral health, benefits navigation and advance directive planning. </w:t>
      </w:r>
    </w:p>
    <w:p w14:paraId="1A7A613C"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p>
    <w:p w14:paraId="63F108B8" w14:textId="77777777" w:rsidR="00DB3D91" w:rsidRPr="003D4510" w:rsidRDefault="00DB3D91" w:rsidP="00DB3D91">
      <w:pPr>
        <w:pBdr>
          <w:top w:val="nil"/>
          <w:left w:val="nil"/>
          <w:bottom w:val="nil"/>
          <w:right w:val="nil"/>
          <w:between w:val="nil"/>
        </w:pBdr>
        <w:rPr>
          <w:rFonts w:ascii="Calibri" w:eastAsia="Poppins" w:hAnsi="Calibri" w:cs="Calibri"/>
          <w:sz w:val="24"/>
          <w:szCs w:val="24"/>
        </w:rPr>
      </w:pPr>
      <w:r w:rsidRPr="003D4510">
        <w:rPr>
          <w:rFonts w:ascii="Calibri" w:eastAsia="Poppins" w:hAnsi="Calibri" w:cs="Calibri"/>
          <w:sz w:val="24"/>
          <w:szCs w:val="24"/>
        </w:rPr>
        <w:t xml:space="preserve">If you have questions or would like to make a patient referral, please contact WellBe at </w:t>
      </w:r>
      <w:hyperlink r:id="rId9">
        <w:r w:rsidRPr="003D4510">
          <w:rPr>
            <w:rFonts w:ascii="Calibri" w:eastAsia="Poppins" w:hAnsi="Calibri" w:cs="Calibri"/>
            <w:color w:val="1155CC"/>
            <w:sz w:val="24"/>
            <w:szCs w:val="24"/>
            <w:u w:val="single"/>
          </w:rPr>
          <w:t>network@wellbe.com</w:t>
        </w:r>
      </w:hyperlink>
      <w:r w:rsidRPr="003D4510">
        <w:rPr>
          <w:rFonts w:ascii="Calibri" w:eastAsia="Poppins" w:hAnsi="Calibri" w:cs="Calibri"/>
          <w:sz w:val="24"/>
          <w:szCs w:val="24"/>
        </w:rPr>
        <w:t xml:space="preserve"> or (855) 305-4608.</w:t>
      </w:r>
    </w:p>
    <w:p w14:paraId="566DC76F" w14:textId="77777777" w:rsidR="00556C71" w:rsidRPr="00812414" w:rsidRDefault="00556C71" w:rsidP="00361A0A"/>
    <w:sectPr w:rsidR="00556C71" w:rsidRPr="00812414"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FAAD3" w14:textId="77777777" w:rsidR="00DB3D91" w:rsidRDefault="00DB3D91" w:rsidP="00EA2AFA">
      <w:r>
        <w:separator/>
      </w:r>
    </w:p>
  </w:endnote>
  <w:endnote w:type="continuationSeparator" w:id="0">
    <w:p w14:paraId="4D03B2D2" w14:textId="77777777" w:rsidR="00DB3D91" w:rsidRDefault="00DB3D91"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630B"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5744DD4B" wp14:editId="07EA69AE">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29605"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8E223" w14:textId="77777777" w:rsidR="00DB3D91" w:rsidRDefault="00DB3D91" w:rsidP="00EA2AFA">
      <w:r>
        <w:separator/>
      </w:r>
    </w:p>
  </w:footnote>
  <w:footnote w:type="continuationSeparator" w:id="0">
    <w:p w14:paraId="659DD77D" w14:textId="77777777" w:rsidR="00DB3D91" w:rsidRDefault="00DB3D91"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0444"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53C14365" wp14:editId="38436F41">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9D752"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02A15F00" w14:textId="77777777" w:rsidR="00EA2AFA" w:rsidRDefault="00D84F0A">
    <w:pPr>
      <w:pStyle w:val="Header"/>
    </w:pPr>
    <w:r>
      <w:rPr>
        <w:noProof/>
      </w:rPr>
      <w:drawing>
        <wp:anchor distT="0" distB="0" distL="114300" distR="114300" simplePos="0" relativeHeight="251660288" behindDoc="0" locked="0" layoutInCell="1" allowOverlap="1" wp14:anchorId="0E0FEA3B" wp14:editId="13999634">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06240849" wp14:editId="2F5E7F42">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99A2A"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0548498">
    <w:abstractNumId w:val="14"/>
  </w:num>
  <w:num w:numId="2" w16cid:durableId="747385832">
    <w:abstractNumId w:val="13"/>
  </w:num>
  <w:num w:numId="3" w16cid:durableId="1964844111">
    <w:abstractNumId w:val="7"/>
  </w:num>
  <w:num w:numId="4" w16cid:durableId="1716004509">
    <w:abstractNumId w:val="21"/>
  </w:num>
  <w:num w:numId="5" w16cid:durableId="1377704470">
    <w:abstractNumId w:val="19"/>
  </w:num>
  <w:num w:numId="6" w16cid:durableId="212549451">
    <w:abstractNumId w:val="2"/>
  </w:num>
  <w:num w:numId="7" w16cid:durableId="325133308">
    <w:abstractNumId w:val="10"/>
  </w:num>
  <w:num w:numId="8" w16cid:durableId="1198813294">
    <w:abstractNumId w:val="23"/>
  </w:num>
  <w:num w:numId="9" w16cid:durableId="1367414582">
    <w:abstractNumId w:val="0"/>
  </w:num>
  <w:num w:numId="10" w16cid:durableId="1909875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639139">
    <w:abstractNumId w:val="5"/>
  </w:num>
  <w:num w:numId="12" w16cid:durableId="2050570642">
    <w:abstractNumId w:val="6"/>
  </w:num>
  <w:num w:numId="13" w16cid:durableId="2146585214">
    <w:abstractNumId w:val="20"/>
  </w:num>
  <w:num w:numId="14" w16cid:durableId="902107113">
    <w:abstractNumId w:val="24"/>
  </w:num>
  <w:num w:numId="15" w16cid:durableId="1192263385">
    <w:abstractNumId w:val="11"/>
  </w:num>
  <w:num w:numId="16" w16cid:durableId="376202811">
    <w:abstractNumId w:val="9"/>
  </w:num>
  <w:num w:numId="17" w16cid:durableId="929701847">
    <w:abstractNumId w:val="4"/>
  </w:num>
  <w:num w:numId="18" w16cid:durableId="101926906">
    <w:abstractNumId w:val="1"/>
  </w:num>
  <w:num w:numId="19" w16cid:durableId="1307932466">
    <w:abstractNumId w:val="12"/>
  </w:num>
  <w:num w:numId="20" w16cid:durableId="601644970">
    <w:abstractNumId w:val="18"/>
  </w:num>
  <w:num w:numId="21" w16cid:durableId="1748378399">
    <w:abstractNumId w:val="22"/>
  </w:num>
  <w:num w:numId="22" w16cid:durableId="33700773">
    <w:abstractNumId w:val="17"/>
  </w:num>
  <w:num w:numId="23" w16cid:durableId="1291205326">
    <w:abstractNumId w:val="15"/>
  </w:num>
  <w:num w:numId="24" w16cid:durableId="406851790">
    <w:abstractNumId w:val="8"/>
  </w:num>
  <w:num w:numId="25" w16cid:durableId="389966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91"/>
    <w:rsid w:val="0000112E"/>
    <w:rsid w:val="00035422"/>
    <w:rsid w:val="00047337"/>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171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8245A"/>
    <w:rsid w:val="00D83E6C"/>
    <w:rsid w:val="00D84F0A"/>
    <w:rsid w:val="00D966A1"/>
    <w:rsid w:val="00DA5C44"/>
    <w:rsid w:val="00DA7519"/>
    <w:rsid w:val="00DB3D91"/>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57692E27"/>
  <w15:docId w15:val="{8A777855-7652-4BE4-AE77-04E08388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D91"/>
    <w:pPr>
      <w:spacing w:line="276" w:lineRule="auto"/>
    </w:pPr>
    <w:rPr>
      <w:rFonts w:ascii="Arial" w:eastAsia="Arial" w:hAnsi="Arial" w:cs="Arial"/>
      <w:sz w:val="22"/>
      <w:szCs w:val="22"/>
      <w:lang w:val="en"/>
    </w:rPr>
  </w:style>
  <w:style w:type="paragraph" w:styleId="Heading2">
    <w:name w:val="heading 2"/>
    <w:basedOn w:val="Normal"/>
    <w:next w:val="Normal"/>
    <w:link w:val="Heading2Char"/>
    <w:uiPriority w:val="9"/>
    <w:unhideWhenUsed/>
    <w:qFormat/>
    <w:rsid w:val="001149B1"/>
    <w:pPr>
      <w:keepNext/>
      <w:keepLines/>
      <w:spacing w:before="200" w:line="240" w:lineRule="auto"/>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pPr>
      <w:spacing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pPr>
      <w:spacing w:line="240" w:lineRule="auto"/>
    </w:pPr>
    <w:rPr>
      <w:rFonts w:asciiTheme="majorHAnsi" w:eastAsia="Times New Roman" w:hAnsiTheme="majorHAnsi" w:cs="Times New Roman"/>
      <w:b/>
      <w:color w:val="FFFFFF" w:themeColor="background1"/>
      <w:sz w:val="62"/>
      <w:szCs w:val="24"/>
      <w:lang w:val="en-US"/>
    </w:rPr>
  </w:style>
  <w:style w:type="paragraph" w:customStyle="1" w:styleId="NewsletterSubhead">
    <w:name w:val="Newsletter Subhead"/>
    <w:basedOn w:val="Normal"/>
    <w:qFormat/>
    <w:rsid w:val="001149B1"/>
    <w:pPr>
      <w:spacing w:line="240" w:lineRule="auto"/>
    </w:pPr>
    <w:rPr>
      <w:rFonts w:ascii="Times New Roman" w:eastAsia="Times New Roman" w:hAnsi="Times New Roman" w:cs="Times New Roman"/>
      <w:color w:val="FFFFFF" w:themeColor="background1"/>
      <w:sz w:val="26"/>
      <w:szCs w:val="24"/>
      <w:lang w:val="en-US"/>
    </w:rPr>
  </w:style>
  <w:style w:type="paragraph" w:customStyle="1" w:styleId="NewsletterHeadline">
    <w:name w:val="Newsletter Headline"/>
    <w:basedOn w:val="Normal"/>
    <w:qFormat/>
    <w:rsid w:val="00760E4B"/>
    <w:pPr>
      <w:spacing w:line="240" w:lineRule="auto"/>
    </w:pPr>
    <w:rPr>
      <w:rFonts w:asciiTheme="majorHAnsi" w:eastAsia="Times New Roman" w:hAnsiTheme="majorHAnsi" w:cs="Times New Roman"/>
      <w:b/>
      <w:sz w:val="32"/>
      <w:szCs w:val="24"/>
      <w:lang w:val="en-US"/>
    </w:rPr>
  </w:style>
  <w:style w:type="paragraph" w:customStyle="1" w:styleId="NewsletterBody">
    <w:name w:val="Newsletter Body"/>
    <w:basedOn w:val="Normal"/>
    <w:qFormat/>
    <w:rsid w:val="00F7274D"/>
    <w:pPr>
      <w:spacing w:after="200" w:line="240" w:lineRule="auto"/>
      <w:jc w:val="both"/>
    </w:pPr>
    <w:rPr>
      <w:rFonts w:ascii="Times New Roman" w:eastAsia="Times New Roman" w:hAnsi="Times New Roman" w:cs="Times New Roman"/>
      <w:color w:val="000000"/>
      <w:szCs w:val="24"/>
      <w:lang w:val="en-US"/>
    </w:rPr>
  </w:style>
  <w:style w:type="paragraph" w:customStyle="1" w:styleId="WhiteText">
    <w:name w:val="White Text"/>
    <w:basedOn w:val="Normal"/>
    <w:qFormat/>
    <w:rsid w:val="00D014E1"/>
    <w:pPr>
      <w:spacing w:line="240" w:lineRule="auto"/>
    </w:pPr>
    <w:rPr>
      <w:rFonts w:ascii="Times New Roman" w:eastAsia="Times New Roman" w:hAnsi="Times New Roman" w:cs="Times New Roman"/>
      <w:color w:val="FFFFFF" w:themeColor="background1"/>
      <w:sz w:val="20"/>
      <w:szCs w:val="24"/>
      <w:lang w:val="en-US"/>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spacing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spacing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line="240" w:lineRule="auto"/>
    </w:pPr>
    <w:rPr>
      <w:rFonts w:ascii="Times New Roman" w:eastAsiaTheme="minorHAnsi" w:hAnsi="Times New Roman" w:cs="Times New Roman"/>
      <w:sz w:val="24"/>
      <w:szCs w:val="24"/>
      <w:lang w:val="en-US"/>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spacing w:line="240" w:lineRule="auto"/>
      <w:ind w:left="720"/>
      <w:contextualSpacing/>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eastAsia="Times New Roman"/>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pPr>
      <w:spacing w:line="240" w:lineRule="auto"/>
    </w:pPr>
    <w:rPr>
      <w:rFonts w:ascii="Calibri" w:eastAsiaTheme="minorHAnsi" w:hAnsi="Calibri" w:cs="Times New Roman"/>
      <w:sz w:val="20"/>
      <w:szCs w:val="20"/>
      <w:lang w:val="en-US"/>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styleId="Revision">
    <w:name w:val="Revision"/>
    <w:hidden/>
    <w:uiPriority w:val="99"/>
    <w:semiHidden/>
    <w:rsid w:val="00047337"/>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etwork@wellb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1</TotalTime>
  <Pages>1</Pages>
  <Words>226</Words>
  <Characters>1290</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2</cp:revision>
  <cp:lastPrinted>2016-09-14T15:20:00Z</cp:lastPrinted>
  <dcterms:created xsi:type="dcterms:W3CDTF">2024-11-26T21:36:00Z</dcterms:created>
  <dcterms:modified xsi:type="dcterms:W3CDTF">2024-11-26T21:36:00Z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