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C6B3D" w14:textId="58FEEB45" w:rsidR="00EC2970" w:rsidRPr="00EC2970" w:rsidRDefault="00EC2970" w:rsidP="00EC2970">
      <w:pPr>
        <w:rPr>
          <w:b/>
          <w:bCs/>
          <w:sz w:val="32"/>
          <w:szCs w:val="32"/>
        </w:rPr>
      </w:pPr>
      <w:r w:rsidRPr="00EC2970">
        <w:rPr>
          <w:b/>
          <w:bCs/>
          <w:sz w:val="32"/>
          <w:szCs w:val="32"/>
        </w:rPr>
        <w:t xml:space="preserve">Skin </w:t>
      </w:r>
      <w:r w:rsidRPr="00EC2970">
        <w:rPr>
          <w:b/>
          <w:bCs/>
          <w:sz w:val="32"/>
          <w:szCs w:val="32"/>
        </w:rPr>
        <w:t>s</w:t>
      </w:r>
      <w:r w:rsidRPr="00EC2970">
        <w:rPr>
          <w:b/>
          <w:bCs/>
          <w:sz w:val="32"/>
          <w:szCs w:val="32"/>
        </w:rPr>
        <w:t xml:space="preserve">ubstitute </w:t>
      </w:r>
      <w:r w:rsidRPr="00EC2970">
        <w:rPr>
          <w:b/>
          <w:bCs/>
          <w:sz w:val="32"/>
          <w:szCs w:val="32"/>
        </w:rPr>
        <w:t>c</w:t>
      </w:r>
      <w:r w:rsidRPr="00EC2970">
        <w:rPr>
          <w:b/>
          <w:bCs/>
          <w:sz w:val="32"/>
          <w:szCs w:val="32"/>
        </w:rPr>
        <w:t>hanges</w:t>
      </w:r>
    </w:p>
    <w:p w14:paraId="57BEDC93" w14:textId="77777777" w:rsidR="00EC2970" w:rsidRPr="00EC2970" w:rsidRDefault="00EC2970" w:rsidP="00EC2970">
      <w:pPr>
        <w:rPr>
          <w:sz w:val="24"/>
          <w:szCs w:val="24"/>
        </w:rPr>
      </w:pPr>
    </w:p>
    <w:p w14:paraId="7BEAEC35" w14:textId="1EDB2248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Effective Oct.1, 2024 the Skin Substitute, Chemical Peels, Dermabrasions, and other Skin Procedures Medical Policy had several changes. </w:t>
      </w:r>
    </w:p>
    <w:p w14:paraId="7E74A091" w14:textId="77777777" w:rsidR="00EC2970" w:rsidRPr="00EC2970" w:rsidRDefault="00EC2970" w:rsidP="00EC2970">
      <w:pPr>
        <w:rPr>
          <w:sz w:val="24"/>
          <w:szCs w:val="24"/>
        </w:rPr>
      </w:pPr>
    </w:p>
    <w:p w14:paraId="5B40C97E" w14:textId="77777777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First, the prior authorization was removed from the policy effective Oct. 1, 2024. </w:t>
      </w:r>
    </w:p>
    <w:p w14:paraId="5F7ED97D" w14:textId="77777777" w:rsidR="00EC2970" w:rsidRPr="00EC2970" w:rsidRDefault="00EC2970" w:rsidP="00EC2970">
      <w:pPr>
        <w:rPr>
          <w:sz w:val="24"/>
          <w:szCs w:val="24"/>
        </w:rPr>
      </w:pPr>
    </w:p>
    <w:p w14:paraId="206A6DC6" w14:textId="6309EA14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Second, Security Health Plan will only cover the following skin substitutes for </w:t>
      </w:r>
      <w:r w:rsidRPr="00EC2970">
        <w:rPr>
          <w:sz w:val="24"/>
          <w:szCs w:val="24"/>
        </w:rPr>
        <w:t>c</w:t>
      </w:r>
      <w:r w:rsidRPr="00EC2970">
        <w:rPr>
          <w:sz w:val="24"/>
          <w:szCs w:val="24"/>
        </w:rPr>
        <w:t xml:space="preserve">ommercial, </w:t>
      </w:r>
      <w:r w:rsidRPr="00EC2970">
        <w:rPr>
          <w:sz w:val="24"/>
          <w:szCs w:val="24"/>
        </w:rPr>
        <w:t>i</w:t>
      </w:r>
      <w:r w:rsidRPr="00EC2970">
        <w:rPr>
          <w:sz w:val="24"/>
          <w:szCs w:val="24"/>
        </w:rPr>
        <w:t xml:space="preserve">ndividual and </w:t>
      </w:r>
      <w:r w:rsidRPr="00EC2970">
        <w:rPr>
          <w:sz w:val="24"/>
          <w:szCs w:val="24"/>
        </w:rPr>
        <w:t>f</w:t>
      </w:r>
      <w:r w:rsidRPr="00EC2970">
        <w:rPr>
          <w:sz w:val="24"/>
          <w:szCs w:val="24"/>
        </w:rPr>
        <w:t>amily</w:t>
      </w:r>
      <w:r w:rsidRPr="00EC2970">
        <w:rPr>
          <w:sz w:val="24"/>
          <w:szCs w:val="24"/>
        </w:rPr>
        <w:t>,</w:t>
      </w:r>
      <w:r w:rsidRPr="00EC2970">
        <w:rPr>
          <w:sz w:val="24"/>
          <w:szCs w:val="24"/>
        </w:rPr>
        <w:t xml:space="preserve"> and </w:t>
      </w:r>
      <w:r w:rsidRPr="00EC2970">
        <w:rPr>
          <w:sz w:val="24"/>
          <w:szCs w:val="24"/>
        </w:rPr>
        <w:t>S</w:t>
      </w:r>
      <w:r w:rsidRPr="00EC2970">
        <w:rPr>
          <w:sz w:val="24"/>
          <w:szCs w:val="24"/>
        </w:rPr>
        <w:t xml:space="preserve">ecurity Administrative Services plans: </w:t>
      </w:r>
    </w:p>
    <w:p w14:paraId="2E0204D8" w14:textId="0E65F0B0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Alloderm</w:t>
      </w:r>
      <w:proofErr w:type="spellEnd"/>
    </w:p>
    <w:p w14:paraId="1E80A9FD" w14:textId="77CF473B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Apligraft</w:t>
      </w:r>
      <w:proofErr w:type="spellEnd"/>
    </w:p>
    <w:p w14:paraId="49060861" w14:textId="65ECA495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Dermagraft</w:t>
      </w:r>
      <w:proofErr w:type="spellEnd"/>
    </w:p>
    <w:p w14:paraId="1FA9FCDA" w14:textId="77777777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Epicord</w:t>
      </w:r>
      <w:proofErr w:type="spellEnd"/>
    </w:p>
    <w:p w14:paraId="482D9ADB" w14:textId="2A8DDED3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Epifix</w:t>
      </w:r>
      <w:proofErr w:type="spellEnd"/>
    </w:p>
    <w:p w14:paraId="189AAFC2" w14:textId="44BD58DF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Grafix</w:t>
      </w:r>
      <w:proofErr w:type="spellEnd"/>
      <w:r w:rsidRPr="00EC2970">
        <w:rPr>
          <w:rFonts w:ascii="Calibri" w:hAnsi="Calibri"/>
        </w:rPr>
        <w:t xml:space="preserve"> Core</w:t>
      </w:r>
    </w:p>
    <w:p w14:paraId="0155640C" w14:textId="2F0747DE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proofErr w:type="spellStart"/>
      <w:r w:rsidRPr="00EC2970">
        <w:rPr>
          <w:rFonts w:ascii="Calibri" w:hAnsi="Calibri"/>
        </w:rPr>
        <w:t>Grafix</w:t>
      </w:r>
      <w:proofErr w:type="spellEnd"/>
      <w:r w:rsidRPr="00EC2970">
        <w:rPr>
          <w:rFonts w:ascii="Calibri" w:hAnsi="Calibri"/>
        </w:rPr>
        <w:t xml:space="preserve"> Prime</w:t>
      </w:r>
    </w:p>
    <w:p w14:paraId="43EBC72C" w14:textId="77777777" w:rsidR="00EC2970" w:rsidRPr="00EC2970" w:rsidRDefault="00EC2970" w:rsidP="00EC2970">
      <w:pPr>
        <w:pStyle w:val="ListParagraph"/>
        <w:rPr>
          <w:rFonts w:ascii="Calibri" w:hAnsi="Calibri"/>
        </w:rPr>
      </w:pPr>
    </w:p>
    <w:p w14:paraId="4744C045" w14:textId="4E28A248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Third, covered substitutes identified in the policy will have limitations of 10 applications over 12 weeks per wound, regardless of </w:t>
      </w:r>
      <w:r>
        <w:rPr>
          <w:sz w:val="24"/>
          <w:szCs w:val="24"/>
        </w:rPr>
        <w:t>whether</w:t>
      </w:r>
      <w:r w:rsidRPr="00EC2970">
        <w:rPr>
          <w:sz w:val="24"/>
          <w:szCs w:val="24"/>
        </w:rPr>
        <w:t xml:space="preserve"> the skin substitutes used are all the same or a combination of skin substitutes. These limitations would not apply for members with a breast cancer or burn diagnosis.</w:t>
      </w:r>
    </w:p>
    <w:p w14:paraId="339101D7" w14:textId="77777777" w:rsidR="00EC2970" w:rsidRPr="00EC2970" w:rsidRDefault="00EC2970" w:rsidP="00EC2970">
      <w:pPr>
        <w:rPr>
          <w:sz w:val="24"/>
          <w:szCs w:val="24"/>
        </w:rPr>
      </w:pPr>
    </w:p>
    <w:p w14:paraId="5D0068B9" w14:textId="2E299959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In addition to the skin substitutes listed above, </w:t>
      </w:r>
      <w:r>
        <w:rPr>
          <w:sz w:val="24"/>
          <w:szCs w:val="24"/>
        </w:rPr>
        <w:t>Security Health Plan</w:t>
      </w:r>
      <w:r w:rsidRPr="00EC2970">
        <w:rPr>
          <w:sz w:val="24"/>
          <w:szCs w:val="24"/>
        </w:rPr>
        <w:t xml:space="preserve"> add</w:t>
      </w:r>
      <w:r>
        <w:rPr>
          <w:sz w:val="24"/>
          <w:szCs w:val="24"/>
        </w:rPr>
        <w:t>ed</w:t>
      </w:r>
      <w:r w:rsidRPr="00EC2970">
        <w:rPr>
          <w:sz w:val="24"/>
          <w:szCs w:val="24"/>
        </w:rPr>
        <w:t xml:space="preserve"> the following skin substitutes effective Jan</w:t>
      </w:r>
      <w:r>
        <w:rPr>
          <w:sz w:val="24"/>
          <w:szCs w:val="24"/>
        </w:rPr>
        <w:t>.</w:t>
      </w:r>
      <w:r w:rsidRPr="00EC2970">
        <w:rPr>
          <w:sz w:val="24"/>
          <w:szCs w:val="24"/>
        </w:rPr>
        <w:t xml:space="preserve"> 1, 2025: </w:t>
      </w:r>
    </w:p>
    <w:p w14:paraId="73BE7651" w14:textId="0CECB97C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EC2970">
        <w:rPr>
          <w:rFonts w:ascii="Calibri" w:hAnsi="Calibri"/>
        </w:rPr>
        <w:t>Integra bilayer</w:t>
      </w:r>
    </w:p>
    <w:p w14:paraId="6CCDFDF4" w14:textId="77777777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EC2970">
        <w:rPr>
          <w:rFonts w:ascii="Calibri" w:hAnsi="Calibri"/>
        </w:rPr>
        <w:t xml:space="preserve">Integra </w:t>
      </w:r>
      <w:proofErr w:type="spellStart"/>
      <w:r w:rsidRPr="00EC2970">
        <w:rPr>
          <w:rFonts w:ascii="Calibri" w:hAnsi="Calibri"/>
        </w:rPr>
        <w:t>omnigraft</w:t>
      </w:r>
      <w:proofErr w:type="spellEnd"/>
    </w:p>
    <w:p w14:paraId="359475A6" w14:textId="77777777" w:rsidR="00EC2970" w:rsidRPr="00EC2970" w:rsidRDefault="00EC2970" w:rsidP="00EC2970">
      <w:pPr>
        <w:pStyle w:val="ListParagraph"/>
        <w:numPr>
          <w:ilvl w:val="0"/>
          <w:numId w:val="26"/>
        </w:numPr>
        <w:contextualSpacing w:val="0"/>
        <w:rPr>
          <w:rFonts w:ascii="Calibri" w:hAnsi="Calibri"/>
        </w:rPr>
      </w:pPr>
      <w:r w:rsidRPr="00EC2970">
        <w:rPr>
          <w:rFonts w:ascii="Calibri" w:hAnsi="Calibri"/>
        </w:rPr>
        <w:t>Integra flowable</w:t>
      </w:r>
    </w:p>
    <w:p w14:paraId="1B722C76" w14:textId="77777777" w:rsidR="00EC2970" w:rsidRPr="00EC2970" w:rsidRDefault="00EC2970" w:rsidP="00EC2970">
      <w:pPr>
        <w:rPr>
          <w:sz w:val="24"/>
          <w:szCs w:val="24"/>
        </w:rPr>
      </w:pPr>
    </w:p>
    <w:p w14:paraId="06206577" w14:textId="51A941A6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These skin substitutes </w:t>
      </w:r>
      <w:r>
        <w:rPr>
          <w:sz w:val="24"/>
          <w:szCs w:val="24"/>
        </w:rPr>
        <w:t xml:space="preserve">are </w:t>
      </w:r>
      <w:r w:rsidRPr="00EC2970">
        <w:rPr>
          <w:sz w:val="24"/>
          <w:szCs w:val="24"/>
        </w:rPr>
        <w:t>also limited to 10 applications over 12 weeks per wound.</w:t>
      </w:r>
    </w:p>
    <w:p w14:paraId="23E13B5B" w14:textId="77777777" w:rsidR="00EC2970" w:rsidRPr="00EC2970" w:rsidRDefault="00EC2970" w:rsidP="00EC2970">
      <w:pPr>
        <w:rPr>
          <w:sz w:val="24"/>
          <w:szCs w:val="24"/>
        </w:rPr>
      </w:pPr>
    </w:p>
    <w:p w14:paraId="12AEE395" w14:textId="77777777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All other skin substitutes will be denied as not medically necessary. </w:t>
      </w:r>
    </w:p>
    <w:p w14:paraId="5A5D9695" w14:textId="77777777" w:rsidR="00EC2970" w:rsidRPr="00EC2970" w:rsidRDefault="00EC2970" w:rsidP="00EC2970">
      <w:pPr>
        <w:rPr>
          <w:sz w:val="24"/>
          <w:szCs w:val="24"/>
        </w:rPr>
      </w:pPr>
    </w:p>
    <w:p w14:paraId="5366A898" w14:textId="65486561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>For Medicaid members, Security Health Plan follow</w:t>
      </w:r>
      <w:r>
        <w:rPr>
          <w:sz w:val="24"/>
          <w:szCs w:val="24"/>
        </w:rPr>
        <w:t>s</w:t>
      </w:r>
      <w:r w:rsidRPr="00EC2970">
        <w:rPr>
          <w:sz w:val="24"/>
          <w:szCs w:val="24"/>
        </w:rPr>
        <w:t xml:space="preserve"> </w:t>
      </w:r>
      <w:proofErr w:type="spellStart"/>
      <w:r w:rsidRPr="00EC2970">
        <w:rPr>
          <w:sz w:val="24"/>
          <w:szCs w:val="24"/>
        </w:rPr>
        <w:t>ForwardHealth</w:t>
      </w:r>
      <w:proofErr w:type="spellEnd"/>
      <w:r w:rsidRPr="00EC2970">
        <w:rPr>
          <w:sz w:val="24"/>
          <w:szCs w:val="24"/>
        </w:rPr>
        <w:t xml:space="preserve"> guidelines.</w:t>
      </w:r>
    </w:p>
    <w:p w14:paraId="245EC096" w14:textId="77777777" w:rsidR="00EC2970" w:rsidRPr="00EC2970" w:rsidRDefault="00EC2970" w:rsidP="00EC2970">
      <w:pPr>
        <w:rPr>
          <w:sz w:val="24"/>
          <w:szCs w:val="24"/>
        </w:rPr>
      </w:pPr>
    </w:p>
    <w:p w14:paraId="620F0D83" w14:textId="7BCC42D9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t xml:space="preserve">Beginning March 1, 2025, for Medicare Advantage members, </w:t>
      </w:r>
      <w:r>
        <w:rPr>
          <w:sz w:val="24"/>
          <w:szCs w:val="24"/>
        </w:rPr>
        <w:t>Security Health Plan</w:t>
      </w:r>
      <w:r w:rsidRPr="00EC2970">
        <w:rPr>
          <w:sz w:val="24"/>
          <w:szCs w:val="24"/>
        </w:rPr>
        <w:t xml:space="preserve"> will cover Medicare</w:t>
      </w:r>
      <w:r>
        <w:rPr>
          <w:sz w:val="24"/>
          <w:szCs w:val="24"/>
        </w:rPr>
        <w:t>-</w:t>
      </w:r>
      <w:r w:rsidRPr="00EC2970">
        <w:rPr>
          <w:sz w:val="24"/>
          <w:szCs w:val="24"/>
        </w:rPr>
        <w:t xml:space="preserve">approved skin substitutes. Security Health Plan will cover 10 applications over 12 weeks per wound, regardless of </w:t>
      </w:r>
      <w:r>
        <w:rPr>
          <w:sz w:val="24"/>
          <w:szCs w:val="24"/>
        </w:rPr>
        <w:t>whether</w:t>
      </w:r>
      <w:r w:rsidRPr="00EC2970">
        <w:rPr>
          <w:sz w:val="24"/>
          <w:szCs w:val="24"/>
        </w:rPr>
        <w:t xml:space="preserve"> the skin substitutes used are all the same or a combination of skin substitutes. These limitations will not apply for members with a breast cancer or burn diagnosis.</w:t>
      </w:r>
    </w:p>
    <w:p w14:paraId="76863E51" w14:textId="77777777" w:rsidR="00EC2970" w:rsidRPr="00EC2970" w:rsidRDefault="00EC2970" w:rsidP="00EC2970">
      <w:pPr>
        <w:rPr>
          <w:sz w:val="24"/>
          <w:szCs w:val="24"/>
        </w:rPr>
      </w:pPr>
    </w:p>
    <w:p w14:paraId="1711A091" w14:textId="557194F4" w:rsidR="00EC2970" w:rsidRPr="00EC2970" w:rsidRDefault="00EC2970" w:rsidP="00EC2970">
      <w:pPr>
        <w:rPr>
          <w:sz w:val="24"/>
          <w:szCs w:val="24"/>
        </w:rPr>
      </w:pPr>
      <w:r w:rsidRPr="00EC2970">
        <w:rPr>
          <w:sz w:val="24"/>
          <w:szCs w:val="24"/>
        </w:rPr>
        <w:lastRenderedPageBreak/>
        <w:t xml:space="preserve">The complete policy is available </w:t>
      </w:r>
      <w:r>
        <w:rPr>
          <w:sz w:val="24"/>
          <w:szCs w:val="24"/>
        </w:rPr>
        <w:t xml:space="preserve">at </w:t>
      </w:r>
      <w:hyperlink r:id="rId9" w:history="1">
        <w:r w:rsidRPr="00EC2970">
          <w:rPr>
            <w:rStyle w:val="Hyperlink"/>
            <w:sz w:val="24"/>
            <w:szCs w:val="24"/>
          </w:rPr>
          <w:t>M</w:t>
        </w:r>
        <w:r w:rsidRPr="00EC2970">
          <w:rPr>
            <w:rStyle w:val="Hyperlink"/>
            <w:sz w:val="24"/>
            <w:szCs w:val="24"/>
          </w:rPr>
          <w:t>e</w:t>
        </w:r>
        <w:r w:rsidRPr="00EC2970">
          <w:rPr>
            <w:rStyle w:val="Hyperlink"/>
            <w:sz w:val="24"/>
            <w:szCs w:val="24"/>
          </w:rPr>
          <w:t>dical Policies | Security Health Plan</w:t>
        </w:r>
      </w:hyperlink>
      <w:r w:rsidRPr="00EC2970">
        <w:rPr>
          <w:sz w:val="24"/>
          <w:szCs w:val="24"/>
        </w:rPr>
        <w:t xml:space="preserve">. </w:t>
      </w:r>
    </w:p>
    <w:p w14:paraId="1A4986F6" w14:textId="77777777" w:rsidR="00EC2970" w:rsidRPr="00EC2970" w:rsidRDefault="00EC2970" w:rsidP="00EC2970">
      <w:pPr>
        <w:rPr>
          <w:sz w:val="24"/>
          <w:szCs w:val="24"/>
        </w:rPr>
      </w:pPr>
    </w:p>
    <w:p w14:paraId="1ED33846" w14:textId="77777777" w:rsidR="00EC2970" w:rsidRPr="00691DEE" w:rsidRDefault="00EC2970" w:rsidP="00EC2970">
      <w:pPr>
        <w:rPr>
          <w:sz w:val="24"/>
          <w:szCs w:val="24"/>
        </w:rPr>
      </w:pPr>
      <w:r w:rsidRPr="00691DEE">
        <w:rPr>
          <w:sz w:val="24"/>
          <w:szCs w:val="24"/>
        </w:rPr>
        <w:t xml:space="preserve">Skin </w:t>
      </w:r>
      <w:r>
        <w:rPr>
          <w:sz w:val="24"/>
          <w:szCs w:val="24"/>
        </w:rPr>
        <w:t>s</w:t>
      </w:r>
      <w:r w:rsidRPr="00691DEE">
        <w:rPr>
          <w:sz w:val="24"/>
          <w:szCs w:val="24"/>
        </w:rPr>
        <w:t>ubstitutes are a useful treatment option. Per our policy criteria, it is recommended that skin substitutes are:</w:t>
      </w:r>
    </w:p>
    <w:p w14:paraId="2822AA2D" w14:textId="77777777" w:rsidR="00EC2970" w:rsidRPr="00691DEE" w:rsidRDefault="00EC2970" w:rsidP="00EC2970">
      <w:pPr>
        <w:pStyle w:val="ListParagraph"/>
        <w:numPr>
          <w:ilvl w:val="0"/>
          <w:numId w:val="28"/>
        </w:numPr>
        <w:contextualSpacing w:val="0"/>
        <w:rPr>
          <w:rFonts w:ascii="Calibri" w:hAnsi="Calibri"/>
        </w:rPr>
      </w:pPr>
      <w:r w:rsidRPr="00691DEE">
        <w:rPr>
          <w:rFonts w:ascii="Calibri" w:hAnsi="Calibri"/>
        </w:rPr>
        <w:t>Applied to wounds that have demonstrated a failed or insufficient response to conservative wound care measure for no less than 4 weeks.  </w:t>
      </w:r>
    </w:p>
    <w:p w14:paraId="54E74488" w14:textId="77777777" w:rsidR="00EC2970" w:rsidRPr="00D6031B" w:rsidRDefault="00EC2970" w:rsidP="00EC2970">
      <w:pPr>
        <w:pStyle w:val="ListParagraph"/>
        <w:numPr>
          <w:ilvl w:val="0"/>
          <w:numId w:val="28"/>
        </w:numPr>
        <w:contextualSpacing w:val="0"/>
        <w:rPr>
          <w:rFonts w:ascii="Calibri" w:hAnsi="Calibri"/>
        </w:rPr>
      </w:pPr>
      <w:r w:rsidRPr="00691DEE">
        <w:rPr>
          <w:rFonts w:ascii="Calibri" w:hAnsi="Calibri"/>
        </w:rPr>
        <w:t>Applied to wounds of reasonable size given the clinical circumstances.</w:t>
      </w:r>
      <w:r w:rsidRPr="00062996">
        <w:t xml:space="preserve"> </w:t>
      </w:r>
    </w:p>
    <w:p w14:paraId="473CFA7C" w14:textId="77777777" w:rsidR="00EC2970" w:rsidRPr="00062996" w:rsidRDefault="00EC2970" w:rsidP="00EC2970">
      <w:pPr>
        <w:pStyle w:val="ListParagraph"/>
        <w:numPr>
          <w:ilvl w:val="0"/>
          <w:numId w:val="28"/>
        </w:numPr>
        <w:contextualSpacing w:val="0"/>
        <w:rPr>
          <w:rFonts w:ascii="Calibri" w:hAnsi="Calibri"/>
        </w:rPr>
      </w:pPr>
      <w:r w:rsidRPr="00D6031B">
        <w:rPr>
          <w:rFonts w:ascii="Calibri" w:hAnsi="Calibri"/>
        </w:rPr>
        <w:t>Not used on wounds that have demonstrated adequate healing by conservative means.</w:t>
      </w:r>
    </w:p>
    <w:p w14:paraId="020B874B" w14:textId="6AC76E35" w:rsidR="00556C71" w:rsidRPr="00EC2970" w:rsidRDefault="00EC2970" w:rsidP="00361A0A">
      <w:pPr>
        <w:pStyle w:val="ListParagraph"/>
        <w:numPr>
          <w:ilvl w:val="0"/>
          <w:numId w:val="28"/>
        </w:numPr>
        <w:contextualSpacing w:val="0"/>
        <w:rPr>
          <w:rFonts w:ascii="Calibri" w:hAnsi="Calibri"/>
        </w:rPr>
      </w:pPr>
      <w:r w:rsidRPr="00691DEE">
        <w:rPr>
          <w:rFonts w:ascii="Calibri" w:hAnsi="Calibri"/>
        </w:rPr>
        <w:t xml:space="preserve">Only applied to wounds with adequate circulation/oxygenation to support tissue </w:t>
      </w:r>
      <w:r w:rsidRPr="00062996">
        <w:rPr>
          <w:rFonts w:ascii="Calibri" w:hAnsi="Calibri"/>
        </w:rPr>
        <w:t>growth</w:t>
      </w:r>
      <w:r>
        <w:rPr>
          <w:rFonts w:ascii="Calibri" w:hAnsi="Calibri"/>
        </w:rPr>
        <w:t xml:space="preserve"> and </w:t>
      </w:r>
      <w:r w:rsidRPr="00062996">
        <w:rPr>
          <w:rFonts w:ascii="Calibri" w:hAnsi="Calibri"/>
        </w:rPr>
        <w:t>wound healing.</w:t>
      </w:r>
    </w:p>
    <w:sectPr w:rsidR="00556C71" w:rsidRPr="00EC2970" w:rsidSect="00D33C74">
      <w:headerReference w:type="default" r:id="rId10"/>
      <w:footerReference w:type="default" r:id="rId11"/>
      <w:pgSz w:w="12240" w:h="15840"/>
      <w:pgMar w:top="2340" w:right="1620" w:bottom="720" w:left="1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A3CE8" w14:textId="77777777" w:rsidR="00EC2970" w:rsidRDefault="00EC2970" w:rsidP="00EA2AFA">
      <w:r>
        <w:separator/>
      </w:r>
    </w:p>
  </w:endnote>
  <w:endnote w:type="continuationSeparator" w:id="0">
    <w:p w14:paraId="4BAC10EF" w14:textId="77777777" w:rsidR="00EC2970" w:rsidRDefault="00EC2970" w:rsidP="00EA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ler">
    <w:altName w:val="Calibri"/>
    <w:charset w:val="00"/>
    <w:family w:val="auto"/>
    <w:pitch w:val="variable"/>
    <w:sig w:usb0="A00000AF" w:usb1="5000205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064D2" w14:textId="77777777" w:rsidR="00D84F0A" w:rsidRDefault="00905BF1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9C7847B" wp14:editId="56324D4E">
              <wp:simplePos x="0" y="0"/>
              <wp:positionH relativeFrom="page">
                <wp:posOffset>3175</wp:posOffset>
              </wp:positionH>
              <wp:positionV relativeFrom="page">
                <wp:posOffset>9678670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F42705" id="Rectangle 3" o:spid="_x0000_s1026" style="position:absolute;margin-left:.25pt;margin-top:762.1pt;width:630pt;height:13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" fillcolor="#203c7b" stroked="f">
              <v:textbox inset=",7.2pt,,7.2pt"/>
              <w10:wrap type="tight"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5209E3" w14:textId="77777777" w:rsidR="00EC2970" w:rsidRDefault="00EC2970" w:rsidP="00EA2AFA">
      <w:r>
        <w:separator/>
      </w:r>
    </w:p>
  </w:footnote>
  <w:footnote w:type="continuationSeparator" w:id="0">
    <w:p w14:paraId="3A0E0A77" w14:textId="77777777" w:rsidR="00EC2970" w:rsidRDefault="00EC2970" w:rsidP="00EA2A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416C4" w14:textId="77777777" w:rsidR="00EA2AFA" w:rsidRDefault="00175E2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9DAB5D" wp14:editId="43C3CA64">
              <wp:simplePos x="0" y="0"/>
              <wp:positionH relativeFrom="column">
                <wp:posOffset>-1056005</wp:posOffset>
              </wp:positionH>
              <wp:positionV relativeFrom="paragraph">
                <wp:posOffset>-461010</wp:posOffset>
              </wp:positionV>
              <wp:extent cx="7872730" cy="880110"/>
              <wp:effectExtent l="0" t="0" r="13970" b="15240"/>
              <wp:wrapNone/>
              <wp:docPr id="8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872730" cy="880110"/>
                      </a:xfrm>
                      <a:prstGeom prst="rect">
                        <a:avLst/>
                      </a:prstGeom>
                      <a:solidFill>
                        <a:srgbClr val="203C7B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AB14FB" id="Rectangle 1" o:spid="_x0000_s1026" style="position:absolute;margin-left:-83.15pt;margin-top:-36.3pt;width:619.9pt;height:6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" fillcolor="#203c7b"/>
          </w:pict>
        </mc:Fallback>
      </mc:AlternateContent>
    </w:r>
  </w:p>
  <w:p w14:paraId="26FA0BA9" w14:textId="77777777" w:rsidR="00EA2AFA" w:rsidRDefault="00D84F0A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93837FB" wp14:editId="0CC86BA8">
          <wp:simplePos x="0" y="0"/>
          <wp:positionH relativeFrom="column">
            <wp:posOffset>3932237</wp:posOffset>
          </wp:positionH>
          <wp:positionV relativeFrom="paragraph">
            <wp:posOffset>-424815</wp:posOffset>
          </wp:positionV>
          <wp:extent cx="2730500" cy="493395"/>
          <wp:effectExtent l="0" t="0" r="0" b="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HP_logo_-«tag_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0500" cy="493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05BF1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FD6CCD7" wp14:editId="6E7D58E0">
              <wp:simplePos x="0" y="0"/>
              <wp:positionH relativeFrom="page">
                <wp:posOffset>-32385</wp:posOffset>
              </wp:positionH>
              <wp:positionV relativeFrom="page">
                <wp:posOffset>880110</wp:posOffset>
              </wp:positionV>
              <wp:extent cx="8001000" cy="173990"/>
              <wp:effectExtent l="0" t="0" r="0" b="0"/>
              <wp:wrapTight wrapText="bothSides">
                <wp:wrapPolygon edited="0">
                  <wp:start x="0" y="0"/>
                  <wp:lineTo x="0" y="18920"/>
                  <wp:lineTo x="21549" y="18920"/>
                  <wp:lineTo x="21549" y="0"/>
                  <wp:lineTo x="0" y="0"/>
                </wp:wrapPolygon>
              </wp:wrapTight>
              <wp:docPr id="7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001000" cy="173990"/>
                      </a:xfrm>
                      <a:prstGeom prst="rect">
                        <a:avLst/>
                      </a:prstGeom>
                      <a:solidFill>
                        <a:srgbClr val="FFEF6F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1C6CF" id="Rectangle 4" o:spid="_x0000_s1026" style="position:absolute;margin-left:-2.55pt;margin-top:69.3pt;width:630pt;height:13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" fillcolor="#ffef6f" stroked="f">
              <v:textbox inset=",7.2pt,,7.2pt"/>
              <w10:wrap type="tight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74C82"/>
    <w:multiLevelType w:val="hybridMultilevel"/>
    <w:tmpl w:val="C7E40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687EAC"/>
    <w:multiLevelType w:val="hybridMultilevel"/>
    <w:tmpl w:val="CB6EE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238C2"/>
    <w:multiLevelType w:val="hybridMultilevel"/>
    <w:tmpl w:val="BCE6385C"/>
    <w:lvl w:ilvl="0" w:tplc="E0F013E0">
      <w:numFmt w:val="bullet"/>
      <w:lvlText w:val="-"/>
      <w:lvlJc w:val="left"/>
      <w:pPr>
        <w:ind w:left="720" w:hanging="360"/>
      </w:pPr>
      <w:rPr>
        <w:rFonts w:ascii="Aller" w:eastAsiaTheme="minorHAnsi" w:hAnsi="Alle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851D1"/>
    <w:multiLevelType w:val="hybridMultilevel"/>
    <w:tmpl w:val="E52C58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725BE"/>
    <w:multiLevelType w:val="hybridMultilevel"/>
    <w:tmpl w:val="5B6A5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B96991"/>
    <w:multiLevelType w:val="hybridMultilevel"/>
    <w:tmpl w:val="3F6EE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16C9EC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D54AE"/>
    <w:multiLevelType w:val="hybridMultilevel"/>
    <w:tmpl w:val="C0422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1C7946"/>
    <w:multiLevelType w:val="hybridMultilevel"/>
    <w:tmpl w:val="D97A9F3E"/>
    <w:lvl w:ilvl="0" w:tplc="6ED4455A">
      <w:numFmt w:val="bullet"/>
      <w:lvlText w:val="•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0D5515"/>
    <w:multiLevelType w:val="hybridMultilevel"/>
    <w:tmpl w:val="206AE026"/>
    <w:lvl w:ilvl="0" w:tplc="F3D02D96">
      <w:start w:val="1"/>
      <w:numFmt w:val="bullet"/>
      <w:pStyle w:val="SidebarLis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C2020"/>
    <w:multiLevelType w:val="hybridMultilevel"/>
    <w:tmpl w:val="4F1C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A1125B"/>
    <w:multiLevelType w:val="hybridMultilevel"/>
    <w:tmpl w:val="CB1474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012CA"/>
    <w:multiLevelType w:val="hybridMultilevel"/>
    <w:tmpl w:val="1A84B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550C7"/>
    <w:multiLevelType w:val="hybridMultilevel"/>
    <w:tmpl w:val="6E24D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A575B"/>
    <w:multiLevelType w:val="hybridMultilevel"/>
    <w:tmpl w:val="33326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82AA6"/>
    <w:multiLevelType w:val="hybridMultilevel"/>
    <w:tmpl w:val="A25C1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76584"/>
    <w:multiLevelType w:val="hybridMultilevel"/>
    <w:tmpl w:val="6A827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87913"/>
    <w:multiLevelType w:val="hybridMultilevel"/>
    <w:tmpl w:val="2E26D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C6731C"/>
    <w:multiLevelType w:val="hybridMultilevel"/>
    <w:tmpl w:val="FC4EC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611550"/>
    <w:multiLevelType w:val="hybridMultilevel"/>
    <w:tmpl w:val="BEB476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D0077A"/>
    <w:multiLevelType w:val="hybridMultilevel"/>
    <w:tmpl w:val="FE8CD3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D92719"/>
    <w:multiLevelType w:val="hybridMultilevel"/>
    <w:tmpl w:val="26D8B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92142F"/>
    <w:multiLevelType w:val="hybridMultilevel"/>
    <w:tmpl w:val="FC063626"/>
    <w:lvl w:ilvl="0" w:tplc="7ABC02E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E67708"/>
    <w:multiLevelType w:val="hybridMultilevel"/>
    <w:tmpl w:val="0A246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C00D2A"/>
    <w:multiLevelType w:val="hybridMultilevel"/>
    <w:tmpl w:val="4BA0C6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9164CC"/>
    <w:multiLevelType w:val="hybridMultilevel"/>
    <w:tmpl w:val="7E2E2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38222F9"/>
    <w:multiLevelType w:val="hybridMultilevel"/>
    <w:tmpl w:val="C14AD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435D2"/>
    <w:multiLevelType w:val="hybridMultilevel"/>
    <w:tmpl w:val="C96A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C3E2A3A"/>
    <w:multiLevelType w:val="hybridMultilevel"/>
    <w:tmpl w:val="45040D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3326096">
    <w:abstractNumId w:val="16"/>
  </w:num>
  <w:num w:numId="2" w16cid:durableId="441849984">
    <w:abstractNumId w:val="15"/>
  </w:num>
  <w:num w:numId="3" w16cid:durableId="1507011590">
    <w:abstractNumId w:val="8"/>
  </w:num>
  <w:num w:numId="4" w16cid:durableId="1024864964">
    <w:abstractNumId w:val="24"/>
  </w:num>
  <w:num w:numId="5" w16cid:durableId="80218506">
    <w:abstractNumId w:val="21"/>
  </w:num>
  <w:num w:numId="6" w16cid:durableId="879515984">
    <w:abstractNumId w:val="2"/>
  </w:num>
  <w:num w:numId="7" w16cid:durableId="827743961">
    <w:abstractNumId w:val="11"/>
  </w:num>
  <w:num w:numId="8" w16cid:durableId="1070930522">
    <w:abstractNumId w:val="26"/>
  </w:num>
  <w:num w:numId="9" w16cid:durableId="900478518">
    <w:abstractNumId w:val="0"/>
  </w:num>
  <w:num w:numId="10" w16cid:durableId="21473838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44309697">
    <w:abstractNumId w:val="5"/>
  </w:num>
  <w:num w:numId="12" w16cid:durableId="230433959">
    <w:abstractNumId w:val="6"/>
  </w:num>
  <w:num w:numId="13" w16cid:durableId="1278677784">
    <w:abstractNumId w:val="23"/>
  </w:num>
  <w:num w:numId="14" w16cid:durableId="1870685191">
    <w:abstractNumId w:val="27"/>
  </w:num>
  <w:num w:numId="15" w16cid:durableId="1832745432">
    <w:abstractNumId w:val="13"/>
  </w:num>
  <w:num w:numId="16" w16cid:durableId="1206529713">
    <w:abstractNumId w:val="10"/>
  </w:num>
  <w:num w:numId="17" w16cid:durableId="338506082">
    <w:abstractNumId w:val="4"/>
  </w:num>
  <w:num w:numId="18" w16cid:durableId="2027094830">
    <w:abstractNumId w:val="1"/>
  </w:num>
  <w:num w:numId="19" w16cid:durableId="498738739">
    <w:abstractNumId w:val="14"/>
  </w:num>
  <w:num w:numId="20" w16cid:durableId="2117290430">
    <w:abstractNumId w:val="20"/>
  </w:num>
  <w:num w:numId="21" w16cid:durableId="1402218331">
    <w:abstractNumId w:val="25"/>
  </w:num>
  <w:num w:numId="22" w16cid:durableId="625240115">
    <w:abstractNumId w:val="19"/>
  </w:num>
  <w:num w:numId="23" w16cid:durableId="1211267598">
    <w:abstractNumId w:val="17"/>
  </w:num>
  <w:num w:numId="24" w16cid:durableId="246303585">
    <w:abstractNumId w:val="9"/>
  </w:num>
  <w:num w:numId="25" w16cid:durableId="1215198426">
    <w:abstractNumId w:val="3"/>
  </w:num>
  <w:num w:numId="26" w16cid:durableId="1278639297">
    <w:abstractNumId w:val="7"/>
  </w:num>
  <w:num w:numId="27" w16cid:durableId="1655646877">
    <w:abstractNumId w:val="12"/>
  </w:num>
  <w:num w:numId="28" w16cid:durableId="79660672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87"/>
  <w:drawingGridVerticalSpacing w:val="187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50">
      <o:colormru v:ext="edit" colors="#4f2683,#faa2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970"/>
    <w:rsid w:val="0000112E"/>
    <w:rsid w:val="00035422"/>
    <w:rsid w:val="0005056A"/>
    <w:rsid w:val="0005642F"/>
    <w:rsid w:val="000B7FE9"/>
    <w:rsid w:val="000C502F"/>
    <w:rsid w:val="000D209F"/>
    <w:rsid w:val="000D3907"/>
    <w:rsid w:val="000E42C6"/>
    <w:rsid w:val="001149B1"/>
    <w:rsid w:val="00146C3C"/>
    <w:rsid w:val="00156E9F"/>
    <w:rsid w:val="00164876"/>
    <w:rsid w:val="00170F86"/>
    <w:rsid w:val="00172771"/>
    <w:rsid w:val="00175E22"/>
    <w:rsid w:val="00197C44"/>
    <w:rsid w:val="001C7C78"/>
    <w:rsid w:val="001E5C1D"/>
    <w:rsid w:val="001F13EB"/>
    <w:rsid w:val="001F7700"/>
    <w:rsid w:val="00202846"/>
    <w:rsid w:val="00211AF7"/>
    <w:rsid w:val="00230B4E"/>
    <w:rsid w:val="00240EC6"/>
    <w:rsid w:val="002463CE"/>
    <w:rsid w:val="002467FA"/>
    <w:rsid w:val="002525FB"/>
    <w:rsid w:val="00267D56"/>
    <w:rsid w:val="002823A6"/>
    <w:rsid w:val="0028272A"/>
    <w:rsid w:val="002A328D"/>
    <w:rsid w:val="002A4D54"/>
    <w:rsid w:val="002D0702"/>
    <w:rsid w:val="002E325C"/>
    <w:rsid w:val="002F5CDB"/>
    <w:rsid w:val="00313A53"/>
    <w:rsid w:val="0031769F"/>
    <w:rsid w:val="00361A0A"/>
    <w:rsid w:val="0039431E"/>
    <w:rsid w:val="003A390C"/>
    <w:rsid w:val="003B57E6"/>
    <w:rsid w:val="003D3EE5"/>
    <w:rsid w:val="003E1B32"/>
    <w:rsid w:val="003E564B"/>
    <w:rsid w:val="00402783"/>
    <w:rsid w:val="00422B18"/>
    <w:rsid w:val="00431F6D"/>
    <w:rsid w:val="00434E62"/>
    <w:rsid w:val="00475B25"/>
    <w:rsid w:val="0047735C"/>
    <w:rsid w:val="004B33D9"/>
    <w:rsid w:val="004D5BC4"/>
    <w:rsid w:val="004E2675"/>
    <w:rsid w:val="00520AC5"/>
    <w:rsid w:val="005301DF"/>
    <w:rsid w:val="0054202D"/>
    <w:rsid w:val="00556C71"/>
    <w:rsid w:val="00563295"/>
    <w:rsid w:val="00580E24"/>
    <w:rsid w:val="00583D0D"/>
    <w:rsid w:val="005D6A12"/>
    <w:rsid w:val="005E2505"/>
    <w:rsid w:val="00603DFC"/>
    <w:rsid w:val="00674D30"/>
    <w:rsid w:val="006936D4"/>
    <w:rsid w:val="0069673B"/>
    <w:rsid w:val="006A45C8"/>
    <w:rsid w:val="006B2377"/>
    <w:rsid w:val="006B75D8"/>
    <w:rsid w:val="006D49E7"/>
    <w:rsid w:val="006F1ED2"/>
    <w:rsid w:val="007071A8"/>
    <w:rsid w:val="00707C14"/>
    <w:rsid w:val="00714A4A"/>
    <w:rsid w:val="00717272"/>
    <w:rsid w:val="007556AF"/>
    <w:rsid w:val="00760E4B"/>
    <w:rsid w:val="00762DB1"/>
    <w:rsid w:val="0076640C"/>
    <w:rsid w:val="00767C60"/>
    <w:rsid w:val="007836AE"/>
    <w:rsid w:val="007A6F3C"/>
    <w:rsid w:val="007B49EE"/>
    <w:rsid w:val="007D1701"/>
    <w:rsid w:val="007D5CBF"/>
    <w:rsid w:val="007F5F9D"/>
    <w:rsid w:val="00803D20"/>
    <w:rsid w:val="00812414"/>
    <w:rsid w:val="00821526"/>
    <w:rsid w:val="0082470D"/>
    <w:rsid w:val="00837551"/>
    <w:rsid w:val="008741FB"/>
    <w:rsid w:val="00882A5B"/>
    <w:rsid w:val="0089455A"/>
    <w:rsid w:val="008D195F"/>
    <w:rsid w:val="008E167C"/>
    <w:rsid w:val="009039FD"/>
    <w:rsid w:val="00905BF1"/>
    <w:rsid w:val="00912DB4"/>
    <w:rsid w:val="00960FDD"/>
    <w:rsid w:val="00962985"/>
    <w:rsid w:val="00970357"/>
    <w:rsid w:val="00971423"/>
    <w:rsid w:val="00982299"/>
    <w:rsid w:val="009A5A09"/>
    <w:rsid w:val="009B35D8"/>
    <w:rsid w:val="009B75CD"/>
    <w:rsid w:val="009C6129"/>
    <w:rsid w:val="009D3CC3"/>
    <w:rsid w:val="009D516D"/>
    <w:rsid w:val="009D78D2"/>
    <w:rsid w:val="009E049D"/>
    <w:rsid w:val="009E0E3D"/>
    <w:rsid w:val="009E2E6F"/>
    <w:rsid w:val="009F656C"/>
    <w:rsid w:val="009F66DE"/>
    <w:rsid w:val="00A00E0B"/>
    <w:rsid w:val="00A035BD"/>
    <w:rsid w:val="00A23D27"/>
    <w:rsid w:val="00A3181C"/>
    <w:rsid w:val="00A43A8D"/>
    <w:rsid w:val="00A511DF"/>
    <w:rsid w:val="00A51AAD"/>
    <w:rsid w:val="00A61143"/>
    <w:rsid w:val="00A82709"/>
    <w:rsid w:val="00A93F1B"/>
    <w:rsid w:val="00AE0919"/>
    <w:rsid w:val="00AF4209"/>
    <w:rsid w:val="00AF5151"/>
    <w:rsid w:val="00B12533"/>
    <w:rsid w:val="00B220EC"/>
    <w:rsid w:val="00B56A3A"/>
    <w:rsid w:val="00B674E9"/>
    <w:rsid w:val="00B77C12"/>
    <w:rsid w:val="00B948A6"/>
    <w:rsid w:val="00B965BA"/>
    <w:rsid w:val="00BD0007"/>
    <w:rsid w:val="00BD4146"/>
    <w:rsid w:val="00BE00EB"/>
    <w:rsid w:val="00C06DEA"/>
    <w:rsid w:val="00C213EC"/>
    <w:rsid w:val="00C4430D"/>
    <w:rsid w:val="00C47A63"/>
    <w:rsid w:val="00C54054"/>
    <w:rsid w:val="00C57DE2"/>
    <w:rsid w:val="00C66E73"/>
    <w:rsid w:val="00C83D78"/>
    <w:rsid w:val="00C93EED"/>
    <w:rsid w:val="00C96914"/>
    <w:rsid w:val="00CE5361"/>
    <w:rsid w:val="00D011B8"/>
    <w:rsid w:val="00D014E1"/>
    <w:rsid w:val="00D1453D"/>
    <w:rsid w:val="00D14668"/>
    <w:rsid w:val="00D23A7D"/>
    <w:rsid w:val="00D328EF"/>
    <w:rsid w:val="00D33C74"/>
    <w:rsid w:val="00D8245A"/>
    <w:rsid w:val="00D83E6C"/>
    <w:rsid w:val="00D84F0A"/>
    <w:rsid w:val="00D966A1"/>
    <w:rsid w:val="00DA5C44"/>
    <w:rsid w:val="00DA7519"/>
    <w:rsid w:val="00DB4BDE"/>
    <w:rsid w:val="00DD515F"/>
    <w:rsid w:val="00E023B5"/>
    <w:rsid w:val="00E157F9"/>
    <w:rsid w:val="00E23942"/>
    <w:rsid w:val="00E276E5"/>
    <w:rsid w:val="00E33169"/>
    <w:rsid w:val="00E55722"/>
    <w:rsid w:val="00E6528C"/>
    <w:rsid w:val="00E85DE0"/>
    <w:rsid w:val="00E93332"/>
    <w:rsid w:val="00E972DE"/>
    <w:rsid w:val="00EA2AFA"/>
    <w:rsid w:val="00EC2970"/>
    <w:rsid w:val="00EC6A3E"/>
    <w:rsid w:val="00EF6910"/>
    <w:rsid w:val="00F007A7"/>
    <w:rsid w:val="00F02231"/>
    <w:rsid w:val="00F05E2C"/>
    <w:rsid w:val="00F06DD0"/>
    <w:rsid w:val="00F52BEE"/>
    <w:rsid w:val="00F7274D"/>
    <w:rsid w:val="00F848D2"/>
    <w:rsid w:val="00F95333"/>
    <w:rsid w:val="00FA0C58"/>
    <w:rsid w:val="00FA11BE"/>
    <w:rsid w:val="00FA1911"/>
    <w:rsid w:val="00FA5997"/>
    <w:rsid w:val="00FC4E74"/>
    <w:rsid w:val="00FF247D"/>
    <w:rsid w:val="00FF4453"/>
    <w:rsid w:val="00FF4EF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4f2683,#faa21b"/>
    </o:shapedefaults>
    <o:shapelayout v:ext="edit">
      <o:idmap v:ext="edit" data="2"/>
    </o:shapelayout>
  </w:shapeDefaults>
  <w:doNotEmbedSmartTags/>
  <w:decimalSymbol w:val="."/>
  <w:listSeparator w:val=","/>
  <w14:docId w14:val="5D8BA798"/>
  <w15:docId w15:val="{DD8B8BCD-1228-4D1E-939E-568FC9392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970"/>
    <w:rPr>
      <w:rFonts w:ascii="Calibri" w:hAnsi="Calibri"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49B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01DF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1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149B1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1149B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ewsletterHeading">
    <w:name w:val="Newsletter Heading"/>
    <w:basedOn w:val="Normal"/>
    <w:qFormat/>
    <w:rsid w:val="001149B1"/>
    <w:rPr>
      <w:rFonts w:asciiTheme="majorHAnsi" w:eastAsia="Times New Roman" w:hAnsiTheme="majorHAnsi"/>
      <w:b/>
      <w:color w:val="FFFFFF" w:themeColor="background1"/>
      <w:sz w:val="62"/>
      <w:szCs w:val="24"/>
    </w:rPr>
  </w:style>
  <w:style w:type="paragraph" w:customStyle="1" w:styleId="NewsletterSubhead">
    <w:name w:val="Newsletter Subhead"/>
    <w:basedOn w:val="Normal"/>
    <w:qFormat/>
    <w:rsid w:val="001149B1"/>
    <w:rPr>
      <w:rFonts w:ascii="Times New Roman" w:eastAsia="Times New Roman" w:hAnsi="Times New Roman"/>
      <w:color w:val="FFFFFF" w:themeColor="background1"/>
      <w:sz w:val="26"/>
      <w:szCs w:val="24"/>
    </w:rPr>
  </w:style>
  <w:style w:type="paragraph" w:customStyle="1" w:styleId="NewsletterHeadline">
    <w:name w:val="Newsletter Headline"/>
    <w:basedOn w:val="Normal"/>
    <w:qFormat/>
    <w:rsid w:val="00760E4B"/>
    <w:rPr>
      <w:rFonts w:asciiTheme="majorHAnsi" w:eastAsia="Times New Roman" w:hAnsiTheme="majorHAnsi"/>
      <w:b/>
      <w:sz w:val="32"/>
      <w:szCs w:val="24"/>
    </w:rPr>
  </w:style>
  <w:style w:type="paragraph" w:customStyle="1" w:styleId="NewsletterBody">
    <w:name w:val="Newsletter Body"/>
    <w:basedOn w:val="Normal"/>
    <w:qFormat/>
    <w:rsid w:val="00F7274D"/>
    <w:pPr>
      <w:spacing w:after="200"/>
      <w:jc w:val="both"/>
    </w:pPr>
    <w:rPr>
      <w:rFonts w:ascii="Times New Roman" w:eastAsia="Times New Roman" w:hAnsi="Times New Roman"/>
      <w:color w:val="000000"/>
      <w:szCs w:val="24"/>
    </w:rPr>
  </w:style>
  <w:style w:type="paragraph" w:customStyle="1" w:styleId="WhiteText">
    <w:name w:val="White Text"/>
    <w:basedOn w:val="Normal"/>
    <w:qFormat/>
    <w:rsid w:val="00D014E1"/>
    <w:rPr>
      <w:rFonts w:ascii="Times New Roman" w:eastAsia="Times New Roman" w:hAnsi="Times New Roman"/>
      <w:color w:val="FFFFFF" w:themeColor="background1"/>
      <w:sz w:val="20"/>
      <w:szCs w:val="24"/>
    </w:rPr>
  </w:style>
  <w:style w:type="paragraph" w:customStyle="1" w:styleId="CompanyName">
    <w:name w:val="Company Name"/>
    <w:basedOn w:val="NewsletterHeading"/>
    <w:qFormat/>
    <w:rsid w:val="003B57E6"/>
    <w:rPr>
      <w:sz w:val="52"/>
      <w:szCs w:val="52"/>
    </w:rPr>
  </w:style>
  <w:style w:type="paragraph" w:customStyle="1" w:styleId="NewsletterDate">
    <w:name w:val="Newsletter Date"/>
    <w:basedOn w:val="WhiteText"/>
    <w:qFormat/>
    <w:rsid w:val="00FA5997"/>
    <w:pPr>
      <w:jc w:val="right"/>
    </w:pPr>
  </w:style>
  <w:style w:type="paragraph" w:customStyle="1" w:styleId="Smallprint">
    <w:name w:val="Small print"/>
    <w:basedOn w:val="NewsletterBody"/>
    <w:qFormat/>
    <w:rsid w:val="006D49E7"/>
    <w:pPr>
      <w:jc w:val="right"/>
    </w:pPr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A2AF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AFA"/>
    <w:pPr>
      <w:tabs>
        <w:tab w:val="center" w:pos="4680"/>
        <w:tab w:val="right" w:pos="9360"/>
      </w:tabs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A2AFA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4F0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328E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rsid w:val="00D328EF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D516D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D83E6C"/>
    <w:rPr>
      <w:color w:val="800080" w:themeColor="followedHyperlink"/>
      <w:u w:val="single"/>
    </w:rPr>
  </w:style>
  <w:style w:type="paragraph" w:customStyle="1" w:styleId="Caption1">
    <w:name w:val="Caption1"/>
    <w:basedOn w:val="Normal"/>
    <w:rsid w:val="00C54054"/>
    <w:pPr>
      <w:jc w:val="center"/>
    </w:pPr>
    <w:rPr>
      <w:rFonts w:ascii="Arial" w:eastAsia="Times New Roman" w:hAnsi="Arial" w:cs="Arial"/>
      <w:sz w:val="18"/>
      <w:szCs w:val="18"/>
    </w:rPr>
  </w:style>
  <w:style w:type="paragraph" w:customStyle="1" w:styleId="SidebarList">
    <w:name w:val="Sidebar List"/>
    <w:next w:val="Normal"/>
    <w:rsid w:val="00C54054"/>
    <w:pPr>
      <w:numPr>
        <w:numId w:val="3"/>
      </w:numPr>
      <w:spacing w:after="80"/>
    </w:pPr>
    <w:rPr>
      <w:rFonts w:ascii="Tahoma" w:eastAsia="Times New Roman" w:hAnsi="Tahoma" w:cs="Times New Roman"/>
      <w:kern w:val="28"/>
      <w:sz w:val="18"/>
      <w:szCs w:val="18"/>
      <w:lang w:val="en"/>
    </w:rPr>
  </w:style>
  <w:style w:type="paragraph" w:customStyle="1" w:styleId="Default">
    <w:name w:val="Default"/>
    <w:rsid w:val="00DA7519"/>
    <w:pPr>
      <w:autoSpaceDE w:val="0"/>
      <w:autoSpaceDN w:val="0"/>
      <w:adjustRightInd w:val="0"/>
    </w:pPr>
    <w:rPr>
      <w:rFonts w:ascii="Aller" w:eastAsia="Times New Roman" w:hAnsi="Aller" w:cs="Aller"/>
      <w:color w:val="000000"/>
      <w:sz w:val="24"/>
      <w:szCs w:val="24"/>
    </w:rPr>
  </w:style>
  <w:style w:type="paragraph" w:customStyle="1" w:styleId="SidebarTitle">
    <w:name w:val="Sidebar Title"/>
    <w:next w:val="Normal"/>
    <w:rsid w:val="009F656C"/>
    <w:pPr>
      <w:spacing w:after="240"/>
    </w:pPr>
    <w:rPr>
      <w:rFonts w:ascii="Tahoma" w:eastAsia="Times New Roman" w:hAnsi="Tahoma" w:cs="Arial"/>
      <w:b/>
      <w:color w:val="0099FF"/>
    </w:rPr>
  </w:style>
  <w:style w:type="character" w:styleId="CommentReference">
    <w:name w:val="annotation reference"/>
    <w:basedOn w:val="DefaultParagraphFont"/>
    <w:semiHidden/>
    <w:unhideWhenUsed/>
    <w:rsid w:val="000C502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C50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C502F"/>
    <w:rPr>
      <w:rFonts w:ascii="Calibri" w:hAnsi="Calibri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50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502F"/>
    <w:rPr>
      <w:rFonts w:ascii="Calibri" w:hAnsi="Calibri" w:cs="Times New Roman"/>
      <w:b/>
      <w:bCs/>
    </w:rPr>
  </w:style>
  <w:style w:type="character" w:customStyle="1" w:styleId="auto-style11">
    <w:name w:val="auto-style11"/>
    <w:basedOn w:val="DefaultParagraphFont"/>
    <w:rsid w:val="002525FB"/>
  </w:style>
  <w:style w:type="character" w:styleId="UnresolvedMention">
    <w:name w:val="Unresolved Mention"/>
    <w:basedOn w:val="DefaultParagraphFont"/>
    <w:uiPriority w:val="99"/>
    <w:semiHidden/>
    <w:unhideWhenUsed/>
    <w:rsid w:val="00EC29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1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www.securityhealth.org/providers/medical-polici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Templates\SHP%20Templates\SHP%20RFP_Report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E1FBEA0A-EC32-4832-898C-17C97D115F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3EF779-630E-41A3-AEF8-C4C8151F22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SHP RFP_Report Template.dotx</Template>
  <TotalTime>10</TotalTime>
  <Pages>2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Newsletter</vt:lpstr>
    </vt:vector>
  </TitlesOfParts>
  <Company>Marshfield Clinic</Company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Rebecca Normington</dc:creator>
  <cp:lastModifiedBy>Normington, Rebecca J</cp:lastModifiedBy>
  <cp:revision>1</cp:revision>
  <cp:lastPrinted>2016-09-14T15:20:00Z</cp:lastPrinted>
  <dcterms:created xsi:type="dcterms:W3CDTF">2025-01-23T18:02:00Z</dcterms:created>
  <dcterms:modified xsi:type="dcterms:W3CDTF">2025-01-23T18:13:00Z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TC103360279990</vt:lpwstr>
  </property>
</Properties>
</file>