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DD4EA" w14:textId="77777777" w:rsidR="008A425D" w:rsidRPr="008A425D" w:rsidRDefault="008A425D" w:rsidP="008A425D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kern w:val="36"/>
          <w:sz w:val="32"/>
          <w:szCs w:val="32"/>
          <w14:ligatures w14:val="none"/>
        </w:rPr>
      </w:pPr>
      <w:r w:rsidRPr="008A425D">
        <w:rPr>
          <w:rFonts w:ascii="Calibri" w:eastAsia="Times New Roman" w:hAnsi="Calibri" w:cs="Calibri"/>
          <w:b/>
          <w:bCs/>
          <w:kern w:val="36"/>
          <w:sz w:val="32"/>
          <w:szCs w:val="32"/>
          <w14:ligatures w14:val="none"/>
        </w:rPr>
        <w:t>2025 Medicare Part D Redesign Updates</w:t>
      </w:r>
    </w:p>
    <w:p w14:paraId="5803C6D8" w14:textId="77777777" w:rsidR="008A425D" w:rsidRDefault="008A425D" w:rsidP="008A425D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206DD29A" w14:textId="0CD4BA82" w:rsidR="008A425D" w:rsidRPr="008A425D" w:rsidRDefault="008A425D" w:rsidP="008A425D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25D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The Inflation Reduction Act includes changes to Part D drug benefit phases and costs for people with Medicare.  The changes include a cap on out-of-pocket drug spending for enrollees in Medicare Part D drug plans. </w:t>
      </w:r>
    </w:p>
    <w:p w14:paraId="30351D43" w14:textId="77777777" w:rsidR="008A425D" w:rsidRPr="008A425D" w:rsidRDefault="008A425D" w:rsidP="008A425D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00B0597A" w14:textId="77777777" w:rsidR="008A425D" w:rsidRPr="008A425D" w:rsidRDefault="008A425D" w:rsidP="008A425D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25D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The Medicare Part D drug benefit changes for 2025 will help make prescription drugs more affordable for people with Medicare and prevent them from falling into the notorious Medicare Part D “donut hole.” The changes limit the enrollee’s out-of-pocket cost to $2000, ensuring prescription costs won’t be as high, and eliminates the coverage gap. By implementing these changes, the Inflation Reduction Act aims to reduce healthcare disparities and ensure access for everyone.</w:t>
      </w:r>
    </w:p>
    <w:p w14:paraId="08655166" w14:textId="77777777" w:rsidR="008A425D" w:rsidRPr="008A425D" w:rsidRDefault="008A425D" w:rsidP="008A425D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31F072C0" w14:textId="77777777" w:rsidR="008A425D" w:rsidRPr="008A425D" w:rsidRDefault="008A425D" w:rsidP="008A425D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</w:pPr>
      <w:r w:rsidRPr="008A425D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The explanation below provides an overview of the Part D drug benefit design in 2024 and changes coming in 2025.</w:t>
      </w:r>
    </w:p>
    <w:p w14:paraId="706EF3AB" w14:textId="77777777" w:rsidR="008A425D" w:rsidRPr="008A425D" w:rsidRDefault="008A425D" w:rsidP="008A425D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</w:pPr>
    </w:p>
    <w:p w14:paraId="6B86ED5A" w14:textId="77777777" w:rsidR="008A425D" w:rsidRPr="008A425D" w:rsidRDefault="008A425D" w:rsidP="008A425D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</w:pPr>
      <w:r w:rsidRPr="008A425D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Restructured Medicare Part D Benefit Phases &amp; Liabilities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9"/>
        <w:gridCol w:w="4191"/>
      </w:tblGrid>
      <w:tr w:rsidR="008A425D" w:rsidRPr="008A425D" w14:paraId="6296E55C" w14:textId="77777777" w:rsidTr="00063A00">
        <w:tc>
          <w:tcPr>
            <w:tcW w:w="4990" w:type="dxa"/>
          </w:tcPr>
          <w:p w14:paraId="324C9274" w14:textId="77777777" w:rsidR="008A425D" w:rsidRPr="008A425D" w:rsidRDefault="008A425D" w:rsidP="00063A00">
            <w:pPr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2024</w:t>
            </w:r>
          </w:p>
        </w:tc>
        <w:tc>
          <w:tcPr>
            <w:tcW w:w="4360" w:type="dxa"/>
          </w:tcPr>
          <w:p w14:paraId="3E9B3040" w14:textId="77777777" w:rsidR="008A425D" w:rsidRPr="008A425D" w:rsidRDefault="008A425D" w:rsidP="00063A00">
            <w:pPr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2025</w:t>
            </w:r>
          </w:p>
        </w:tc>
      </w:tr>
      <w:tr w:rsidR="008A425D" w:rsidRPr="008A425D" w14:paraId="3F937BB7" w14:textId="77777777" w:rsidTr="00063A00">
        <w:tc>
          <w:tcPr>
            <w:tcW w:w="4990" w:type="dxa"/>
          </w:tcPr>
          <w:p w14:paraId="51E9D9A8" w14:textId="77777777" w:rsidR="008A425D" w:rsidRDefault="008A425D" w:rsidP="008A425D">
            <w:pPr>
              <w:spacing w:after="0" w:line="240" w:lineRule="auto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  <w:t>Benefit consists of four phases:</w:t>
            </w:r>
          </w:p>
          <w:p w14:paraId="4BB77307" w14:textId="77777777" w:rsidR="008A425D" w:rsidRPr="008A425D" w:rsidRDefault="008A425D" w:rsidP="008A425D">
            <w:pPr>
              <w:spacing w:after="0" w:line="240" w:lineRule="auto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78EC749B" w14:textId="77777777" w:rsidR="008A425D" w:rsidRPr="008A425D" w:rsidRDefault="008A425D" w:rsidP="008A425D">
            <w:pPr>
              <w:spacing w:after="0" w:line="240" w:lineRule="auto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Annual deductible:</w:t>
            </w:r>
          </w:p>
          <w:p w14:paraId="22424783" w14:textId="77777777" w:rsidR="008A425D" w:rsidRPr="008A425D" w:rsidRDefault="008A425D" w:rsidP="008A425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Calibri" w:hAnsi="Calibri" w:cs="Calibri"/>
                <w:kern w:val="0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14:ligatures w14:val="none"/>
              </w:rPr>
              <w:t xml:space="preserve">The enrollee pays 100 percent of drug costs until the deductible (if applicable) is met. </w:t>
            </w:r>
          </w:p>
          <w:p w14:paraId="63BE20F6" w14:textId="77777777" w:rsidR="008A425D" w:rsidRPr="008A425D" w:rsidRDefault="008A425D" w:rsidP="008A425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Calibri" w:hAnsi="Calibri" w:cs="Calibri"/>
                <w:kern w:val="0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14:ligatures w14:val="none"/>
              </w:rPr>
              <w:t>Once the enrollee meets the deductible (if applicable), they enter the next phase.</w:t>
            </w:r>
          </w:p>
          <w:p w14:paraId="2F985623" w14:textId="77777777" w:rsidR="008A425D" w:rsidRPr="008A425D" w:rsidRDefault="008A425D" w:rsidP="008A425D">
            <w:pPr>
              <w:spacing w:after="0" w:line="240" w:lineRule="auto"/>
              <w:ind w:left="360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10037C4D" w14:textId="77777777" w:rsidR="008A425D" w:rsidRPr="008A425D" w:rsidRDefault="008A425D" w:rsidP="008A425D">
            <w:pPr>
              <w:spacing w:after="0" w:line="240" w:lineRule="auto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Initial coverage:</w:t>
            </w:r>
          </w:p>
          <w:p w14:paraId="70C43DE8" w14:textId="77777777" w:rsidR="008A425D" w:rsidRPr="008A425D" w:rsidRDefault="008A425D" w:rsidP="008A425D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Calibri" w:hAnsi="Calibri" w:cs="Calibri"/>
                <w:kern w:val="0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14:ligatures w14:val="none"/>
              </w:rPr>
              <w:t xml:space="preserve">Enrollee pays co-pays or coinsurance until the amount paid by the enrollee and their drug plan reaches $5,030.  </w:t>
            </w:r>
          </w:p>
          <w:p w14:paraId="3387E65E" w14:textId="77777777" w:rsidR="008A425D" w:rsidRPr="008A425D" w:rsidRDefault="008A425D" w:rsidP="008A425D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Calibri" w:hAnsi="Calibri" w:cs="Calibri"/>
                <w:kern w:val="0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14:ligatures w14:val="none"/>
              </w:rPr>
              <w:t>Once that amount reaches $5,030, they’ll move into the next phase.</w:t>
            </w:r>
          </w:p>
          <w:p w14:paraId="1DC93501" w14:textId="77777777" w:rsidR="008A425D" w:rsidRPr="008A425D" w:rsidRDefault="008A425D" w:rsidP="008A425D">
            <w:pPr>
              <w:spacing w:after="0" w:line="240" w:lineRule="auto"/>
              <w:ind w:left="360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7F9D6C00" w14:textId="77777777" w:rsidR="008A425D" w:rsidRPr="008A425D" w:rsidRDefault="008A425D" w:rsidP="008A425D">
            <w:pPr>
              <w:spacing w:after="0" w:line="240" w:lineRule="auto"/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Coverage gap (“donut hole”)</w:t>
            </w:r>
          </w:p>
          <w:p w14:paraId="5545439F" w14:textId="77777777" w:rsidR="008A425D" w:rsidRPr="008A425D" w:rsidRDefault="008A425D" w:rsidP="008A425D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Calibri" w:hAnsi="Calibri" w:cs="Calibri"/>
                <w:kern w:val="0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14:ligatures w14:val="none"/>
              </w:rPr>
              <w:t xml:space="preserve">Enrollees pay 25% of generic and brand-name drug cost. Manufacturers pay 70% of brand-name drug costs which is counted </w:t>
            </w:r>
            <w:r w:rsidRPr="008A425D">
              <w:rPr>
                <w:rFonts w:ascii="Calibri" w:hAnsi="Calibri" w:cs="Calibri"/>
                <w:kern w:val="0"/>
                <w14:ligatures w14:val="none"/>
              </w:rPr>
              <w:lastRenderedPageBreak/>
              <w:t xml:space="preserve">toward the enrollee’s $8,000 “true out of pocket” cost.  </w:t>
            </w:r>
          </w:p>
          <w:p w14:paraId="5D3FFBE8" w14:textId="77777777" w:rsidR="008A425D" w:rsidRDefault="008A425D" w:rsidP="008A425D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Calibri" w:hAnsi="Calibri" w:cs="Calibri"/>
                <w:kern w:val="0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14:ligatures w14:val="none"/>
              </w:rPr>
              <w:t>Once the enrollee has reached the $8,000 “true out of pocket” costs, they enter the next phase.</w:t>
            </w:r>
          </w:p>
          <w:p w14:paraId="38F927D5" w14:textId="77777777" w:rsidR="008A425D" w:rsidRPr="008A425D" w:rsidRDefault="008A425D" w:rsidP="008A425D">
            <w:pPr>
              <w:pStyle w:val="ListParagraph"/>
              <w:spacing w:after="0" w:line="240" w:lineRule="auto"/>
              <w:ind w:left="360"/>
              <w:rPr>
                <w:rFonts w:ascii="Calibri" w:hAnsi="Calibri" w:cs="Calibri"/>
                <w:kern w:val="0"/>
                <w14:ligatures w14:val="none"/>
              </w:rPr>
            </w:pPr>
          </w:p>
          <w:p w14:paraId="7AAFE89E" w14:textId="77777777" w:rsidR="008A425D" w:rsidRPr="008A425D" w:rsidRDefault="008A425D" w:rsidP="008A425D">
            <w:pPr>
              <w:spacing w:after="0" w:line="240" w:lineRule="auto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Catastrophic:</w:t>
            </w:r>
          </w:p>
          <w:p w14:paraId="497BE079" w14:textId="77777777" w:rsidR="008A425D" w:rsidRPr="008A425D" w:rsidRDefault="008A425D" w:rsidP="008A425D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Calibri" w:hAnsi="Calibri" w:cs="Calibri"/>
                <w:kern w:val="0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14:ligatures w14:val="none"/>
              </w:rPr>
              <w:t>The enrollee pays no cost-sharing for covered Part D drugs for the rest of the year.</w:t>
            </w:r>
          </w:p>
        </w:tc>
        <w:tc>
          <w:tcPr>
            <w:tcW w:w="4360" w:type="dxa"/>
          </w:tcPr>
          <w:p w14:paraId="305F4B2A" w14:textId="77777777" w:rsidR="008A425D" w:rsidRPr="008A425D" w:rsidRDefault="008A425D" w:rsidP="008A425D">
            <w:pPr>
              <w:spacing w:after="0" w:line="240" w:lineRule="auto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  <w:lastRenderedPageBreak/>
              <w:t>Benefit consists of three phases:</w:t>
            </w:r>
          </w:p>
          <w:p w14:paraId="52D34F7E" w14:textId="1CDC140F" w:rsidR="008A425D" w:rsidRDefault="008A425D" w:rsidP="008A425D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360"/>
              <w:rPr>
                <w:rFonts w:ascii="Calibri" w:hAnsi="Calibri" w:cs="Calibri"/>
                <w:kern w:val="0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C</w:t>
            </w:r>
            <w:r w:rsidRPr="008A425D">
              <w:rPr>
                <w:rFonts w:ascii="Calibri" w:hAnsi="Calibri" w:cs="Calibri"/>
                <w:kern w:val="0"/>
                <w14:ligatures w14:val="none"/>
              </w:rPr>
              <w:t>overage gap has been eliminated</w:t>
            </w:r>
            <w:r>
              <w:rPr>
                <w:rFonts w:ascii="Calibri" w:hAnsi="Calibri" w:cs="Calibri"/>
                <w:kern w:val="0"/>
                <w14:ligatures w14:val="none"/>
              </w:rPr>
              <w:t>.</w:t>
            </w:r>
          </w:p>
          <w:p w14:paraId="598E6142" w14:textId="77777777" w:rsidR="008A425D" w:rsidRPr="008A425D" w:rsidRDefault="008A425D" w:rsidP="008A425D">
            <w:pPr>
              <w:pStyle w:val="ListParagraph"/>
              <w:spacing w:after="0" w:line="240" w:lineRule="auto"/>
              <w:ind w:left="360"/>
              <w:rPr>
                <w:rFonts w:ascii="Calibri" w:hAnsi="Calibri" w:cs="Calibri"/>
                <w:kern w:val="0"/>
                <w14:ligatures w14:val="none"/>
              </w:rPr>
            </w:pPr>
          </w:p>
          <w:p w14:paraId="24B7D993" w14:textId="77777777" w:rsidR="008A425D" w:rsidRPr="008A425D" w:rsidRDefault="008A425D" w:rsidP="008A425D">
            <w:pPr>
              <w:spacing w:after="0" w:line="240" w:lineRule="auto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Annual deductible:</w:t>
            </w:r>
          </w:p>
          <w:p w14:paraId="3C229054" w14:textId="77777777" w:rsidR="008A425D" w:rsidRPr="008A425D" w:rsidRDefault="008A425D" w:rsidP="008A425D">
            <w:pPr>
              <w:numPr>
                <w:ilvl w:val="1"/>
                <w:numId w:val="26"/>
              </w:numPr>
              <w:spacing w:after="0" w:line="240" w:lineRule="auto"/>
              <w:ind w:left="360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  <w:t xml:space="preserve">The enrollee pays 100 percent of drug costs until the deductible (if applicable) is met. </w:t>
            </w:r>
          </w:p>
          <w:p w14:paraId="1507BBA3" w14:textId="77777777" w:rsidR="008A425D" w:rsidRDefault="008A425D" w:rsidP="008A425D">
            <w:pPr>
              <w:numPr>
                <w:ilvl w:val="1"/>
                <w:numId w:val="26"/>
              </w:numPr>
              <w:spacing w:after="0" w:line="240" w:lineRule="auto"/>
              <w:ind w:left="360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  <w:t>Once the enrollee meets the deductible (if applicable), they enter the next phase.</w:t>
            </w:r>
          </w:p>
          <w:p w14:paraId="383966D6" w14:textId="77777777" w:rsidR="008A425D" w:rsidRPr="008A425D" w:rsidRDefault="008A425D" w:rsidP="008A425D">
            <w:pPr>
              <w:spacing w:after="0" w:line="240" w:lineRule="auto"/>
              <w:ind w:left="360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64B61CE0" w14:textId="77777777" w:rsidR="008A425D" w:rsidRPr="008A425D" w:rsidRDefault="008A425D" w:rsidP="008A425D">
            <w:pPr>
              <w:spacing w:after="0" w:line="240" w:lineRule="auto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Initial coverage:</w:t>
            </w:r>
          </w:p>
          <w:p w14:paraId="397EB436" w14:textId="77777777" w:rsidR="008A425D" w:rsidRPr="008A425D" w:rsidRDefault="008A425D" w:rsidP="008A425D">
            <w:pPr>
              <w:numPr>
                <w:ilvl w:val="1"/>
                <w:numId w:val="26"/>
              </w:numPr>
              <w:spacing w:after="0" w:line="240" w:lineRule="auto"/>
              <w:ind w:left="360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  <w:t xml:space="preserve">Enrollee pays co-pays or coinsurance until they have paid $2,000 out-of-pocket towards their covered Part D drugs. </w:t>
            </w:r>
          </w:p>
          <w:p w14:paraId="4CD4589A" w14:textId="77777777" w:rsidR="008A425D" w:rsidRDefault="008A425D" w:rsidP="008A425D">
            <w:pPr>
              <w:numPr>
                <w:ilvl w:val="1"/>
                <w:numId w:val="26"/>
              </w:numPr>
              <w:spacing w:after="0" w:line="240" w:lineRule="auto"/>
              <w:ind w:left="360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  <w:t>Once the enrollee has reached the annual OOP threshold of $2,000, they’ll move into the next phase.</w:t>
            </w:r>
          </w:p>
          <w:p w14:paraId="461FCA81" w14:textId="77777777" w:rsidR="008A425D" w:rsidRDefault="008A425D" w:rsidP="008A425D">
            <w:pPr>
              <w:spacing w:after="0" w:line="240" w:lineRule="auto"/>
              <w:ind w:left="360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7C5EFD0E" w14:textId="77777777" w:rsidR="008A425D" w:rsidRDefault="008A425D" w:rsidP="008A425D">
            <w:pPr>
              <w:spacing w:after="0" w:line="240" w:lineRule="auto"/>
              <w:ind w:left="360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0957F5BF" w14:textId="77777777" w:rsidR="008A425D" w:rsidRPr="008A425D" w:rsidRDefault="008A425D" w:rsidP="008A425D">
            <w:pPr>
              <w:spacing w:after="0" w:line="240" w:lineRule="auto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Catastrophic:</w:t>
            </w:r>
          </w:p>
          <w:p w14:paraId="0E7B6626" w14:textId="77777777" w:rsidR="008A425D" w:rsidRPr="008A425D" w:rsidRDefault="008A425D" w:rsidP="008A425D">
            <w:pPr>
              <w:numPr>
                <w:ilvl w:val="1"/>
                <w:numId w:val="26"/>
              </w:numPr>
              <w:spacing w:after="0" w:line="240" w:lineRule="auto"/>
              <w:ind w:left="360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  <w:t>The enrollee pays no cost-sharing for covered Part D drugs for the rest of the year.</w:t>
            </w:r>
          </w:p>
          <w:p w14:paraId="2F0A7767" w14:textId="77777777" w:rsidR="008A425D" w:rsidRPr="008A425D" w:rsidRDefault="008A425D" w:rsidP="008A425D">
            <w:pPr>
              <w:spacing w:after="0" w:line="240" w:lineRule="auto"/>
              <w:ind w:left="360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17FDF865" w14:textId="77777777" w:rsidR="008A425D" w:rsidRPr="008A425D" w:rsidRDefault="008A425D" w:rsidP="008A425D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75CCA9C5" w14:textId="77777777" w:rsidR="008A425D" w:rsidRPr="008A425D" w:rsidRDefault="008A425D" w:rsidP="008A425D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8A425D">
        <w:rPr>
          <w:rFonts w:ascii="Calibri" w:hAnsi="Calibri" w:cs="Calibri"/>
          <w:b/>
          <w:bCs/>
          <w:sz w:val="24"/>
          <w:szCs w:val="24"/>
        </w:rPr>
        <w:t>Information Specific to Security Health Part D Plans for 2025</w:t>
      </w:r>
    </w:p>
    <w:p w14:paraId="4799EE84" w14:textId="77777777" w:rsidR="008A425D" w:rsidRPr="008A425D" w:rsidRDefault="008A425D" w:rsidP="008A425D">
      <w:pPr>
        <w:pStyle w:val="ListParagraph"/>
        <w:numPr>
          <w:ilvl w:val="0"/>
          <w:numId w:val="30"/>
        </w:numPr>
        <w:rPr>
          <w:rFonts w:ascii="Calibri" w:hAnsi="Calibri" w:cs="Calibri"/>
        </w:rPr>
      </w:pPr>
      <w:r w:rsidRPr="008A425D">
        <w:rPr>
          <w:rFonts w:ascii="Calibri" w:hAnsi="Calibri" w:cs="Calibri"/>
          <w:b/>
          <w:bCs/>
        </w:rPr>
        <w:t>NEW for 2025</w:t>
      </w:r>
      <w:r w:rsidRPr="008A425D">
        <w:rPr>
          <w:rFonts w:ascii="Calibri" w:hAnsi="Calibri" w:cs="Calibri"/>
        </w:rPr>
        <w:t xml:space="preserve"> - $0 Tier 1 preferred generics</w:t>
      </w:r>
    </w:p>
    <w:p w14:paraId="776012D8" w14:textId="77777777" w:rsidR="008A425D" w:rsidRPr="008A425D" w:rsidRDefault="008A425D" w:rsidP="008A425D">
      <w:pPr>
        <w:pStyle w:val="ListParagraph"/>
        <w:numPr>
          <w:ilvl w:val="1"/>
          <w:numId w:val="30"/>
        </w:numPr>
        <w:rPr>
          <w:rFonts w:ascii="Calibri" w:hAnsi="Calibri" w:cs="Calibri"/>
        </w:rPr>
      </w:pPr>
      <w:r w:rsidRPr="008A425D">
        <w:rPr>
          <w:rFonts w:ascii="Calibri" w:hAnsi="Calibri" w:cs="Calibri"/>
        </w:rPr>
        <w:t>Includes select generic medications to treat common conditions such as antibiotics, antidepressants, antihypertensives, corticosteroids, NSAIDs, levothyroxine, and warfarin</w:t>
      </w:r>
    </w:p>
    <w:p w14:paraId="3BBFE0F4" w14:textId="77777777" w:rsidR="008A425D" w:rsidRPr="008A425D" w:rsidRDefault="008A425D" w:rsidP="008A425D">
      <w:pPr>
        <w:pStyle w:val="ListParagraph"/>
        <w:ind w:left="1440"/>
        <w:rPr>
          <w:rFonts w:ascii="Calibri" w:hAnsi="Calibri" w:cs="Calibri"/>
        </w:rPr>
      </w:pPr>
    </w:p>
    <w:p w14:paraId="4B25CD7A" w14:textId="77777777" w:rsidR="008A425D" w:rsidRPr="008A425D" w:rsidRDefault="008A425D" w:rsidP="008A425D">
      <w:pPr>
        <w:pStyle w:val="ListParagraph"/>
        <w:numPr>
          <w:ilvl w:val="0"/>
          <w:numId w:val="30"/>
        </w:numPr>
        <w:spacing w:after="0"/>
        <w:rPr>
          <w:rFonts w:ascii="Calibri" w:hAnsi="Calibri" w:cs="Calibri"/>
        </w:rPr>
      </w:pPr>
      <w:r w:rsidRPr="008A425D">
        <w:rPr>
          <w:rFonts w:ascii="Calibri" w:hAnsi="Calibri" w:cs="Calibri"/>
          <w:b/>
          <w:bCs/>
        </w:rPr>
        <w:t>NEW for 2025</w:t>
      </w:r>
      <w:r w:rsidRPr="008A425D">
        <w:rPr>
          <w:rFonts w:ascii="Calibri" w:hAnsi="Calibri" w:cs="Calibri"/>
        </w:rPr>
        <w:t xml:space="preserve"> - $0 Select Care tier (Tier 6)</w:t>
      </w:r>
    </w:p>
    <w:p w14:paraId="04489D30" w14:textId="77777777" w:rsidR="008A425D" w:rsidRPr="008A425D" w:rsidRDefault="008A425D" w:rsidP="008A425D">
      <w:pPr>
        <w:pStyle w:val="ListParagraph"/>
        <w:numPr>
          <w:ilvl w:val="1"/>
          <w:numId w:val="30"/>
        </w:numPr>
        <w:spacing w:after="0"/>
        <w:rPr>
          <w:rFonts w:ascii="Calibri" w:hAnsi="Calibri" w:cs="Calibri"/>
        </w:rPr>
      </w:pPr>
      <w:r w:rsidRPr="008A425D">
        <w:rPr>
          <w:rFonts w:ascii="Calibri" w:hAnsi="Calibri" w:cs="Calibri"/>
        </w:rPr>
        <w:t>The Select Care tier contains generic drugs related to CMS Star Measures or other quality measures:</w:t>
      </w:r>
    </w:p>
    <w:p w14:paraId="70C2E212" w14:textId="77777777" w:rsidR="008A425D" w:rsidRPr="008A425D" w:rsidRDefault="008A425D" w:rsidP="008A425D">
      <w:pPr>
        <w:pStyle w:val="ListParagraph"/>
        <w:numPr>
          <w:ilvl w:val="2"/>
          <w:numId w:val="30"/>
        </w:numPr>
        <w:spacing w:after="0"/>
        <w:rPr>
          <w:rFonts w:ascii="Calibri" w:hAnsi="Calibri" w:cs="Calibri"/>
        </w:rPr>
      </w:pPr>
      <w:r w:rsidRPr="008A425D">
        <w:rPr>
          <w:rFonts w:ascii="Calibri" w:hAnsi="Calibri" w:cs="Calibri"/>
        </w:rPr>
        <w:t>statins</w:t>
      </w:r>
    </w:p>
    <w:p w14:paraId="7F67D01C" w14:textId="77777777" w:rsidR="008A425D" w:rsidRPr="008A425D" w:rsidRDefault="008A425D" w:rsidP="008A425D">
      <w:pPr>
        <w:pStyle w:val="ListParagraph"/>
        <w:numPr>
          <w:ilvl w:val="2"/>
          <w:numId w:val="30"/>
        </w:numPr>
        <w:spacing w:after="0"/>
        <w:rPr>
          <w:rFonts w:ascii="Calibri" w:hAnsi="Calibri" w:cs="Calibri"/>
        </w:rPr>
      </w:pPr>
      <w:r w:rsidRPr="008A425D">
        <w:rPr>
          <w:rFonts w:ascii="Calibri" w:hAnsi="Calibri" w:cs="Calibri"/>
        </w:rPr>
        <w:t>renin-angiotensin system (RAS) antagonists (ACE inhibitors and ARBs)</w:t>
      </w:r>
    </w:p>
    <w:p w14:paraId="4CA7C0E0" w14:textId="77777777" w:rsidR="008A425D" w:rsidRPr="008A425D" w:rsidRDefault="008A425D" w:rsidP="008A425D">
      <w:pPr>
        <w:pStyle w:val="ListParagraph"/>
        <w:numPr>
          <w:ilvl w:val="2"/>
          <w:numId w:val="30"/>
        </w:numPr>
        <w:spacing w:after="0"/>
        <w:rPr>
          <w:rFonts w:ascii="Calibri" w:hAnsi="Calibri" w:cs="Calibri"/>
        </w:rPr>
      </w:pPr>
      <w:r w:rsidRPr="008A425D">
        <w:rPr>
          <w:rFonts w:ascii="Calibri" w:hAnsi="Calibri" w:cs="Calibri"/>
        </w:rPr>
        <w:t>oral diabetes drugs</w:t>
      </w:r>
    </w:p>
    <w:p w14:paraId="5A9F3135" w14:textId="77777777" w:rsidR="008A425D" w:rsidRPr="008A425D" w:rsidRDefault="008A425D" w:rsidP="008A425D">
      <w:pPr>
        <w:pStyle w:val="ListParagraph"/>
        <w:numPr>
          <w:ilvl w:val="2"/>
          <w:numId w:val="30"/>
        </w:numPr>
        <w:spacing w:after="0"/>
        <w:rPr>
          <w:rFonts w:ascii="Calibri" w:hAnsi="Calibri" w:cs="Calibri"/>
        </w:rPr>
      </w:pPr>
      <w:r w:rsidRPr="008A425D">
        <w:rPr>
          <w:rFonts w:ascii="Calibri" w:hAnsi="Calibri" w:cs="Calibri"/>
        </w:rPr>
        <w:t>bisphosphonates</w:t>
      </w:r>
    </w:p>
    <w:p w14:paraId="282FA44F" w14:textId="77777777" w:rsidR="008A425D" w:rsidRPr="008A425D" w:rsidRDefault="008A425D" w:rsidP="008A425D">
      <w:pPr>
        <w:pStyle w:val="ListParagraph"/>
        <w:numPr>
          <w:ilvl w:val="2"/>
          <w:numId w:val="30"/>
        </w:numPr>
        <w:spacing w:after="0"/>
        <w:rPr>
          <w:rFonts w:ascii="Calibri" w:hAnsi="Calibri" w:cs="Calibri"/>
        </w:rPr>
      </w:pPr>
      <w:r w:rsidRPr="008A425D">
        <w:rPr>
          <w:rFonts w:ascii="Calibri" w:hAnsi="Calibri" w:cs="Calibri"/>
        </w:rPr>
        <w:t>DMARDs (methotrexate, sulfasalazine)</w:t>
      </w:r>
    </w:p>
    <w:p w14:paraId="46BF2D4F" w14:textId="77777777" w:rsidR="008A425D" w:rsidRPr="008A425D" w:rsidRDefault="008A425D" w:rsidP="008A425D">
      <w:pPr>
        <w:spacing w:after="0"/>
        <w:rPr>
          <w:rFonts w:ascii="Calibri" w:hAnsi="Calibri" w:cs="Calibri"/>
          <w:sz w:val="24"/>
          <w:szCs w:val="24"/>
        </w:rPr>
      </w:pPr>
    </w:p>
    <w:p w14:paraId="2F3A1BE6" w14:textId="77777777" w:rsidR="008A425D" w:rsidRPr="008A425D" w:rsidRDefault="008A425D" w:rsidP="008A425D">
      <w:pPr>
        <w:pStyle w:val="ListParagraph"/>
        <w:numPr>
          <w:ilvl w:val="0"/>
          <w:numId w:val="30"/>
        </w:numPr>
        <w:spacing w:after="0"/>
        <w:rPr>
          <w:rFonts w:ascii="Calibri" w:hAnsi="Calibri" w:cs="Calibri"/>
        </w:rPr>
      </w:pPr>
      <w:r w:rsidRPr="008A425D">
        <w:rPr>
          <w:rFonts w:ascii="Calibri" w:hAnsi="Calibri" w:cs="Calibri"/>
        </w:rPr>
        <w:t>Our Part D plan remains a six-tier plan.  Once members have met their deductible (if applicable) they will pay the copay or co-insurance listed in the chart.</w:t>
      </w:r>
    </w:p>
    <w:p w14:paraId="634D051E" w14:textId="77777777" w:rsidR="008A425D" w:rsidRPr="008A425D" w:rsidRDefault="008A425D" w:rsidP="008A425D">
      <w:pPr>
        <w:pStyle w:val="ListParagraph"/>
        <w:spacing w:after="0"/>
        <w:rPr>
          <w:rFonts w:ascii="Calibri" w:hAnsi="Calibri" w:cs="Calibri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707"/>
        <w:gridCol w:w="2944"/>
        <w:gridCol w:w="2619"/>
      </w:tblGrid>
      <w:tr w:rsidR="008A425D" w:rsidRPr="008A425D" w14:paraId="04C229D8" w14:textId="77777777" w:rsidTr="00063A00">
        <w:trPr>
          <w:trHeight w:val="300"/>
        </w:trPr>
        <w:tc>
          <w:tcPr>
            <w:tcW w:w="2842" w:type="dxa"/>
            <w:shd w:val="clear" w:color="auto" w:fill="BFBFBF" w:themeFill="background1" w:themeFillShade="BF"/>
          </w:tcPr>
          <w:p w14:paraId="1CCA4371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  <w:b/>
                <w:bCs/>
              </w:rPr>
            </w:pPr>
            <w:r w:rsidRPr="008A425D">
              <w:rPr>
                <w:rFonts w:ascii="Calibri" w:hAnsi="Calibri" w:cs="Calibri"/>
                <w:b/>
                <w:bCs/>
              </w:rPr>
              <w:t>Tier Value</w:t>
            </w:r>
          </w:p>
        </w:tc>
        <w:tc>
          <w:tcPr>
            <w:tcW w:w="3069" w:type="dxa"/>
            <w:shd w:val="clear" w:color="auto" w:fill="BFBFBF" w:themeFill="background1" w:themeFillShade="BF"/>
          </w:tcPr>
          <w:p w14:paraId="1689FCFA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  <w:b/>
                <w:bCs/>
              </w:rPr>
            </w:pPr>
            <w:r w:rsidRPr="008A425D">
              <w:rPr>
                <w:rFonts w:ascii="Calibri" w:hAnsi="Calibri" w:cs="Calibri"/>
                <w:b/>
                <w:bCs/>
              </w:rPr>
              <w:t>Tier Name</w:t>
            </w:r>
          </w:p>
        </w:tc>
        <w:tc>
          <w:tcPr>
            <w:tcW w:w="2719" w:type="dxa"/>
            <w:shd w:val="clear" w:color="auto" w:fill="BFBFBF" w:themeFill="background1" w:themeFillShade="BF"/>
          </w:tcPr>
          <w:p w14:paraId="46BABBC4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  <w:b/>
                <w:bCs/>
              </w:rPr>
            </w:pPr>
            <w:r w:rsidRPr="008A425D">
              <w:rPr>
                <w:rFonts w:ascii="Calibri" w:hAnsi="Calibri" w:cs="Calibri"/>
                <w:b/>
                <w:bCs/>
              </w:rPr>
              <w:t>Copay or Co-insurance</w:t>
            </w:r>
          </w:p>
        </w:tc>
      </w:tr>
      <w:tr w:rsidR="008A425D" w:rsidRPr="008A425D" w14:paraId="4EE79D89" w14:textId="77777777" w:rsidTr="00063A00">
        <w:trPr>
          <w:trHeight w:val="300"/>
        </w:trPr>
        <w:tc>
          <w:tcPr>
            <w:tcW w:w="2842" w:type="dxa"/>
          </w:tcPr>
          <w:p w14:paraId="27CBFC91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Tier 1</w:t>
            </w:r>
          </w:p>
        </w:tc>
        <w:tc>
          <w:tcPr>
            <w:tcW w:w="3069" w:type="dxa"/>
          </w:tcPr>
          <w:p w14:paraId="57A509E3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Preferred generic</w:t>
            </w:r>
          </w:p>
        </w:tc>
        <w:tc>
          <w:tcPr>
            <w:tcW w:w="2719" w:type="dxa"/>
          </w:tcPr>
          <w:p w14:paraId="717920AE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$0</w:t>
            </w:r>
          </w:p>
        </w:tc>
      </w:tr>
      <w:tr w:rsidR="008A425D" w:rsidRPr="008A425D" w14:paraId="5FAA4CB2" w14:textId="77777777" w:rsidTr="00063A00">
        <w:trPr>
          <w:trHeight w:val="300"/>
        </w:trPr>
        <w:tc>
          <w:tcPr>
            <w:tcW w:w="2842" w:type="dxa"/>
          </w:tcPr>
          <w:p w14:paraId="26936105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Tier 2</w:t>
            </w:r>
          </w:p>
        </w:tc>
        <w:tc>
          <w:tcPr>
            <w:tcW w:w="3069" w:type="dxa"/>
          </w:tcPr>
          <w:p w14:paraId="7EFDC4E5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Generic</w:t>
            </w:r>
          </w:p>
        </w:tc>
        <w:tc>
          <w:tcPr>
            <w:tcW w:w="2719" w:type="dxa"/>
          </w:tcPr>
          <w:p w14:paraId="68777B5A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Copay varies by plan</w:t>
            </w:r>
          </w:p>
          <w:p w14:paraId="4AC416C4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($9-$20)</w:t>
            </w:r>
          </w:p>
        </w:tc>
      </w:tr>
      <w:tr w:rsidR="008A425D" w:rsidRPr="008A425D" w14:paraId="20E3CD52" w14:textId="77777777" w:rsidTr="00063A00">
        <w:trPr>
          <w:trHeight w:val="300"/>
        </w:trPr>
        <w:tc>
          <w:tcPr>
            <w:tcW w:w="2842" w:type="dxa"/>
          </w:tcPr>
          <w:p w14:paraId="234D2D4B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Tier 3</w:t>
            </w:r>
          </w:p>
        </w:tc>
        <w:tc>
          <w:tcPr>
            <w:tcW w:w="3069" w:type="dxa"/>
          </w:tcPr>
          <w:p w14:paraId="62CF6DE9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Preferred brand</w:t>
            </w:r>
          </w:p>
        </w:tc>
        <w:tc>
          <w:tcPr>
            <w:tcW w:w="2719" w:type="dxa"/>
          </w:tcPr>
          <w:p w14:paraId="4AB8716A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$47</w:t>
            </w:r>
          </w:p>
        </w:tc>
      </w:tr>
      <w:tr w:rsidR="008A425D" w:rsidRPr="008A425D" w14:paraId="2F3B15EB" w14:textId="77777777" w:rsidTr="00063A00">
        <w:trPr>
          <w:trHeight w:val="300"/>
        </w:trPr>
        <w:tc>
          <w:tcPr>
            <w:tcW w:w="2842" w:type="dxa"/>
          </w:tcPr>
          <w:p w14:paraId="5E488626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lastRenderedPageBreak/>
              <w:t>Tier 4</w:t>
            </w:r>
          </w:p>
        </w:tc>
        <w:tc>
          <w:tcPr>
            <w:tcW w:w="3069" w:type="dxa"/>
          </w:tcPr>
          <w:p w14:paraId="1F4F44F6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Non-preferred drugs</w:t>
            </w:r>
          </w:p>
        </w:tc>
        <w:tc>
          <w:tcPr>
            <w:tcW w:w="2719" w:type="dxa"/>
          </w:tcPr>
          <w:p w14:paraId="3F154D16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$100</w:t>
            </w:r>
          </w:p>
        </w:tc>
      </w:tr>
      <w:tr w:rsidR="008A425D" w:rsidRPr="008A425D" w14:paraId="63FBB233" w14:textId="77777777" w:rsidTr="00063A00">
        <w:trPr>
          <w:trHeight w:val="300"/>
        </w:trPr>
        <w:tc>
          <w:tcPr>
            <w:tcW w:w="2842" w:type="dxa"/>
          </w:tcPr>
          <w:p w14:paraId="08C49272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Tier 5</w:t>
            </w:r>
          </w:p>
        </w:tc>
        <w:tc>
          <w:tcPr>
            <w:tcW w:w="3069" w:type="dxa"/>
          </w:tcPr>
          <w:p w14:paraId="7832CA1F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Specialty</w:t>
            </w:r>
          </w:p>
        </w:tc>
        <w:tc>
          <w:tcPr>
            <w:tcW w:w="2719" w:type="dxa"/>
          </w:tcPr>
          <w:p w14:paraId="4F80F5A1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Co-insurance varies by plan</w:t>
            </w:r>
          </w:p>
          <w:p w14:paraId="215C10C2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(29%-33%)</w:t>
            </w:r>
          </w:p>
        </w:tc>
      </w:tr>
      <w:tr w:rsidR="008A425D" w:rsidRPr="008A425D" w14:paraId="556C1103" w14:textId="77777777" w:rsidTr="00063A00">
        <w:trPr>
          <w:trHeight w:val="300"/>
        </w:trPr>
        <w:tc>
          <w:tcPr>
            <w:tcW w:w="2842" w:type="dxa"/>
          </w:tcPr>
          <w:p w14:paraId="49F0328E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Tier 6</w:t>
            </w:r>
          </w:p>
        </w:tc>
        <w:tc>
          <w:tcPr>
            <w:tcW w:w="3069" w:type="dxa"/>
          </w:tcPr>
          <w:p w14:paraId="1ED05E3C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Select Care</w:t>
            </w:r>
          </w:p>
        </w:tc>
        <w:tc>
          <w:tcPr>
            <w:tcW w:w="2719" w:type="dxa"/>
          </w:tcPr>
          <w:p w14:paraId="3ABBE5CF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$0</w:t>
            </w:r>
          </w:p>
        </w:tc>
      </w:tr>
    </w:tbl>
    <w:p w14:paraId="2DD57FA0" w14:textId="77777777" w:rsidR="008A425D" w:rsidRPr="008A425D" w:rsidRDefault="008A425D" w:rsidP="008A425D">
      <w:pPr>
        <w:pStyle w:val="ListParagraph"/>
        <w:spacing w:after="0"/>
        <w:rPr>
          <w:rFonts w:ascii="Calibri" w:hAnsi="Calibri" w:cs="Calibri"/>
        </w:rPr>
      </w:pPr>
    </w:p>
    <w:p w14:paraId="728DE74D" w14:textId="77777777" w:rsidR="008A425D" w:rsidRPr="008A425D" w:rsidRDefault="008A425D" w:rsidP="008A425D">
      <w:pPr>
        <w:pStyle w:val="ListParagraph"/>
        <w:spacing w:after="0"/>
        <w:rPr>
          <w:rFonts w:ascii="Calibri" w:hAnsi="Calibri" w:cs="Calibri"/>
        </w:rPr>
      </w:pPr>
      <w:r w:rsidRPr="008A425D">
        <w:rPr>
          <w:rFonts w:ascii="Calibri" w:hAnsi="Calibri" w:cs="Calibri"/>
          <w:b/>
          <w:bCs/>
        </w:rPr>
        <w:t>IMPORTANT:</w:t>
      </w:r>
      <w:r w:rsidRPr="008A425D">
        <w:rPr>
          <w:rFonts w:ascii="Calibri" w:hAnsi="Calibri" w:cs="Calibri"/>
        </w:rPr>
        <w:t xml:space="preserve">  For 2025, most competing plans have gone to co-insurance for tier 4. This results in unknown and potentially increased costs for members. </w:t>
      </w:r>
    </w:p>
    <w:p w14:paraId="48EF6E6E" w14:textId="77777777" w:rsidR="008A425D" w:rsidRPr="008A425D" w:rsidRDefault="008A425D" w:rsidP="008A425D">
      <w:pPr>
        <w:pStyle w:val="ListParagraph"/>
        <w:spacing w:after="0"/>
        <w:rPr>
          <w:rFonts w:ascii="Calibri" w:hAnsi="Calibri" w:cs="Calibri"/>
        </w:rPr>
      </w:pPr>
    </w:p>
    <w:p w14:paraId="246C5CBC" w14:textId="77777777" w:rsidR="008A425D" w:rsidRPr="008A425D" w:rsidRDefault="008A425D" w:rsidP="008A425D">
      <w:pPr>
        <w:pStyle w:val="ListParagraph"/>
        <w:numPr>
          <w:ilvl w:val="0"/>
          <w:numId w:val="27"/>
        </w:numPr>
        <w:spacing w:after="0"/>
        <w:rPr>
          <w:rFonts w:ascii="Calibri" w:hAnsi="Calibri" w:cs="Calibri"/>
        </w:rPr>
      </w:pPr>
      <w:r w:rsidRPr="008A425D">
        <w:rPr>
          <w:rFonts w:ascii="Calibri" w:hAnsi="Calibri" w:cs="Calibri"/>
        </w:rPr>
        <w:t xml:space="preserve">Most Part D vaccines are available at $0 when administered in a provider’s office or at any network pharmacy. </w:t>
      </w:r>
    </w:p>
    <w:p w14:paraId="6C2E6BEA" w14:textId="77777777" w:rsidR="008A425D" w:rsidRPr="008A425D" w:rsidRDefault="008A425D" w:rsidP="008A425D">
      <w:pPr>
        <w:pStyle w:val="ListParagraph"/>
        <w:spacing w:after="0"/>
        <w:rPr>
          <w:rFonts w:ascii="Calibri" w:hAnsi="Calibri" w:cs="Calibri"/>
        </w:rPr>
      </w:pPr>
    </w:p>
    <w:p w14:paraId="4BEEE51F" w14:textId="77777777" w:rsidR="008A425D" w:rsidRPr="008A425D" w:rsidRDefault="008A425D" w:rsidP="008A425D">
      <w:pPr>
        <w:pStyle w:val="ListParagraph"/>
        <w:numPr>
          <w:ilvl w:val="0"/>
          <w:numId w:val="27"/>
        </w:numPr>
        <w:spacing w:after="0"/>
        <w:rPr>
          <w:rFonts w:ascii="Calibri" w:hAnsi="Calibri" w:cs="Calibri"/>
        </w:rPr>
      </w:pPr>
      <w:r w:rsidRPr="008A425D">
        <w:rPr>
          <w:rFonts w:ascii="Calibri" w:hAnsi="Calibri" w:cs="Calibri"/>
        </w:rPr>
        <w:t xml:space="preserve">The copay for a month’s supply of covered insulins will be no more than $35 when self-injected or via an insulin pump. </w:t>
      </w:r>
    </w:p>
    <w:p w14:paraId="26D8AC82" w14:textId="77777777" w:rsidR="008A425D" w:rsidRPr="008A425D" w:rsidRDefault="008A425D" w:rsidP="008A425D">
      <w:pPr>
        <w:rPr>
          <w:rFonts w:ascii="Calibri" w:hAnsi="Calibri" w:cs="Calibri"/>
          <w:sz w:val="24"/>
          <w:szCs w:val="24"/>
        </w:rPr>
      </w:pPr>
    </w:p>
    <w:p w14:paraId="43E042A9" w14:textId="10F6BEEB" w:rsidR="00556C71" w:rsidRPr="008A425D" w:rsidRDefault="008A425D" w:rsidP="00361A0A">
      <w:pPr>
        <w:rPr>
          <w:rFonts w:ascii="Calibri" w:hAnsi="Calibri" w:cs="Calibri"/>
          <w:sz w:val="24"/>
          <w:szCs w:val="24"/>
        </w:rPr>
      </w:pPr>
      <w:r w:rsidRPr="008A425D">
        <w:rPr>
          <w:rFonts w:ascii="Calibri" w:hAnsi="Calibri" w:cs="Calibri"/>
          <w:sz w:val="24"/>
          <w:szCs w:val="24"/>
        </w:rPr>
        <w:t>If you have any questions about Security Health Plan’s Part D benefit, please contact Security Health Plan Pharmacy Services at 1-877-873-5611.</w:t>
      </w:r>
    </w:p>
    <w:sectPr w:rsidR="00556C71" w:rsidRPr="008A425D" w:rsidSect="00D33C74">
      <w:headerReference w:type="default" r:id="rId9"/>
      <w:footerReference w:type="default" r:id="rId10"/>
      <w:pgSz w:w="12240" w:h="15840"/>
      <w:pgMar w:top="2340" w:right="1620" w:bottom="72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AA849" w14:textId="77777777" w:rsidR="008A425D" w:rsidRDefault="008A425D" w:rsidP="00EA2AFA">
      <w:r>
        <w:separator/>
      </w:r>
    </w:p>
  </w:endnote>
  <w:endnote w:type="continuationSeparator" w:id="0">
    <w:p w14:paraId="780BC116" w14:textId="77777777" w:rsidR="008A425D" w:rsidRDefault="008A425D" w:rsidP="00EA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er">
    <w:altName w:val="Calibri"/>
    <w:charset w:val="00"/>
    <w:family w:val="auto"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774BE" w14:textId="77777777" w:rsidR="00D84F0A" w:rsidRDefault="00905BF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4E749A" wp14:editId="30DC29D6">
              <wp:simplePos x="0" y="0"/>
              <wp:positionH relativeFrom="page">
                <wp:posOffset>3175</wp:posOffset>
              </wp:positionH>
              <wp:positionV relativeFrom="page">
                <wp:posOffset>9678670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999594" id="Rectangle 3" o:spid="_x0000_s1026" style="position:absolute;margin-left:.25pt;margin-top:762.1pt;width:630pt;height:1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" fillcolor="#203c7b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A389F" w14:textId="77777777" w:rsidR="008A425D" w:rsidRDefault="008A425D" w:rsidP="00EA2AFA">
      <w:r>
        <w:separator/>
      </w:r>
    </w:p>
  </w:footnote>
  <w:footnote w:type="continuationSeparator" w:id="0">
    <w:p w14:paraId="1EB89D9F" w14:textId="77777777" w:rsidR="008A425D" w:rsidRDefault="008A425D" w:rsidP="00EA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12630" w14:textId="77777777" w:rsidR="00EA2AFA" w:rsidRDefault="00175E2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77128F2" wp14:editId="4B3CD3C2">
              <wp:simplePos x="0" y="0"/>
              <wp:positionH relativeFrom="column">
                <wp:posOffset>-1056005</wp:posOffset>
              </wp:positionH>
              <wp:positionV relativeFrom="paragraph">
                <wp:posOffset>-461010</wp:posOffset>
              </wp:positionV>
              <wp:extent cx="7872730" cy="880110"/>
              <wp:effectExtent l="0" t="0" r="13970" b="15240"/>
              <wp:wrapNone/>
              <wp:docPr id="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2730" cy="88011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350536" id="Rectangle 1" o:spid="_x0000_s1026" style="position:absolute;margin-left:-83.15pt;margin-top:-36.3pt;width:619.9pt;height:6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" fillcolor="#203c7b"/>
          </w:pict>
        </mc:Fallback>
      </mc:AlternateContent>
    </w:r>
  </w:p>
  <w:p w14:paraId="40A2CB7D" w14:textId="77777777" w:rsidR="00EA2AFA" w:rsidRDefault="00D84F0A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7949F73" wp14:editId="1BB60726">
          <wp:simplePos x="0" y="0"/>
          <wp:positionH relativeFrom="column">
            <wp:posOffset>3932237</wp:posOffset>
          </wp:positionH>
          <wp:positionV relativeFrom="paragraph">
            <wp:posOffset>-424815</wp:posOffset>
          </wp:positionV>
          <wp:extent cx="2730500" cy="493395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_logo_-«tag_whi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0500" cy="49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5BF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13D06C3" wp14:editId="0D392509">
              <wp:simplePos x="0" y="0"/>
              <wp:positionH relativeFrom="page">
                <wp:posOffset>-32385</wp:posOffset>
              </wp:positionH>
              <wp:positionV relativeFrom="page">
                <wp:posOffset>880110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FFEF6F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031837" id="Rectangle 4" o:spid="_x0000_s1026" style="position:absolute;margin-left:-2.55pt;margin-top:69.3pt;width:630pt;height:13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" fillcolor="#ffef6f" stroked="f">
              <v:textbox inset=",7.2pt,,7.2pt"/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C82"/>
    <w:multiLevelType w:val="hybridMultilevel"/>
    <w:tmpl w:val="C7E40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87EAC"/>
    <w:multiLevelType w:val="hybridMultilevel"/>
    <w:tmpl w:val="CB6EE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238C2"/>
    <w:multiLevelType w:val="hybridMultilevel"/>
    <w:tmpl w:val="BCE6385C"/>
    <w:lvl w:ilvl="0" w:tplc="E0F013E0">
      <w:numFmt w:val="bullet"/>
      <w:lvlText w:val="-"/>
      <w:lvlJc w:val="left"/>
      <w:pPr>
        <w:ind w:left="720" w:hanging="360"/>
      </w:pPr>
      <w:rPr>
        <w:rFonts w:ascii="Aller" w:eastAsiaTheme="minorHAnsi" w:hAnsi="Alle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851D1"/>
    <w:multiLevelType w:val="hybridMultilevel"/>
    <w:tmpl w:val="E52C5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C710B"/>
    <w:multiLevelType w:val="multilevel"/>
    <w:tmpl w:val="318059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027790"/>
    <w:multiLevelType w:val="hybridMultilevel"/>
    <w:tmpl w:val="C3F41C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B725BE"/>
    <w:multiLevelType w:val="hybridMultilevel"/>
    <w:tmpl w:val="5B6A5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96991"/>
    <w:multiLevelType w:val="hybridMultilevel"/>
    <w:tmpl w:val="3F6EE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16C9EC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F404FA"/>
    <w:multiLevelType w:val="hybridMultilevel"/>
    <w:tmpl w:val="421825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AD54AE"/>
    <w:multiLevelType w:val="hybridMultilevel"/>
    <w:tmpl w:val="C0422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D5515"/>
    <w:multiLevelType w:val="hybridMultilevel"/>
    <w:tmpl w:val="206AE026"/>
    <w:lvl w:ilvl="0" w:tplc="F3D02D96">
      <w:start w:val="1"/>
      <w:numFmt w:val="bullet"/>
      <w:pStyle w:val="SidebarLis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C2020"/>
    <w:multiLevelType w:val="hybridMultilevel"/>
    <w:tmpl w:val="4F1C5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1A3F96"/>
    <w:multiLevelType w:val="hybridMultilevel"/>
    <w:tmpl w:val="1CF2CF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A1125B"/>
    <w:multiLevelType w:val="hybridMultilevel"/>
    <w:tmpl w:val="CB147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E35B3"/>
    <w:multiLevelType w:val="hybridMultilevel"/>
    <w:tmpl w:val="4B6A71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7012CA"/>
    <w:multiLevelType w:val="hybridMultilevel"/>
    <w:tmpl w:val="1A84B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872232"/>
    <w:multiLevelType w:val="hybridMultilevel"/>
    <w:tmpl w:val="1C9C0D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4A575B"/>
    <w:multiLevelType w:val="hybridMultilevel"/>
    <w:tmpl w:val="33326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982AA6"/>
    <w:multiLevelType w:val="hybridMultilevel"/>
    <w:tmpl w:val="A25C1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E633E9"/>
    <w:multiLevelType w:val="multilevel"/>
    <w:tmpl w:val="2FC86D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876584"/>
    <w:multiLevelType w:val="hybridMultilevel"/>
    <w:tmpl w:val="6A827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C87913"/>
    <w:multiLevelType w:val="hybridMultilevel"/>
    <w:tmpl w:val="2E26D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C6731C"/>
    <w:multiLevelType w:val="hybridMultilevel"/>
    <w:tmpl w:val="FC4EC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611550"/>
    <w:multiLevelType w:val="hybridMultilevel"/>
    <w:tmpl w:val="BEB47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0077A"/>
    <w:multiLevelType w:val="hybridMultilevel"/>
    <w:tmpl w:val="FE8CD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D92719"/>
    <w:multiLevelType w:val="hybridMultilevel"/>
    <w:tmpl w:val="26D8B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8C4C88"/>
    <w:multiLevelType w:val="hybridMultilevel"/>
    <w:tmpl w:val="5BDC8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322F05"/>
    <w:multiLevelType w:val="multilevel"/>
    <w:tmpl w:val="11E038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92142F"/>
    <w:multiLevelType w:val="hybridMultilevel"/>
    <w:tmpl w:val="FC063626"/>
    <w:lvl w:ilvl="0" w:tplc="7ABC02E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C00D2A"/>
    <w:multiLevelType w:val="hybridMultilevel"/>
    <w:tmpl w:val="4BA0C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3F3DA5"/>
    <w:multiLevelType w:val="hybridMultilevel"/>
    <w:tmpl w:val="A36261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29164CC"/>
    <w:multiLevelType w:val="hybridMultilevel"/>
    <w:tmpl w:val="7E2E2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DF1881"/>
    <w:multiLevelType w:val="hybridMultilevel"/>
    <w:tmpl w:val="094E3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8222F9"/>
    <w:multiLevelType w:val="hybridMultilevel"/>
    <w:tmpl w:val="C14AD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3435D2"/>
    <w:multiLevelType w:val="hybridMultilevel"/>
    <w:tmpl w:val="C96A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897263"/>
    <w:multiLevelType w:val="multilevel"/>
    <w:tmpl w:val="CC648C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3E2A3A"/>
    <w:multiLevelType w:val="hybridMultilevel"/>
    <w:tmpl w:val="45040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0548498">
    <w:abstractNumId w:val="21"/>
  </w:num>
  <w:num w:numId="2" w16cid:durableId="747385832">
    <w:abstractNumId w:val="20"/>
  </w:num>
  <w:num w:numId="3" w16cid:durableId="1964844111">
    <w:abstractNumId w:val="10"/>
  </w:num>
  <w:num w:numId="4" w16cid:durableId="1716004509">
    <w:abstractNumId w:val="31"/>
  </w:num>
  <w:num w:numId="5" w16cid:durableId="1377704470">
    <w:abstractNumId w:val="28"/>
  </w:num>
  <w:num w:numId="6" w16cid:durableId="212549451">
    <w:abstractNumId w:val="2"/>
  </w:num>
  <w:num w:numId="7" w16cid:durableId="325133308">
    <w:abstractNumId w:val="15"/>
  </w:num>
  <w:num w:numId="8" w16cid:durableId="1198813294">
    <w:abstractNumId w:val="34"/>
  </w:num>
  <w:num w:numId="9" w16cid:durableId="1367414582">
    <w:abstractNumId w:val="0"/>
  </w:num>
  <w:num w:numId="10" w16cid:durableId="19098759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44639139">
    <w:abstractNumId w:val="7"/>
  </w:num>
  <w:num w:numId="12" w16cid:durableId="2050570642">
    <w:abstractNumId w:val="9"/>
  </w:num>
  <w:num w:numId="13" w16cid:durableId="2146585214">
    <w:abstractNumId w:val="29"/>
  </w:num>
  <w:num w:numId="14" w16cid:durableId="902107113">
    <w:abstractNumId w:val="36"/>
  </w:num>
  <w:num w:numId="15" w16cid:durableId="1192263385">
    <w:abstractNumId w:val="17"/>
  </w:num>
  <w:num w:numId="16" w16cid:durableId="376202811">
    <w:abstractNumId w:val="13"/>
  </w:num>
  <w:num w:numId="17" w16cid:durableId="929701847">
    <w:abstractNumId w:val="6"/>
  </w:num>
  <w:num w:numId="18" w16cid:durableId="101926906">
    <w:abstractNumId w:val="1"/>
  </w:num>
  <w:num w:numId="19" w16cid:durableId="1307932466">
    <w:abstractNumId w:val="18"/>
  </w:num>
  <w:num w:numId="20" w16cid:durableId="601644970">
    <w:abstractNumId w:val="25"/>
  </w:num>
  <w:num w:numId="21" w16cid:durableId="1748378399">
    <w:abstractNumId w:val="33"/>
  </w:num>
  <w:num w:numId="22" w16cid:durableId="33700773">
    <w:abstractNumId w:val="24"/>
  </w:num>
  <w:num w:numId="23" w16cid:durableId="1291205326">
    <w:abstractNumId w:val="22"/>
  </w:num>
  <w:num w:numId="24" w16cid:durableId="406851790">
    <w:abstractNumId w:val="11"/>
  </w:num>
  <w:num w:numId="25" w16cid:durableId="389966382">
    <w:abstractNumId w:val="3"/>
  </w:num>
  <w:num w:numId="26" w16cid:durableId="1833331188">
    <w:abstractNumId w:val="27"/>
  </w:num>
  <w:num w:numId="27" w16cid:durableId="498231965">
    <w:abstractNumId w:val="26"/>
  </w:num>
  <w:num w:numId="28" w16cid:durableId="717775725">
    <w:abstractNumId w:val="5"/>
  </w:num>
  <w:num w:numId="29" w16cid:durableId="1625768951">
    <w:abstractNumId w:val="12"/>
  </w:num>
  <w:num w:numId="30" w16cid:durableId="667561218">
    <w:abstractNumId w:val="32"/>
  </w:num>
  <w:num w:numId="31" w16cid:durableId="1440685903">
    <w:abstractNumId w:val="23"/>
  </w:num>
  <w:num w:numId="32" w16cid:durableId="2052537244">
    <w:abstractNumId w:val="4"/>
  </w:num>
  <w:num w:numId="33" w16cid:durableId="27073189">
    <w:abstractNumId w:val="35"/>
  </w:num>
  <w:num w:numId="34" w16cid:durableId="1492596688">
    <w:abstractNumId w:val="14"/>
  </w:num>
  <w:num w:numId="35" w16cid:durableId="301813363">
    <w:abstractNumId w:val="30"/>
  </w:num>
  <w:num w:numId="36" w16cid:durableId="1109740659">
    <w:abstractNumId w:val="19"/>
  </w:num>
  <w:num w:numId="37" w16cid:durableId="4408399">
    <w:abstractNumId w:val="16"/>
  </w:num>
  <w:num w:numId="38" w16cid:durableId="20628226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50">
      <o:colormru v:ext="edit" colors="#4f2683,#faa2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5D"/>
    <w:rsid w:val="0000112E"/>
    <w:rsid w:val="00035422"/>
    <w:rsid w:val="0005056A"/>
    <w:rsid w:val="0005642F"/>
    <w:rsid w:val="000B7FE9"/>
    <w:rsid w:val="000C502F"/>
    <w:rsid w:val="000D209F"/>
    <w:rsid w:val="000D3907"/>
    <w:rsid w:val="000E42C6"/>
    <w:rsid w:val="001149B1"/>
    <w:rsid w:val="00146C3C"/>
    <w:rsid w:val="00156E9F"/>
    <w:rsid w:val="00164876"/>
    <w:rsid w:val="00170F86"/>
    <w:rsid w:val="00172771"/>
    <w:rsid w:val="00175E22"/>
    <w:rsid w:val="00197C44"/>
    <w:rsid w:val="001C7C78"/>
    <w:rsid w:val="001E5C1D"/>
    <w:rsid w:val="001F13EB"/>
    <w:rsid w:val="001F7700"/>
    <w:rsid w:val="00202846"/>
    <w:rsid w:val="00211AF7"/>
    <w:rsid w:val="00230B4E"/>
    <w:rsid w:val="00240EC6"/>
    <w:rsid w:val="002463CE"/>
    <w:rsid w:val="002467FA"/>
    <w:rsid w:val="002525FB"/>
    <w:rsid w:val="00267D56"/>
    <w:rsid w:val="002823A6"/>
    <w:rsid w:val="0028272A"/>
    <w:rsid w:val="002A328D"/>
    <w:rsid w:val="002A4D54"/>
    <w:rsid w:val="002D0702"/>
    <w:rsid w:val="002E325C"/>
    <w:rsid w:val="002F5CDB"/>
    <w:rsid w:val="00313A53"/>
    <w:rsid w:val="0031769F"/>
    <w:rsid w:val="00361A0A"/>
    <w:rsid w:val="0039431E"/>
    <w:rsid w:val="003A390C"/>
    <w:rsid w:val="003B57E6"/>
    <w:rsid w:val="003D3EE5"/>
    <w:rsid w:val="003E1B32"/>
    <w:rsid w:val="003E564B"/>
    <w:rsid w:val="00402783"/>
    <w:rsid w:val="00422B18"/>
    <w:rsid w:val="00431F6D"/>
    <w:rsid w:val="00434E62"/>
    <w:rsid w:val="00475B25"/>
    <w:rsid w:val="0047735C"/>
    <w:rsid w:val="004B33D9"/>
    <w:rsid w:val="004D5BC4"/>
    <w:rsid w:val="004E2675"/>
    <w:rsid w:val="00520AC5"/>
    <w:rsid w:val="005301DF"/>
    <w:rsid w:val="0054202D"/>
    <w:rsid w:val="00556C71"/>
    <w:rsid w:val="00563295"/>
    <w:rsid w:val="00580E24"/>
    <w:rsid w:val="00583D0D"/>
    <w:rsid w:val="005D6A12"/>
    <w:rsid w:val="005E2505"/>
    <w:rsid w:val="00603DFC"/>
    <w:rsid w:val="00674D30"/>
    <w:rsid w:val="006936D4"/>
    <w:rsid w:val="0069673B"/>
    <w:rsid w:val="006A45C8"/>
    <w:rsid w:val="006B2377"/>
    <w:rsid w:val="006B75D8"/>
    <w:rsid w:val="006D49E7"/>
    <w:rsid w:val="006F1ED2"/>
    <w:rsid w:val="007071A8"/>
    <w:rsid w:val="00707C14"/>
    <w:rsid w:val="00714A4A"/>
    <w:rsid w:val="00717272"/>
    <w:rsid w:val="007556AF"/>
    <w:rsid w:val="00760E4B"/>
    <w:rsid w:val="00762DB1"/>
    <w:rsid w:val="0076640C"/>
    <w:rsid w:val="00767C60"/>
    <w:rsid w:val="007836AE"/>
    <w:rsid w:val="007A6F3C"/>
    <w:rsid w:val="007B49EE"/>
    <w:rsid w:val="007D1701"/>
    <w:rsid w:val="007D5CBF"/>
    <w:rsid w:val="007F5F9D"/>
    <w:rsid w:val="00803D20"/>
    <w:rsid w:val="00812414"/>
    <w:rsid w:val="00821526"/>
    <w:rsid w:val="0082470D"/>
    <w:rsid w:val="00837551"/>
    <w:rsid w:val="008741FB"/>
    <w:rsid w:val="00882A5B"/>
    <w:rsid w:val="0089455A"/>
    <w:rsid w:val="008A425D"/>
    <w:rsid w:val="008D195F"/>
    <w:rsid w:val="008E167C"/>
    <w:rsid w:val="009039FD"/>
    <w:rsid w:val="00905BF1"/>
    <w:rsid w:val="00912DB4"/>
    <w:rsid w:val="00960FDD"/>
    <w:rsid w:val="00962985"/>
    <w:rsid w:val="00970357"/>
    <w:rsid w:val="00971423"/>
    <w:rsid w:val="00982299"/>
    <w:rsid w:val="009A5A09"/>
    <w:rsid w:val="009B35D8"/>
    <w:rsid w:val="009B75CD"/>
    <w:rsid w:val="009C6129"/>
    <w:rsid w:val="009D3CC3"/>
    <w:rsid w:val="009D516D"/>
    <w:rsid w:val="009D78D2"/>
    <w:rsid w:val="009E049D"/>
    <w:rsid w:val="009E0E3D"/>
    <w:rsid w:val="009E2E6F"/>
    <w:rsid w:val="009F656C"/>
    <w:rsid w:val="009F66DE"/>
    <w:rsid w:val="00A00E0B"/>
    <w:rsid w:val="00A035BD"/>
    <w:rsid w:val="00A23D27"/>
    <w:rsid w:val="00A3181C"/>
    <w:rsid w:val="00A43A8D"/>
    <w:rsid w:val="00A511DF"/>
    <w:rsid w:val="00A51AAD"/>
    <w:rsid w:val="00A61143"/>
    <w:rsid w:val="00A82709"/>
    <w:rsid w:val="00A93F1B"/>
    <w:rsid w:val="00AE0919"/>
    <w:rsid w:val="00AF4209"/>
    <w:rsid w:val="00AF5151"/>
    <w:rsid w:val="00B12533"/>
    <w:rsid w:val="00B220EC"/>
    <w:rsid w:val="00B56A3A"/>
    <w:rsid w:val="00B674E9"/>
    <w:rsid w:val="00B77C12"/>
    <w:rsid w:val="00B948A6"/>
    <w:rsid w:val="00B965BA"/>
    <w:rsid w:val="00BD0007"/>
    <w:rsid w:val="00BD4146"/>
    <w:rsid w:val="00BE00EB"/>
    <w:rsid w:val="00C06DEA"/>
    <w:rsid w:val="00C213EC"/>
    <w:rsid w:val="00C4430D"/>
    <w:rsid w:val="00C47A63"/>
    <w:rsid w:val="00C54054"/>
    <w:rsid w:val="00C57DE2"/>
    <w:rsid w:val="00C66E73"/>
    <w:rsid w:val="00C83D78"/>
    <w:rsid w:val="00C93EED"/>
    <w:rsid w:val="00C96914"/>
    <w:rsid w:val="00CE5361"/>
    <w:rsid w:val="00D011B8"/>
    <w:rsid w:val="00D014E1"/>
    <w:rsid w:val="00D1453D"/>
    <w:rsid w:val="00D14668"/>
    <w:rsid w:val="00D23A7D"/>
    <w:rsid w:val="00D328EF"/>
    <w:rsid w:val="00D33C74"/>
    <w:rsid w:val="00D8245A"/>
    <w:rsid w:val="00D83E6C"/>
    <w:rsid w:val="00D84F0A"/>
    <w:rsid w:val="00D966A1"/>
    <w:rsid w:val="00DA5C44"/>
    <w:rsid w:val="00DA7519"/>
    <w:rsid w:val="00DB4BDE"/>
    <w:rsid w:val="00DD515F"/>
    <w:rsid w:val="00E023B5"/>
    <w:rsid w:val="00E157F9"/>
    <w:rsid w:val="00E23942"/>
    <w:rsid w:val="00E276E5"/>
    <w:rsid w:val="00E33169"/>
    <w:rsid w:val="00E55722"/>
    <w:rsid w:val="00E6528C"/>
    <w:rsid w:val="00E85DE0"/>
    <w:rsid w:val="00E93332"/>
    <w:rsid w:val="00E972DE"/>
    <w:rsid w:val="00EA2AFA"/>
    <w:rsid w:val="00EC6A3E"/>
    <w:rsid w:val="00EF6910"/>
    <w:rsid w:val="00F007A7"/>
    <w:rsid w:val="00F02231"/>
    <w:rsid w:val="00F05E2C"/>
    <w:rsid w:val="00F06DD0"/>
    <w:rsid w:val="00F52BEE"/>
    <w:rsid w:val="00F7274D"/>
    <w:rsid w:val="00F848D2"/>
    <w:rsid w:val="00F95333"/>
    <w:rsid w:val="00FA0C58"/>
    <w:rsid w:val="00FA11BE"/>
    <w:rsid w:val="00FA1911"/>
    <w:rsid w:val="00FA5997"/>
    <w:rsid w:val="00FC4E74"/>
    <w:rsid w:val="00FF247D"/>
    <w:rsid w:val="00FF4453"/>
    <w:rsid w:val="00FF4E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f2683,#faa21b"/>
    </o:shapedefaults>
    <o:shapelayout v:ext="edit">
      <o:idmap v:ext="edit" data="2"/>
    </o:shapelayout>
  </w:shapeDefaults>
  <w:doNotEmbedSmartTags/>
  <w:decimalSymbol w:val="."/>
  <w:listSeparator w:val=","/>
  <w14:docId w14:val="2401AF98"/>
  <w15:docId w15:val="{0CFE7511-E8D0-4033-B5AE-161A4EE6D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25D"/>
    <w:pPr>
      <w:spacing w:after="160" w:line="259" w:lineRule="auto"/>
    </w:pPr>
    <w:rPr>
      <w:kern w:val="2"/>
      <w:sz w:val="22"/>
      <w:szCs w:val="2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9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1DF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49B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14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letterHeading">
    <w:name w:val="Newsletter Heading"/>
    <w:basedOn w:val="Normal"/>
    <w:qFormat/>
    <w:rsid w:val="001149B1"/>
    <w:rPr>
      <w:rFonts w:asciiTheme="majorHAnsi" w:eastAsia="Times New Roman" w:hAnsiTheme="majorHAnsi"/>
      <w:b/>
      <w:color w:val="FFFFFF" w:themeColor="background1"/>
      <w:sz w:val="62"/>
      <w:szCs w:val="24"/>
    </w:rPr>
  </w:style>
  <w:style w:type="paragraph" w:customStyle="1" w:styleId="NewsletterSubhead">
    <w:name w:val="Newsletter Subhead"/>
    <w:basedOn w:val="Normal"/>
    <w:qFormat/>
    <w:rsid w:val="001149B1"/>
    <w:rPr>
      <w:rFonts w:ascii="Times New Roman" w:eastAsia="Times New Roman" w:hAnsi="Times New Roman"/>
      <w:color w:val="FFFFFF" w:themeColor="background1"/>
      <w:sz w:val="26"/>
      <w:szCs w:val="24"/>
    </w:rPr>
  </w:style>
  <w:style w:type="paragraph" w:customStyle="1" w:styleId="NewsletterHeadline">
    <w:name w:val="Newsletter Headline"/>
    <w:basedOn w:val="Normal"/>
    <w:qFormat/>
    <w:rsid w:val="00760E4B"/>
    <w:rPr>
      <w:rFonts w:asciiTheme="majorHAnsi" w:eastAsia="Times New Roman" w:hAnsiTheme="majorHAnsi"/>
      <w:b/>
      <w:sz w:val="32"/>
      <w:szCs w:val="24"/>
    </w:rPr>
  </w:style>
  <w:style w:type="paragraph" w:customStyle="1" w:styleId="NewsletterBody">
    <w:name w:val="Newsletter Body"/>
    <w:basedOn w:val="Normal"/>
    <w:qFormat/>
    <w:rsid w:val="00F7274D"/>
    <w:pPr>
      <w:spacing w:after="200"/>
      <w:jc w:val="both"/>
    </w:pPr>
    <w:rPr>
      <w:rFonts w:ascii="Times New Roman" w:eastAsia="Times New Roman" w:hAnsi="Times New Roman"/>
      <w:color w:val="000000"/>
      <w:szCs w:val="24"/>
    </w:rPr>
  </w:style>
  <w:style w:type="paragraph" w:customStyle="1" w:styleId="WhiteText">
    <w:name w:val="White Text"/>
    <w:basedOn w:val="Normal"/>
    <w:qFormat/>
    <w:rsid w:val="00D014E1"/>
    <w:rPr>
      <w:rFonts w:ascii="Times New Roman" w:eastAsia="Times New Roman" w:hAnsi="Times New Roman"/>
      <w:color w:val="FFFFFF" w:themeColor="background1"/>
      <w:sz w:val="20"/>
      <w:szCs w:val="24"/>
    </w:rPr>
  </w:style>
  <w:style w:type="paragraph" w:customStyle="1" w:styleId="CompanyName">
    <w:name w:val="Company Name"/>
    <w:basedOn w:val="NewsletterHeading"/>
    <w:qFormat/>
    <w:rsid w:val="003B57E6"/>
    <w:rPr>
      <w:sz w:val="52"/>
      <w:szCs w:val="52"/>
    </w:rPr>
  </w:style>
  <w:style w:type="paragraph" w:customStyle="1" w:styleId="NewsletterDate">
    <w:name w:val="Newsletter Date"/>
    <w:basedOn w:val="WhiteText"/>
    <w:qFormat/>
    <w:rsid w:val="00FA5997"/>
    <w:pPr>
      <w:jc w:val="right"/>
    </w:pPr>
  </w:style>
  <w:style w:type="paragraph" w:customStyle="1" w:styleId="Smallprint">
    <w:name w:val="Small print"/>
    <w:basedOn w:val="NewsletterBody"/>
    <w:qFormat/>
    <w:rsid w:val="006D49E7"/>
    <w:pPr>
      <w:jc w:val="right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A2AF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A2AFA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4F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328E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D328EF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516D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83E6C"/>
    <w:rPr>
      <w:color w:val="800080" w:themeColor="followedHyperlink"/>
      <w:u w:val="single"/>
    </w:rPr>
  </w:style>
  <w:style w:type="paragraph" w:customStyle="1" w:styleId="Caption1">
    <w:name w:val="Caption1"/>
    <w:basedOn w:val="Normal"/>
    <w:rsid w:val="00C54054"/>
    <w:pPr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SidebarList">
    <w:name w:val="Sidebar List"/>
    <w:next w:val="Normal"/>
    <w:rsid w:val="00C54054"/>
    <w:pPr>
      <w:numPr>
        <w:numId w:val="3"/>
      </w:numPr>
      <w:spacing w:after="80"/>
    </w:pPr>
    <w:rPr>
      <w:rFonts w:ascii="Tahoma" w:eastAsia="Times New Roman" w:hAnsi="Tahoma" w:cs="Times New Roman"/>
      <w:kern w:val="28"/>
      <w:sz w:val="18"/>
      <w:szCs w:val="18"/>
      <w:lang w:val="en"/>
    </w:rPr>
  </w:style>
  <w:style w:type="paragraph" w:customStyle="1" w:styleId="Default">
    <w:name w:val="Default"/>
    <w:rsid w:val="00DA7519"/>
    <w:pPr>
      <w:autoSpaceDE w:val="0"/>
      <w:autoSpaceDN w:val="0"/>
      <w:adjustRightInd w:val="0"/>
    </w:pPr>
    <w:rPr>
      <w:rFonts w:ascii="Aller" w:eastAsia="Times New Roman" w:hAnsi="Aller" w:cs="Aller"/>
      <w:color w:val="000000"/>
      <w:sz w:val="24"/>
      <w:szCs w:val="24"/>
    </w:rPr>
  </w:style>
  <w:style w:type="paragraph" w:customStyle="1" w:styleId="SidebarTitle">
    <w:name w:val="Sidebar Title"/>
    <w:next w:val="Normal"/>
    <w:rsid w:val="009F656C"/>
    <w:pPr>
      <w:spacing w:after="240"/>
    </w:pPr>
    <w:rPr>
      <w:rFonts w:ascii="Tahoma" w:eastAsia="Times New Roman" w:hAnsi="Tahoma" w:cs="Arial"/>
      <w:b/>
      <w:color w:val="0099FF"/>
    </w:rPr>
  </w:style>
  <w:style w:type="character" w:styleId="CommentReference">
    <w:name w:val="annotation reference"/>
    <w:basedOn w:val="DefaultParagraphFont"/>
    <w:semiHidden/>
    <w:unhideWhenUsed/>
    <w:rsid w:val="000C502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C50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C502F"/>
    <w:rPr>
      <w:rFonts w:ascii="Calibri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0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02F"/>
    <w:rPr>
      <w:rFonts w:ascii="Calibri" w:hAnsi="Calibri" w:cs="Times New Roman"/>
      <w:b/>
      <w:bCs/>
    </w:rPr>
  </w:style>
  <w:style w:type="character" w:customStyle="1" w:styleId="auto-style11">
    <w:name w:val="auto-style11"/>
    <w:basedOn w:val="DefaultParagraphFont"/>
    <w:rsid w:val="00252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Templates\SHP%20Templates\SHP%20RFP_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E1FBEA0A-EC32-4832-898C-17C97D115F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SHP RFP_Report Template.dotx</Template>
  <TotalTime>7</TotalTime>
  <Pages>3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>Marshfield Clinic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Rebecca Normington</dc:creator>
  <cp:lastModifiedBy>Normington, Rebecca J</cp:lastModifiedBy>
  <cp:revision>1</cp:revision>
  <cp:lastPrinted>2016-09-14T15:20:00Z</cp:lastPrinted>
  <dcterms:created xsi:type="dcterms:W3CDTF">2024-11-26T14:53:00Z</dcterms:created>
  <dcterms:modified xsi:type="dcterms:W3CDTF">2024-11-26T15:00:00Z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TC103360279990</vt:lpwstr>
  </property>
</Properties>
</file>