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987" w:rsidRPr="003F1987" w:rsidRDefault="003F1987" w:rsidP="003F1987">
      <w:pPr>
        <w:shd w:val="clear" w:color="auto" w:fill="FFFFFF"/>
        <w:contextualSpacing/>
        <w:rPr>
          <w:rFonts w:ascii="Calibri" w:eastAsia="Times New Roman" w:hAnsi="Calibri" w:cs="Calibri"/>
          <w:b/>
          <w:color w:val="000000"/>
          <w:kern w:val="36"/>
          <w:sz w:val="32"/>
          <w:szCs w:val="32"/>
        </w:rPr>
      </w:pPr>
      <w:r w:rsidRPr="003F1987">
        <w:rPr>
          <w:rFonts w:ascii="Calibri" w:eastAsia="Times New Roman" w:hAnsi="Calibri" w:cs="Calibri"/>
          <w:b/>
          <w:color w:val="000000"/>
          <w:kern w:val="36"/>
          <w:sz w:val="32"/>
          <w:szCs w:val="32"/>
        </w:rPr>
        <w:t>Switching to 102-day supply can help with medication adherence</w:t>
      </w:r>
    </w:p>
    <w:p w:rsidR="003F1987" w:rsidRDefault="003F1987" w:rsidP="003F1987">
      <w:pPr>
        <w:shd w:val="clear" w:color="auto" w:fill="FFFFFF"/>
        <w:contextualSpacing/>
        <w:rPr>
          <w:rFonts w:ascii="Times New Roman" w:eastAsia="Times New Roman" w:hAnsi="Times New Roman" w:cs="Times New Roman"/>
          <w:color w:val="505050"/>
        </w:rPr>
      </w:pPr>
    </w:p>
    <w:p w:rsidR="003F1987" w:rsidRPr="003F1987" w:rsidRDefault="003F1987" w:rsidP="003F1987">
      <w:pPr>
        <w:shd w:val="clear" w:color="auto" w:fill="FFFFFF"/>
        <w:contextualSpacing/>
        <w:rPr>
          <w:rFonts w:ascii="Calibri" w:eastAsia="Times New Roman" w:hAnsi="Calibri" w:cs="Calibri"/>
          <w:color w:val="505050"/>
        </w:rPr>
      </w:pPr>
      <w:r w:rsidRPr="003F1987">
        <w:rPr>
          <w:rFonts w:ascii="Calibri" w:eastAsia="Times New Roman" w:hAnsi="Calibri" w:cs="Calibri"/>
          <w:color w:val="505050"/>
        </w:rPr>
        <w:t xml:space="preserve">Since Jan. 1, 2022, Security Health Medicare Advantage Part D (MA-PD) plan members have been able to get up to a 102-day supply at one time for most prescription drugs. </w:t>
      </w:r>
      <w:r>
        <w:rPr>
          <w:rFonts w:ascii="Calibri" w:eastAsia="Times New Roman" w:hAnsi="Calibri" w:cs="Calibri"/>
          <w:color w:val="505050"/>
        </w:rPr>
        <w:br/>
      </w:r>
      <w:r w:rsidRPr="003F1987">
        <w:rPr>
          <w:rFonts w:ascii="Calibri" w:eastAsia="Times New Roman" w:hAnsi="Calibri" w:cs="Calibri"/>
          <w:color w:val="505050"/>
        </w:rPr>
        <w:t xml:space="preserve">The extended supply of medications </w:t>
      </w:r>
      <w:proofErr w:type="gramStart"/>
      <w:r w:rsidRPr="003F1987">
        <w:rPr>
          <w:rFonts w:ascii="Calibri" w:eastAsia="Times New Roman" w:hAnsi="Calibri" w:cs="Calibri"/>
          <w:color w:val="505050"/>
        </w:rPr>
        <w:t>can be filled</w:t>
      </w:r>
      <w:proofErr w:type="gramEnd"/>
      <w:r w:rsidRPr="003F1987">
        <w:rPr>
          <w:rFonts w:ascii="Calibri" w:eastAsia="Times New Roman" w:hAnsi="Calibri" w:cs="Calibri"/>
          <w:color w:val="505050"/>
        </w:rPr>
        <w:t xml:space="preserve"> at network retail pharmacies or via mail order pharmacy services. Switching a patient’s prescription to a greater day supply </w:t>
      </w:r>
      <w:proofErr w:type="gramStart"/>
      <w:r w:rsidRPr="003F1987">
        <w:rPr>
          <w:rFonts w:ascii="Calibri" w:eastAsia="Times New Roman" w:hAnsi="Calibri" w:cs="Calibri"/>
          <w:color w:val="505050"/>
        </w:rPr>
        <w:t>has been shown</w:t>
      </w:r>
      <w:proofErr w:type="gramEnd"/>
      <w:r w:rsidRPr="003F1987">
        <w:rPr>
          <w:rFonts w:ascii="Calibri" w:eastAsia="Times New Roman" w:hAnsi="Calibri" w:cs="Calibri"/>
          <w:color w:val="505050"/>
        </w:rPr>
        <w:t xml:space="preserve"> to increase medication adherence.</w:t>
      </w:r>
      <w:r w:rsidRPr="003F1987">
        <w:rPr>
          <w:rFonts w:ascii="Calibri" w:eastAsia="Times New Roman" w:hAnsi="Calibri" w:cs="Calibri"/>
          <w:color w:val="505050"/>
          <w:vertAlign w:val="superscript"/>
        </w:rPr>
        <w:t>1, 2 </w:t>
      </w:r>
    </w:p>
    <w:p w:rsidR="003F1987" w:rsidRPr="003F1987" w:rsidRDefault="003F1987" w:rsidP="003F1987">
      <w:pPr>
        <w:shd w:val="clear" w:color="auto" w:fill="FFFFFF"/>
        <w:rPr>
          <w:rFonts w:ascii="Calibri" w:eastAsia="Times New Roman" w:hAnsi="Calibri" w:cs="Calibri"/>
          <w:color w:val="505050"/>
        </w:rPr>
      </w:pPr>
      <w:r w:rsidRPr="003F1987">
        <w:rPr>
          <w:rFonts w:ascii="Calibri" w:eastAsia="Times New Roman" w:hAnsi="Calibri" w:cs="Calibri"/>
          <w:color w:val="505050"/>
        </w:rPr>
        <w:t> </w:t>
      </w:r>
    </w:p>
    <w:p w:rsidR="003F1987" w:rsidRPr="003F1987" w:rsidRDefault="003F1987" w:rsidP="003F1987">
      <w:pPr>
        <w:shd w:val="clear" w:color="auto" w:fill="FFFFFF"/>
        <w:rPr>
          <w:rFonts w:ascii="Calibri" w:eastAsia="Times New Roman" w:hAnsi="Calibri" w:cs="Calibri"/>
          <w:color w:val="505050"/>
        </w:rPr>
      </w:pPr>
      <w:r w:rsidRPr="003F1987">
        <w:rPr>
          <w:rFonts w:ascii="Calibri" w:eastAsia="Times New Roman" w:hAnsi="Calibri" w:cs="Calibri"/>
          <w:color w:val="505050"/>
        </w:rPr>
        <w:t>Poor medication adherence can greatly increase morbidity and mortality, accounting for more than 125,000 deaths and 10% of all hospitalizations annually in the U.S.</w:t>
      </w:r>
      <w:r w:rsidRPr="003F1987">
        <w:rPr>
          <w:rFonts w:ascii="Calibri" w:eastAsia="Times New Roman" w:hAnsi="Calibri" w:cs="Calibri"/>
          <w:color w:val="505050"/>
          <w:vertAlign w:val="superscript"/>
        </w:rPr>
        <w:t>3</w:t>
      </w:r>
      <w:r w:rsidRPr="003F1987">
        <w:rPr>
          <w:rFonts w:ascii="Calibri" w:eastAsia="Times New Roman" w:hAnsi="Calibri" w:cs="Calibri"/>
          <w:color w:val="505050"/>
        </w:rPr>
        <w:t xml:space="preserve"> By helping our members become more adherent, you can optimize health outcomes and the performance on medication adherence measures for patients on non-insulin diabetes medications, renin-angiotensin system antagonists (RASA), and statins. Based on the Centers fo</w:t>
      </w:r>
      <w:r w:rsidR="007854E0">
        <w:rPr>
          <w:rFonts w:ascii="Calibri" w:eastAsia="Times New Roman" w:hAnsi="Calibri" w:cs="Calibri"/>
          <w:color w:val="505050"/>
        </w:rPr>
        <w:t>r Medicare and Medicaid Services</w:t>
      </w:r>
      <w:r w:rsidR="00DD5F87">
        <w:rPr>
          <w:rFonts w:ascii="Calibri" w:eastAsia="Times New Roman" w:hAnsi="Calibri" w:cs="Calibri"/>
          <w:color w:val="505050"/>
        </w:rPr>
        <w:t>’</w:t>
      </w:r>
      <w:bookmarkStart w:id="0" w:name="_GoBack"/>
      <w:bookmarkEnd w:id="0"/>
      <w:r w:rsidR="007854E0">
        <w:rPr>
          <w:rFonts w:ascii="Calibri" w:eastAsia="Times New Roman" w:hAnsi="Calibri" w:cs="Calibri"/>
          <w:color w:val="505050"/>
        </w:rPr>
        <w:t xml:space="preserve"> (CMS)</w:t>
      </w:r>
      <w:r w:rsidRPr="003F1987">
        <w:rPr>
          <w:rFonts w:ascii="Calibri" w:eastAsia="Times New Roman" w:hAnsi="Calibri" w:cs="Calibri"/>
          <w:color w:val="505050"/>
        </w:rPr>
        <w:t xml:space="preserve"> definition of proportion of days covered (PDC), patients will need at least 80% of their medications covered throughout the year to </w:t>
      </w:r>
      <w:proofErr w:type="gramStart"/>
      <w:r w:rsidRPr="003F1987">
        <w:rPr>
          <w:rFonts w:ascii="Calibri" w:eastAsia="Times New Roman" w:hAnsi="Calibri" w:cs="Calibri"/>
          <w:color w:val="505050"/>
        </w:rPr>
        <w:t>be considered</w:t>
      </w:r>
      <w:proofErr w:type="gramEnd"/>
      <w:r w:rsidRPr="003F1987">
        <w:rPr>
          <w:rFonts w:ascii="Calibri" w:eastAsia="Times New Roman" w:hAnsi="Calibri" w:cs="Calibri"/>
          <w:color w:val="505050"/>
        </w:rPr>
        <w:t xml:space="preserve"> adherent. </w:t>
      </w:r>
    </w:p>
    <w:p w:rsidR="003F1987" w:rsidRPr="003F1987" w:rsidRDefault="003F1987" w:rsidP="003F1987">
      <w:pPr>
        <w:shd w:val="clear" w:color="auto" w:fill="FFFFFF"/>
        <w:rPr>
          <w:rFonts w:ascii="Calibri" w:eastAsia="Times New Roman" w:hAnsi="Calibri" w:cs="Calibri"/>
          <w:color w:val="505050"/>
        </w:rPr>
      </w:pPr>
      <w:r w:rsidRPr="003F1987">
        <w:rPr>
          <w:rFonts w:ascii="Calibri" w:eastAsia="Times New Roman" w:hAnsi="Calibri" w:cs="Calibri"/>
          <w:color w:val="505050"/>
        </w:rPr>
        <w:t> </w:t>
      </w:r>
    </w:p>
    <w:p w:rsidR="003F1987" w:rsidRPr="003F1987" w:rsidRDefault="003F1987" w:rsidP="003F1987">
      <w:pPr>
        <w:shd w:val="clear" w:color="auto" w:fill="FFFFFF"/>
        <w:rPr>
          <w:rFonts w:ascii="Calibri" w:eastAsia="Times New Roman" w:hAnsi="Calibri" w:cs="Calibri"/>
          <w:color w:val="505050"/>
        </w:rPr>
      </w:pPr>
      <w:r w:rsidRPr="003F1987">
        <w:rPr>
          <w:rFonts w:ascii="Calibri" w:eastAsia="Times New Roman" w:hAnsi="Calibri" w:cs="Calibri"/>
          <w:color w:val="505050"/>
        </w:rPr>
        <w:t xml:space="preserve">By utilizing a 102-day supply, patients will only need to fill their medications three times per year to </w:t>
      </w:r>
      <w:proofErr w:type="gramStart"/>
      <w:r w:rsidRPr="003F1987">
        <w:rPr>
          <w:rFonts w:ascii="Calibri" w:eastAsia="Times New Roman" w:hAnsi="Calibri" w:cs="Calibri"/>
          <w:color w:val="505050"/>
        </w:rPr>
        <w:t>be considered</w:t>
      </w:r>
      <w:proofErr w:type="gramEnd"/>
      <w:r w:rsidRPr="003F1987">
        <w:rPr>
          <w:rFonts w:ascii="Calibri" w:eastAsia="Times New Roman" w:hAnsi="Calibri" w:cs="Calibri"/>
          <w:color w:val="505050"/>
        </w:rPr>
        <w:t xml:space="preserve"> adherent, compared to needing to fill their medications four or more times per year using a 90-day supply or less.  Patients who are using a 102-day supply will save money and avoid additional trips to the pharmacy, which is especially important for members with chronic conditions who should avoid crowded places during peak illness periods. </w:t>
      </w:r>
    </w:p>
    <w:p w:rsidR="003F1987" w:rsidRPr="003F1987" w:rsidRDefault="003F1987" w:rsidP="003F1987">
      <w:pPr>
        <w:shd w:val="clear" w:color="auto" w:fill="FFFFFF"/>
        <w:rPr>
          <w:rFonts w:ascii="Calibri" w:eastAsia="Times New Roman" w:hAnsi="Calibri" w:cs="Calibri"/>
          <w:color w:val="505050"/>
        </w:rPr>
      </w:pPr>
    </w:p>
    <w:p w:rsidR="003F1987" w:rsidRPr="003F1987" w:rsidRDefault="003F1987" w:rsidP="003F1987">
      <w:pPr>
        <w:shd w:val="clear" w:color="auto" w:fill="FFFFFF"/>
        <w:rPr>
          <w:rFonts w:ascii="Calibri" w:eastAsia="Times New Roman" w:hAnsi="Calibri" w:cs="Calibri"/>
          <w:color w:val="505050"/>
        </w:rPr>
      </w:pPr>
      <w:r w:rsidRPr="003F1987">
        <w:rPr>
          <w:rFonts w:ascii="Calibri" w:eastAsia="Times New Roman" w:hAnsi="Calibri" w:cs="Calibri"/>
          <w:color w:val="505050"/>
        </w:rPr>
        <w:t>For additional information on obtaining an extended supply of prescription drugs for any Security Health Plan member, please call Security Health Plan Pharmacy Services at </w:t>
      </w:r>
      <w:r w:rsidRPr="003F1987">
        <w:rPr>
          <w:rFonts w:ascii="Calibri" w:eastAsia="Times New Roman" w:hAnsi="Calibri" w:cs="Calibri"/>
          <w:color w:val="333333"/>
        </w:rPr>
        <w:t>1-877-873-5611</w:t>
      </w:r>
      <w:r w:rsidRPr="003F1987">
        <w:rPr>
          <w:rFonts w:ascii="Calibri" w:eastAsia="Times New Roman" w:hAnsi="Calibri" w:cs="Calibri"/>
          <w:color w:val="505050"/>
        </w:rPr>
        <w:t xml:space="preserve"> Monday through Friday from 8 a.m. to 5 p.m.</w:t>
      </w:r>
    </w:p>
    <w:p w:rsidR="003F1987" w:rsidRPr="003F1987" w:rsidRDefault="003F1987" w:rsidP="003F1987">
      <w:pPr>
        <w:shd w:val="clear" w:color="auto" w:fill="FFFFFF"/>
        <w:rPr>
          <w:rFonts w:ascii="Calibri" w:eastAsia="Times New Roman" w:hAnsi="Calibri" w:cs="Calibri"/>
          <w:color w:val="505050"/>
        </w:rPr>
      </w:pPr>
      <w:r w:rsidRPr="003F1987">
        <w:rPr>
          <w:rFonts w:ascii="Calibri" w:eastAsia="Times New Roman" w:hAnsi="Calibri" w:cs="Calibri"/>
          <w:color w:val="505050"/>
        </w:rPr>
        <w:t> </w:t>
      </w:r>
    </w:p>
    <w:p w:rsidR="003F1987" w:rsidRPr="003F1987" w:rsidRDefault="003F1987" w:rsidP="003F1987">
      <w:pPr>
        <w:shd w:val="clear" w:color="auto" w:fill="FFFFFF"/>
        <w:rPr>
          <w:rFonts w:ascii="Calibri" w:eastAsia="Times New Roman" w:hAnsi="Calibri" w:cs="Calibri"/>
          <w:color w:val="505050"/>
          <w:sz w:val="18"/>
          <w:szCs w:val="18"/>
        </w:rPr>
      </w:pPr>
      <w:r w:rsidRPr="003F1987">
        <w:rPr>
          <w:rFonts w:ascii="Calibri" w:eastAsia="Times New Roman" w:hAnsi="Calibri" w:cs="Calibri"/>
          <w:color w:val="505050"/>
          <w:sz w:val="18"/>
          <w:szCs w:val="18"/>
        </w:rPr>
        <w:t xml:space="preserve">1. </w:t>
      </w:r>
      <w:proofErr w:type="spellStart"/>
      <w:r w:rsidRPr="003F1987">
        <w:rPr>
          <w:rFonts w:ascii="Calibri" w:eastAsia="Times New Roman" w:hAnsi="Calibri" w:cs="Calibri"/>
          <w:color w:val="505050"/>
          <w:sz w:val="18"/>
          <w:szCs w:val="18"/>
        </w:rPr>
        <w:t>Taitel</w:t>
      </w:r>
      <w:proofErr w:type="spellEnd"/>
      <w:r w:rsidRPr="003F1987">
        <w:rPr>
          <w:rFonts w:ascii="Calibri" w:eastAsia="Times New Roman" w:hAnsi="Calibri" w:cs="Calibri"/>
          <w:color w:val="505050"/>
          <w:sz w:val="18"/>
          <w:szCs w:val="18"/>
        </w:rPr>
        <w:t xml:space="preserve"> M, </w:t>
      </w:r>
      <w:proofErr w:type="spellStart"/>
      <w:r w:rsidRPr="003F1987">
        <w:rPr>
          <w:rFonts w:ascii="Calibri" w:eastAsia="Times New Roman" w:hAnsi="Calibri" w:cs="Calibri"/>
          <w:color w:val="505050"/>
          <w:sz w:val="18"/>
          <w:szCs w:val="18"/>
        </w:rPr>
        <w:t>Fensterheim</w:t>
      </w:r>
      <w:proofErr w:type="spellEnd"/>
      <w:r w:rsidRPr="003F1987">
        <w:rPr>
          <w:rFonts w:ascii="Calibri" w:eastAsia="Times New Roman" w:hAnsi="Calibri" w:cs="Calibri"/>
          <w:color w:val="505050"/>
          <w:sz w:val="18"/>
          <w:szCs w:val="18"/>
        </w:rPr>
        <w:t xml:space="preserve"> L, Kirkham H, </w:t>
      </w:r>
      <w:proofErr w:type="spellStart"/>
      <w:r w:rsidRPr="003F1987">
        <w:rPr>
          <w:rFonts w:ascii="Calibri" w:eastAsia="Times New Roman" w:hAnsi="Calibri" w:cs="Calibri"/>
          <w:color w:val="505050"/>
          <w:sz w:val="18"/>
          <w:szCs w:val="18"/>
        </w:rPr>
        <w:t>Sekula</w:t>
      </w:r>
      <w:proofErr w:type="spellEnd"/>
      <w:r w:rsidRPr="003F1987">
        <w:rPr>
          <w:rFonts w:ascii="Calibri" w:eastAsia="Times New Roman" w:hAnsi="Calibri" w:cs="Calibri"/>
          <w:color w:val="505050"/>
          <w:sz w:val="18"/>
          <w:szCs w:val="18"/>
        </w:rPr>
        <w:t xml:space="preserve"> R, Duncan I. Medication days’ supply, adherence, wastage, and cost among chronic patients in Medicaid. Medicare Medicaid Res Rev. 2012; 2(3):mmrr.002.03.a04.</w:t>
      </w:r>
    </w:p>
    <w:p w:rsidR="003F1987" w:rsidRPr="003F1987" w:rsidRDefault="003F1987" w:rsidP="003F1987">
      <w:pPr>
        <w:shd w:val="clear" w:color="auto" w:fill="FFFFFF"/>
        <w:rPr>
          <w:rFonts w:ascii="Calibri" w:eastAsia="Times New Roman" w:hAnsi="Calibri" w:cs="Calibri"/>
          <w:color w:val="505050"/>
          <w:sz w:val="18"/>
          <w:szCs w:val="18"/>
        </w:rPr>
      </w:pPr>
      <w:r w:rsidRPr="003F1987">
        <w:rPr>
          <w:rFonts w:ascii="Calibri" w:eastAsia="Times New Roman" w:hAnsi="Calibri" w:cs="Calibri"/>
          <w:color w:val="505050"/>
          <w:sz w:val="18"/>
          <w:szCs w:val="18"/>
        </w:rPr>
        <w:t xml:space="preserve">2. </w:t>
      </w:r>
      <w:proofErr w:type="spellStart"/>
      <w:r w:rsidRPr="003F1987">
        <w:rPr>
          <w:rFonts w:ascii="Calibri" w:eastAsia="Times New Roman" w:hAnsi="Calibri" w:cs="Calibri"/>
          <w:color w:val="505050"/>
          <w:sz w:val="18"/>
          <w:szCs w:val="18"/>
        </w:rPr>
        <w:t>Rymer</w:t>
      </w:r>
      <w:proofErr w:type="spellEnd"/>
      <w:r w:rsidRPr="003F1987">
        <w:rPr>
          <w:rFonts w:ascii="Calibri" w:eastAsia="Times New Roman" w:hAnsi="Calibri" w:cs="Calibri"/>
          <w:color w:val="505050"/>
          <w:sz w:val="18"/>
          <w:szCs w:val="18"/>
        </w:rPr>
        <w:t xml:space="preserve"> JA, Fonseca E, </w:t>
      </w:r>
      <w:proofErr w:type="spellStart"/>
      <w:r w:rsidRPr="003F1987">
        <w:rPr>
          <w:rFonts w:ascii="Calibri" w:eastAsia="Times New Roman" w:hAnsi="Calibri" w:cs="Calibri"/>
          <w:color w:val="505050"/>
          <w:sz w:val="18"/>
          <w:szCs w:val="18"/>
        </w:rPr>
        <w:t>Bhandary</w:t>
      </w:r>
      <w:proofErr w:type="spellEnd"/>
      <w:r w:rsidRPr="003F1987">
        <w:rPr>
          <w:rFonts w:ascii="Calibri" w:eastAsia="Times New Roman" w:hAnsi="Calibri" w:cs="Calibri"/>
          <w:color w:val="505050"/>
          <w:sz w:val="18"/>
          <w:szCs w:val="18"/>
        </w:rPr>
        <w:t xml:space="preserve"> DD, Kumar D, Khan ND, Wang TY. Difference in medication adherence between patients prescribed a 30‐day versus 90‐day supply after acute myocardial infarction. Journal of the American Heart Association. </w:t>
      </w:r>
      <w:proofErr w:type="gramStart"/>
      <w:r w:rsidRPr="003F1987">
        <w:rPr>
          <w:rFonts w:ascii="Calibri" w:eastAsia="Times New Roman" w:hAnsi="Calibri" w:cs="Calibri"/>
          <w:color w:val="505050"/>
          <w:sz w:val="18"/>
          <w:szCs w:val="18"/>
        </w:rPr>
        <w:t>2021</w:t>
      </w:r>
      <w:proofErr w:type="gramEnd"/>
      <w:r w:rsidRPr="003F1987">
        <w:rPr>
          <w:rFonts w:ascii="Calibri" w:eastAsia="Times New Roman" w:hAnsi="Calibri" w:cs="Calibri"/>
          <w:color w:val="505050"/>
          <w:sz w:val="18"/>
          <w:szCs w:val="18"/>
        </w:rPr>
        <w:t>; 10(1):e016215.</w:t>
      </w:r>
    </w:p>
    <w:p w:rsidR="003F1987" w:rsidRPr="003F1987" w:rsidRDefault="003F1987" w:rsidP="003F1987">
      <w:pPr>
        <w:shd w:val="clear" w:color="auto" w:fill="FFFFFF"/>
        <w:rPr>
          <w:rFonts w:ascii="Calibri" w:eastAsia="Times New Roman" w:hAnsi="Calibri" w:cs="Calibri"/>
          <w:color w:val="505050"/>
          <w:sz w:val="18"/>
          <w:szCs w:val="18"/>
        </w:rPr>
      </w:pPr>
      <w:r w:rsidRPr="003F1987">
        <w:rPr>
          <w:rFonts w:ascii="Calibri" w:eastAsia="Times New Roman" w:hAnsi="Calibri" w:cs="Calibri"/>
          <w:color w:val="505050"/>
          <w:sz w:val="18"/>
          <w:szCs w:val="18"/>
        </w:rPr>
        <w:t xml:space="preserve">3. McGuire M, </w:t>
      </w:r>
      <w:proofErr w:type="spellStart"/>
      <w:r w:rsidRPr="003F1987">
        <w:rPr>
          <w:rFonts w:ascii="Calibri" w:eastAsia="Times New Roman" w:hAnsi="Calibri" w:cs="Calibri"/>
          <w:color w:val="505050"/>
          <w:sz w:val="18"/>
          <w:szCs w:val="18"/>
        </w:rPr>
        <w:t>Iuga</w:t>
      </w:r>
      <w:proofErr w:type="spellEnd"/>
      <w:r w:rsidRPr="003F1987">
        <w:rPr>
          <w:rFonts w:ascii="Calibri" w:eastAsia="Times New Roman" w:hAnsi="Calibri" w:cs="Calibri"/>
          <w:color w:val="505050"/>
          <w:sz w:val="18"/>
          <w:szCs w:val="18"/>
        </w:rPr>
        <w:t>. Adherence and health care costs. RMHP. Published online February 2014:35.</w:t>
      </w:r>
    </w:p>
    <w:p w:rsidR="003F1987" w:rsidRPr="003F1987" w:rsidRDefault="003F1987" w:rsidP="003F1987">
      <w:pPr>
        <w:rPr>
          <w:rFonts w:ascii="Calibri" w:hAnsi="Calibri" w:cs="Calibri"/>
        </w:rPr>
      </w:pPr>
    </w:p>
    <w:p w:rsidR="00D55083" w:rsidRPr="003F1987" w:rsidRDefault="00D55083" w:rsidP="00D55083">
      <w:pPr>
        <w:rPr>
          <w:rFonts w:ascii="Calibri" w:hAnsi="Calibri" w:cs="Calibri"/>
          <w:sz w:val="22"/>
          <w:szCs w:val="22"/>
        </w:rPr>
      </w:pPr>
    </w:p>
    <w:p w:rsidR="00556C71" w:rsidRPr="003F1987" w:rsidRDefault="00556C71" w:rsidP="009D20F8">
      <w:pPr>
        <w:rPr>
          <w:rFonts w:ascii="Calibri" w:hAnsi="Calibri" w:cs="Calibri"/>
        </w:rPr>
      </w:pPr>
    </w:p>
    <w:sectPr w:rsidR="00556C71" w:rsidRPr="003F1987" w:rsidSect="00D33C74">
      <w:headerReference w:type="default" r:id="rId9"/>
      <w:footerReference w:type="default" r:id="rId10"/>
      <w:pgSz w:w="12240" w:h="15840"/>
      <w:pgMar w:top="2340" w:right="1620" w:bottom="720" w:left="1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F2D" w:rsidRDefault="007F6F2D" w:rsidP="00EA2AFA">
      <w:r>
        <w:separator/>
      </w:r>
    </w:p>
  </w:endnote>
  <w:endnote w:type="continuationSeparator" w:id="0">
    <w:p w:rsidR="007F6F2D" w:rsidRDefault="007F6F2D" w:rsidP="00EA2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ler">
    <w:altName w:val="Corbel"/>
    <w:panose1 w:val="02000503030000020004"/>
    <w:charset w:val="00"/>
    <w:family w:val="auto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F0A" w:rsidRDefault="00905BF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A2571C" wp14:editId="0BF4A3DE">
              <wp:simplePos x="0" y="0"/>
              <wp:positionH relativeFrom="page">
                <wp:posOffset>3175</wp:posOffset>
              </wp:positionH>
              <wp:positionV relativeFrom="page">
                <wp:posOffset>9678670</wp:posOffset>
              </wp:positionV>
              <wp:extent cx="8001000" cy="173990"/>
              <wp:effectExtent l="0" t="0" r="0" b="0"/>
              <wp:wrapTight wrapText="bothSides">
                <wp:wrapPolygon edited="0">
                  <wp:start x="0" y="0"/>
                  <wp:lineTo x="0" y="18920"/>
                  <wp:lineTo x="21549" y="18920"/>
                  <wp:lineTo x="21549" y="0"/>
                  <wp:lineTo x="0" y="0"/>
                </wp:wrapPolygon>
              </wp:wrapTight>
              <wp:docPr id="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73990"/>
                      </a:xfrm>
                      <a:prstGeom prst="rect">
                        <a:avLst/>
                      </a:prstGeom>
                      <a:solidFill>
                        <a:srgbClr val="203C7B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618097" id="Rectangle 3" o:spid="_x0000_s1026" style="position:absolute;margin-left:.25pt;margin-top:762.1pt;width:630pt;height:13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xBEAwIAAPQDAAAOAAAAZHJzL2Uyb0RvYy54bWysU1Fv0zAQfkfiP1h+p0naiq1R02l0GkIa&#10;bGLsB7iOk1g4PnN2m5Zfz9lpS4G3iRfLZ5+/+77vzsubfW/YTqHXYCteTHLOlJVQa9tW/OXb/btr&#10;znwQthYGrKr4QXl+s3r7Zjm4Uk2hA1MrZARifTm4inchuDLLvOxUL/wEnLJ02QD2IlCIbVajGAi9&#10;N9k0z99nA2DtEKTynk7vxku+SvhNo2R4bBqvAjMVJ24hrZjWTVyz1VKULQrXaXmkIV7BohfaUtEz&#10;1J0Igm1R/wPVa4ngoQkTCX0GTaOlShpITZH/pea5E04lLWSOd2eb/P+DlV92T8h0XfE5Z1b01KKv&#10;ZJqwrVFsFu0ZnC8p69k9YRTo3QPI755ZWHeUpW4RYeiUqIlUEfOzPx7EwNNTthk+Q03oYhsgObVv&#10;sI+A5AHbp4Yczg1R+8AkHV7nZEpOfZN0V1zNFovUsUyUp9cOffiooGdxU3Ek7gld7B58iGxEeUpJ&#10;7MHo+l4bkwJsN2uDbCdoOKb5bH31IQkgkZdpxsZkC/HZiDieqDReYxlREuVjxZPk0boN1AeSjzCO&#10;Hn0V2nSAPzkbaOwq7n9sBSrOzCdLFi6K+TzO6WWAl8HmMhBWElTFA2fjdh3G2d461G1HlYrkhoVb&#10;sr3RyZHIb2R1bBaNVjLq+A3i7F7GKev3Z139AgAA//8DAFBLAwQUAAYACAAAACEATMa/Qd0AAAAL&#10;AQAADwAAAGRycy9kb3ducmV2LnhtbEyPwU7DMBBE70j8g7VI3KjTiEQQ4lQBgdQLVBQ+wLWXOGq8&#10;jmw3DX+Pc6LHfTOanak3sx3YhD70jgSsVxkwJOV0T52A76+3uwdgIUrScnCEAn4xwKa5vqplpd2Z&#10;PnHax46lEAqVFGBiHCvOgzJoZVi5ESlpP85bGdPpO669PKdwO/A8y0puZU/pg5EjvhhUx/3JCmjp&#10;43HXmlf1vDsO261/D37SSojbm7l9AhZxjv9mWOqn6tCkTgd3Ih3YIKBIvkSL/D4Htuh5mSV2WFix&#10;LoE3Nb/c0PwBAAD//wMAUEsBAi0AFAAGAAgAAAAhALaDOJL+AAAA4QEAABMAAAAAAAAAAAAAAAAA&#10;AAAAAFtDb250ZW50X1R5cGVzXS54bWxQSwECLQAUAAYACAAAACEAOP0h/9YAAACUAQAACwAAAAAA&#10;AAAAAAAAAAAvAQAAX3JlbHMvLnJlbHNQSwECLQAUAAYACAAAACEAjWsQRAMCAAD0AwAADgAAAAAA&#10;AAAAAAAAAAAuAgAAZHJzL2Uyb0RvYy54bWxQSwECLQAUAAYACAAAACEATMa/Qd0AAAALAQAADwAA&#10;AAAAAAAAAAAAAABdBAAAZHJzL2Rvd25yZXYueG1sUEsFBgAAAAAEAAQA8wAAAGcFAAAAAA==&#10;" fillcolor="#203c7b" stroked="f">
              <v:textbox inset=",7.2pt,,7.2pt"/>
              <w10:wrap type="tight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F2D" w:rsidRDefault="007F6F2D" w:rsidP="00EA2AFA">
      <w:r>
        <w:separator/>
      </w:r>
    </w:p>
  </w:footnote>
  <w:footnote w:type="continuationSeparator" w:id="0">
    <w:p w:rsidR="007F6F2D" w:rsidRDefault="007F6F2D" w:rsidP="00EA2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AFA" w:rsidRDefault="00175E2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CFAF55" wp14:editId="58862DEA">
              <wp:simplePos x="0" y="0"/>
              <wp:positionH relativeFrom="column">
                <wp:posOffset>-1056005</wp:posOffset>
              </wp:positionH>
              <wp:positionV relativeFrom="paragraph">
                <wp:posOffset>-461010</wp:posOffset>
              </wp:positionV>
              <wp:extent cx="7872730" cy="880110"/>
              <wp:effectExtent l="0" t="0" r="13970" b="15240"/>
              <wp:wrapNone/>
              <wp:docPr id="8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72730" cy="880110"/>
                      </a:xfrm>
                      <a:prstGeom prst="rect">
                        <a:avLst/>
                      </a:prstGeom>
                      <a:solidFill>
                        <a:srgbClr val="203C7B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F12E95" id="Rectangle 1" o:spid="_x0000_s1026" style="position:absolute;margin-left:-83.15pt;margin-top:-36.3pt;width:619.9pt;height:69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7uJAIAADwEAAAOAAAAZHJzL2Uyb0RvYy54bWysU9uO0zAQfUfiHyy/01y2pd2o6Wrpsghp&#10;gRULH+A6TmLheMzYbVq+nonTli7whMiD5cnMHJ85M7O82XeG7RR6Dbbk2STlTFkJlbZNyb9+uX+1&#10;4MwHYSthwKqSH5TnN6uXL5a9K1QOLZhKISMQ64velbwNwRVJ4mWrOuEn4JQlZw3YiUAmNkmFoif0&#10;ziR5mr5OesDKIUjlPf29G518FfHrWsnwqa69CsyUnLiFeGI8N8OZrJaiaFC4VssjDfEPLDqhLT16&#10;hroTQbAt6j+gOi0RPNRhIqFLoK61VLEGqiZLf6vmqRVOxVpIHO/OMvn/Bys/7h6R6ark1CgrOmrR&#10;ZxJN2MYolg3y9M4XFPXkHnEo0LsHkN88s7BuKUrdIkLfKlERqRifPEsYDE+pbNN/gIrQxTZAVGpf&#10;YzcAkgZsHxtyODdE7QOT9HO+mOfzK+qbJN9ikWZZ7FgiilO2Qx/eKejYcCk5EveILnYPPhB7Cj2F&#10;RPZgdHWvjYkGNpu1QbYTNBx5erWevxkKphR/GWYs60t+PctnEfmZz19CpPH7G0SnA0250R1VcQ4S&#10;xSDbW1vFGQxCm/FO7xtLNE7SjS3YQHUgGRHGEaaVo0sL+IOznsa35P77VqDizLy31IrrbDod5j0a&#10;09k8JwMvPZtLj7CSoEoeOBuv6zDuyNahblp6KYu1W7il9tU6KjvwG1kdydKIRvWO6zTswKUdo34t&#10;/eonAAAA//8DAFBLAwQUAAYACAAAACEAbN0Y++AAAAAMAQAADwAAAGRycy9kb3ducmV2LnhtbEyP&#10;wW7CMAyG75P2DpEn7QYJoIWuNEUT06RxGwxp19CYtiJxqibQ8vYLp+1my59+f3+xHp1lV+xD60nB&#10;bCqAIVXetFQrOHx/TDJgIWoy2npCBTcMsC4fHwqdGz/QDq/7WLMUQiHXCpoYu5zzUDXodJj6Dind&#10;Tr53Oqa1r7np9ZDCneVzISR3uqX0odEdbhqszvuLU/Cz2W3D16sdbv5TnJvDNntvs6DU89P4tgIW&#10;cYx/MNz1kzqUyenoL2QCswomMykXiU3Tci6B3RGxXLwAOyqQUgAvC/6/RPkLAAD//wMAUEsBAi0A&#10;FAAGAAgAAAAhALaDOJL+AAAA4QEAABMAAAAAAAAAAAAAAAAAAAAAAFtDb250ZW50X1R5cGVzXS54&#10;bWxQSwECLQAUAAYACAAAACEAOP0h/9YAAACUAQAACwAAAAAAAAAAAAAAAAAvAQAAX3JlbHMvLnJl&#10;bHNQSwECLQAUAAYACAAAACEAKnfu7iQCAAA8BAAADgAAAAAAAAAAAAAAAAAuAgAAZHJzL2Uyb0Rv&#10;Yy54bWxQSwECLQAUAAYACAAAACEAbN0Y++AAAAAMAQAADwAAAAAAAAAAAAAAAAB+BAAAZHJzL2Rv&#10;d25yZXYueG1sUEsFBgAAAAAEAAQA8wAAAIsFAAAAAA==&#10;" fillcolor="#203c7b"/>
          </w:pict>
        </mc:Fallback>
      </mc:AlternateContent>
    </w:r>
  </w:p>
  <w:p w:rsidR="00EA2AFA" w:rsidRDefault="00D84F0A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9C4246" wp14:editId="3BA75038">
          <wp:simplePos x="0" y="0"/>
          <wp:positionH relativeFrom="column">
            <wp:posOffset>3932237</wp:posOffset>
          </wp:positionH>
          <wp:positionV relativeFrom="paragraph">
            <wp:posOffset>-424815</wp:posOffset>
          </wp:positionV>
          <wp:extent cx="2730500" cy="493395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P_logo_-«tag_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0500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5BF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BD578D" wp14:editId="26D48295">
              <wp:simplePos x="0" y="0"/>
              <wp:positionH relativeFrom="page">
                <wp:posOffset>-32385</wp:posOffset>
              </wp:positionH>
              <wp:positionV relativeFrom="page">
                <wp:posOffset>880110</wp:posOffset>
              </wp:positionV>
              <wp:extent cx="8001000" cy="173990"/>
              <wp:effectExtent l="0" t="0" r="0" b="0"/>
              <wp:wrapTight wrapText="bothSides">
                <wp:wrapPolygon edited="0">
                  <wp:start x="0" y="0"/>
                  <wp:lineTo x="0" y="18920"/>
                  <wp:lineTo x="21549" y="18920"/>
                  <wp:lineTo x="21549" y="0"/>
                  <wp:lineTo x="0" y="0"/>
                </wp:wrapPolygon>
              </wp:wrapTight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73990"/>
                      </a:xfrm>
                      <a:prstGeom prst="rect">
                        <a:avLst/>
                      </a:prstGeom>
                      <a:solidFill>
                        <a:srgbClr val="FFEF6F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B4EC70" id="Rectangle 4" o:spid="_x0000_s1026" style="position:absolute;margin-left:-2.55pt;margin-top:69.3pt;width:630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2RaAwIAAPQDAAAOAAAAZHJzL2Uyb0RvYy54bWysU8GO0zAQvSPxD5bvNMlS7W6jpqtVlyCk&#10;hV2x8AGu4yQWjseM3abl6xk7bSlwQ1wsjz1+896b8fJuPxi2U+g12IoXs5wzZSU02nYV//qlfnPL&#10;mQ/CNsKAVRU/KM/vVq9fLUdXqivowTQKGYFYX46u4n0IrswyL3s1CD8DpyxdtoCDCBRilzUoRkIf&#10;THaV59fZCNg4BKm8p9OH6ZKvEn7bKhme2tarwEzFiVtIK6Z1E9dstRRlh8L1Wh5piH9gMQhtqegZ&#10;6kEEwbao/4IatETw0IaZhCGDttVSJQ2kpsj/UPPSC6eSFjLHu7NN/v/Byk+7Z2S6qfgNZ1YM1KLP&#10;ZJqwnVFsHu0ZnS8p68U9YxTo3SPIb55ZWPeUpe4RYeyVaIhUEfOz3x7EwNNTthk/QkPoYhsgObVv&#10;cYiA5AHbp4Yczg1R+8AkHd7mZEpOfZN0V9y8XSxSxzJRnl479OG9goHFTcWRuCd0sXv0IbIR5Skl&#10;sQejm1obkwLsNmuDbCdoOOr6XX1dJwEk8jLN2JhsIT6bEKcTlcZrKiNKonyseJI8WbeB5kDyEabR&#10;o69Cmx7wB2cjjV3F/fetQMWZ+WDJwkUxn8c5vQzwMthcBsJKgqp44GzarsM021uHuuupUpHcsHBP&#10;trc6ORL5TayOzaLRSkYdv0Gc3cs4Zf36rKufAAAA//8DAFBLAwQUAAYACAAAACEAvvSCrN8AAAAL&#10;AQAADwAAAGRycy9kb3ducmV2LnhtbEyPTW/CMAyG75P2HyJP2g1SYFRdaYomJHZjE7DLbqExbUXj&#10;dE1ou38/c2I3fzx6/Thbj7YRPXa+dqRgNo1AIBXO1FQq+DpuJwkIHzQZ3ThCBb/oYZ0/PmQ6NW6g&#10;PfaHUAoOIZ9qBVUIbSqlLyq02k9di8S7s+usDtx2pTSdHjjcNnIeRbG0uia+UOkWNxUWl8PVKtjt&#10;auo3/vs47D/o85K8L7Y/mpR6fhrfViACjuEOw02f1SFnp5O7kvGiUTBZzpjk+SKJQdyA+fLlFcSJ&#10;qziOQOaZ/P9D/gcAAP//AwBQSwECLQAUAAYACAAAACEAtoM4kv4AAADhAQAAEwAAAAAAAAAAAAAA&#10;AAAAAAAAW0NvbnRlbnRfVHlwZXNdLnhtbFBLAQItABQABgAIAAAAIQA4/SH/1gAAAJQBAAALAAAA&#10;AAAAAAAAAAAAAC8BAABfcmVscy8ucmVsc1BLAQItABQABgAIAAAAIQAR42RaAwIAAPQDAAAOAAAA&#10;AAAAAAAAAAAAAC4CAABkcnMvZTJvRG9jLnhtbFBLAQItABQABgAIAAAAIQC+9IKs3wAAAAsBAAAP&#10;AAAAAAAAAAAAAAAAAF0EAABkcnMvZG93bnJldi54bWxQSwUGAAAAAAQABADzAAAAaQUAAAAA&#10;" fillcolor="#ffef6f" stroked="f">
              <v:textbox inset=",7.2pt,,7.2pt"/>
              <w10:wrap type="tight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C82"/>
    <w:multiLevelType w:val="hybridMultilevel"/>
    <w:tmpl w:val="C7E40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A79BA"/>
    <w:multiLevelType w:val="hybridMultilevel"/>
    <w:tmpl w:val="5CCA3E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687EAC"/>
    <w:multiLevelType w:val="hybridMultilevel"/>
    <w:tmpl w:val="CB6E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238C2"/>
    <w:multiLevelType w:val="hybridMultilevel"/>
    <w:tmpl w:val="BCE6385C"/>
    <w:lvl w:ilvl="0" w:tplc="E0F013E0">
      <w:numFmt w:val="bullet"/>
      <w:lvlText w:val="-"/>
      <w:lvlJc w:val="left"/>
      <w:pPr>
        <w:ind w:left="720" w:hanging="360"/>
      </w:pPr>
      <w:rPr>
        <w:rFonts w:ascii="Aller" w:eastAsiaTheme="minorHAnsi" w:hAnsi="Alle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4460C"/>
    <w:multiLevelType w:val="hybridMultilevel"/>
    <w:tmpl w:val="C32A9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851D1"/>
    <w:multiLevelType w:val="hybridMultilevel"/>
    <w:tmpl w:val="E52C5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725BE"/>
    <w:multiLevelType w:val="hybridMultilevel"/>
    <w:tmpl w:val="5B6A5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96991"/>
    <w:multiLevelType w:val="hybridMultilevel"/>
    <w:tmpl w:val="3F6EE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16C9EC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AD54AE"/>
    <w:multiLevelType w:val="hybridMultilevel"/>
    <w:tmpl w:val="C0422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D5515"/>
    <w:multiLevelType w:val="hybridMultilevel"/>
    <w:tmpl w:val="206AE026"/>
    <w:lvl w:ilvl="0" w:tplc="F3D02D96">
      <w:start w:val="1"/>
      <w:numFmt w:val="bullet"/>
      <w:pStyle w:val="SidebarLis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C2020"/>
    <w:multiLevelType w:val="hybridMultilevel"/>
    <w:tmpl w:val="4F1C5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1125B"/>
    <w:multiLevelType w:val="hybridMultilevel"/>
    <w:tmpl w:val="CB147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012CA"/>
    <w:multiLevelType w:val="hybridMultilevel"/>
    <w:tmpl w:val="1A84B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A17F1"/>
    <w:multiLevelType w:val="multilevel"/>
    <w:tmpl w:val="3B90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50280"/>
    <w:multiLevelType w:val="hybridMultilevel"/>
    <w:tmpl w:val="432C4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A575B"/>
    <w:multiLevelType w:val="hybridMultilevel"/>
    <w:tmpl w:val="33326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82AA6"/>
    <w:multiLevelType w:val="hybridMultilevel"/>
    <w:tmpl w:val="A25C1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76584"/>
    <w:multiLevelType w:val="hybridMultilevel"/>
    <w:tmpl w:val="6A82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87913"/>
    <w:multiLevelType w:val="hybridMultilevel"/>
    <w:tmpl w:val="2E26D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C6731C"/>
    <w:multiLevelType w:val="hybridMultilevel"/>
    <w:tmpl w:val="FC4EC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CC6C01"/>
    <w:multiLevelType w:val="hybridMultilevel"/>
    <w:tmpl w:val="46885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611550"/>
    <w:multiLevelType w:val="hybridMultilevel"/>
    <w:tmpl w:val="BEB47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0077A"/>
    <w:multiLevelType w:val="hybridMultilevel"/>
    <w:tmpl w:val="FE8CD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E1BD3"/>
    <w:multiLevelType w:val="hybridMultilevel"/>
    <w:tmpl w:val="92A2D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D92719"/>
    <w:multiLevelType w:val="hybridMultilevel"/>
    <w:tmpl w:val="26D8B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92142F"/>
    <w:multiLevelType w:val="hybridMultilevel"/>
    <w:tmpl w:val="FC063626"/>
    <w:lvl w:ilvl="0" w:tplc="7ABC02E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C00D2A"/>
    <w:multiLevelType w:val="hybridMultilevel"/>
    <w:tmpl w:val="4BA0C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9164CC"/>
    <w:multiLevelType w:val="hybridMultilevel"/>
    <w:tmpl w:val="7E2E2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222F9"/>
    <w:multiLevelType w:val="hybridMultilevel"/>
    <w:tmpl w:val="C14AD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3435D2"/>
    <w:multiLevelType w:val="hybridMultilevel"/>
    <w:tmpl w:val="C96A6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E2A3A"/>
    <w:multiLevelType w:val="hybridMultilevel"/>
    <w:tmpl w:val="45040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D766B6"/>
    <w:multiLevelType w:val="multilevel"/>
    <w:tmpl w:val="3836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7"/>
  </w:num>
  <w:num w:numId="3">
    <w:abstractNumId w:val="9"/>
  </w:num>
  <w:num w:numId="4">
    <w:abstractNumId w:val="27"/>
  </w:num>
  <w:num w:numId="5">
    <w:abstractNumId w:val="25"/>
  </w:num>
  <w:num w:numId="6">
    <w:abstractNumId w:val="3"/>
  </w:num>
  <w:num w:numId="7">
    <w:abstractNumId w:val="12"/>
  </w:num>
  <w:num w:numId="8">
    <w:abstractNumId w:val="29"/>
  </w:num>
  <w:num w:numId="9">
    <w:abstractNumId w:val="0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</w:num>
  <w:num w:numId="13">
    <w:abstractNumId w:val="26"/>
  </w:num>
  <w:num w:numId="14">
    <w:abstractNumId w:val="30"/>
  </w:num>
  <w:num w:numId="15">
    <w:abstractNumId w:val="15"/>
  </w:num>
  <w:num w:numId="16">
    <w:abstractNumId w:val="11"/>
  </w:num>
  <w:num w:numId="17">
    <w:abstractNumId w:val="6"/>
  </w:num>
  <w:num w:numId="18">
    <w:abstractNumId w:val="2"/>
  </w:num>
  <w:num w:numId="19">
    <w:abstractNumId w:val="16"/>
  </w:num>
  <w:num w:numId="20">
    <w:abstractNumId w:val="24"/>
  </w:num>
  <w:num w:numId="21">
    <w:abstractNumId w:val="28"/>
  </w:num>
  <w:num w:numId="22">
    <w:abstractNumId w:val="22"/>
  </w:num>
  <w:num w:numId="23">
    <w:abstractNumId w:val="19"/>
  </w:num>
  <w:num w:numId="24">
    <w:abstractNumId w:val="10"/>
  </w:num>
  <w:num w:numId="25">
    <w:abstractNumId w:val="5"/>
  </w:num>
  <w:num w:numId="26">
    <w:abstractNumId w:val="23"/>
  </w:num>
  <w:num w:numId="27">
    <w:abstractNumId w:val="14"/>
  </w:num>
  <w:num w:numId="28">
    <w:abstractNumId w:val="4"/>
  </w:num>
  <w:num w:numId="29">
    <w:abstractNumId w:val="1"/>
  </w:num>
  <w:num w:numId="30">
    <w:abstractNumId w:val="20"/>
  </w:num>
  <w:num w:numId="31">
    <w:abstractNumId w:val="31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8193">
      <o:colormru v:ext="edit" colors="#4f2683,#faa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561"/>
    <w:rsid w:val="0000112E"/>
    <w:rsid w:val="00005986"/>
    <w:rsid w:val="00035422"/>
    <w:rsid w:val="0005056A"/>
    <w:rsid w:val="0005642F"/>
    <w:rsid w:val="000A3483"/>
    <w:rsid w:val="000B7FE9"/>
    <w:rsid w:val="000C502F"/>
    <w:rsid w:val="000D209F"/>
    <w:rsid w:val="000D3907"/>
    <w:rsid w:val="000E42C6"/>
    <w:rsid w:val="001149B1"/>
    <w:rsid w:val="00146C3C"/>
    <w:rsid w:val="00156E9F"/>
    <w:rsid w:val="00164876"/>
    <w:rsid w:val="00170F86"/>
    <w:rsid w:val="00172771"/>
    <w:rsid w:val="00175E22"/>
    <w:rsid w:val="00197C44"/>
    <w:rsid w:val="001C7C78"/>
    <w:rsid w:val="001E5C1D"/>
    <w:rsid w:val="001F13EB"/>
    <w:rsid w:val="001F22D2"/>
    <w:rsid w:val="001F7700"/>
    <w:rsid w:val="00200D28"/>
    <w:rsid w:val="00202846"/>
    <w:rsid w:val="00211AF7"/>
    <w:rsid w:val="00230B4E"/>
    <w:rsid w:val="00240EC6"/>
    <w:rsid w:val="002463CE"/>
    <w:rsid w:val="002467FA"/>
    <w:rsid w:val="002525FB"/>
    <w:rsid w:val="00267D56"/>
    <w:rsid w:val="002823A6"/>
    <w:rsid w:val="0028272A"/>
    <w:rsid w:val="002A328D"/>
    <w:rsid w:val="002A4D54"/>
    <w:rsid w:val="002D0702"/>
    <w:rsid w:val="002E325C"/>
    <w:rsid w:val="002F5CDB"/>
    <w:rsid w:val="00313A53"/>
    <w:rsid w:val="0031769F"/>
    <w:rsid w:val="00361A0A"/>
    <w:rsid w:val="00387302"/>
    <w:rsid w:val="0039431E"/>
    <w:rsid w:val="003A390C"/>
    <w:rsid w:val="003B57E6"/>
    <w:rsid w:val="003D3EE5"/>
    <w:rsid w:val="003E1B32"/>
    <w:rsid w:val="003E564B"/>
    <w:rsid w:val="003E7CDF"/>
    <w:rsid w:val="003F1987"/>
    <w:rsid w:val="00402783"/>
    <w:rsid w:val="00422B18"/>
    <w:rsid w:val="00431F6D"/>
    <w:rsid w:val="00434E62"/>
    <w:rsid w:val="00454493"/>
    <w:rsid w:val="00475B25"/>
    <w:rsid w:val="0047735C"/>
    <w:rsid w:val="004B33D9"/>
    <w:rsid w:val="004D5BC4"/>
    <w:rsid w:val="004E2675"/>
    <w:rsid w:val="00520AC5"/>
    <w:rsid w:val="005301DF"/>
    <w:rsid w:val="0054202D"/>
    <w:rsid w:val="00556C71"/>
    <w:rsid w:val="00563295"/>
    <w:rsid w:val="00580E24"/>
    <w:rsid w:val="00583D0D"/>
    <w:rsid w:val="00583E5C"/>
    <w:rsid w:val="00591C4D"/>
    <w:rsid w:val="005D6A12"/>
    <w:rsid w:val="005E2505"/>
    <w:rsid w:val="00603DFC"/>
    <w:rsid w:val="00645E9C"/>
    <w:rsid w:val="00674D30"/>
    <w:rsid w:val="006936D4"/>
    <w:rsid w:val="0069673B"/>
    <w:rsid w:val="006A45C8"/>
    <w:rsid w:val="006B2377"/>
    <w:rsid w:val="006B3A87"/>
    <w:rsid w:val="006B75D8"/>
    <w:rsid w:val="006C1DE6"/>
    <w:rsid w:val="006D49E7"/>
    <w:rsid w:val="006F1ED2"/>
    <w:rsid w:val="006F4168"/>
    <w:rsid w:val="006F5ACE"/>
    <w:rsid w:val="007071A8"/>
    <w:rsid w:val="00707C14"/>
    <w:rsid w:val="00714A4A"/>
    <w:rsid w:val="00717272"/>
    <w:rsid w:val="007556AF"/>
    <w:rsid w:val="00760E4B"/>
    <w:rsid w:val="00762DB1"/>
    <w:rsid w:val="0076640C"/>
    <w:rsid w:val="00767C60"/>
    <w:rsid w:val="007836AE"/>
    <w:rsid w:val="007854E0"/>
    <w:rsid w:val="00796F0C"/>
    <w:rsid w:val="007A6F3C"/>
    <w:rsid w:val="007B49EE"/>
    <w:rsid w:val="007D1701"/>
    <w:rsid w:val="007D3499"/>
    <w:rsid w:val="007D5CBF"/>
    <w:rsid w:val="007F5F9D"/>
    <w:rsid w:val="007F6F2D"/>
    <w:rsid w:val="00803D20"/>
    <w:rsid w:val="00812414"/>
    <w:rsid w:val="00821526"/>
    <w:rsid w:val="0082470D"/>
    <w:rsid w:val="00837551"/>
    <w:rsid w:val="008741FB"/>
    <w:rsid w:val="00882A5B"/>
    <w:rsid w:val="0089455A"/>
    <w:rsid w:val="008A2B5E"/>
    <w:rsid w:val="008D195F"/>
    <w:rsid w:val="008E167C"/>
    <w:rsid w:val="009039FD"/>
    <w:rsid w:val="00905BF1"/>
    <w:rsid w:val="00912DB4"/>
    <w:rsid w:val="00960FDD"/>
    <w:rsid w:val="00962985"/>
    <w:rsid w:val="00970357"/>
    <w:rsid w:val="00971423"/>
    <w:rsid w:val="00982299"/>
    <w:rsid w:val="009A5A09"/>
    <w:rsid w:val="009B35D8"/>
    <w:rsid w:val="009B75CD"/>
    <w:rsid w:val="009C6129"/>
    <w:rsid w:val="009D20F8"/>
    <w:rsid w:val="009D3CC3"/>
    <w:rsid w:val="009D516D"/>
    <w:rsid w:val="009D78D2"/>
    <w:rsid w:val="009E049D"/>
    <w:rsid w:val="009E0E3D"/>
    <w:rsid w:val="009E2E6F"/>
    <w:rsid w:val="009F656C"/>
    <w:rsid w:val="009F66DE"/>
    <w:rsid w:val="00A00E0B"/>
    <w:rsid w:val="00A035BD"/>
    <w:rsid w:val="00A23D27"/>
    <w:rsid w:val="00A3181C"/>
    <w:rsid w:val="00A43A8D"/>
    <w:rsid w:val="00A511DF"/>
    <w:rsid w:val="00A51AAD"/>
    <w:rsid w:val="00A61143"/>
    <w:rsid w:val="00A82709"/>
    <w:rsid w:val="00A923F6"/>
    <w:rsid w:val="00A93F1B"/>
    <w:rsid w:val="00AE0919"/>
    <w:rsid w:val="00AF4209"/>
    <w:rsid w:val="00AF5151"/>
    <w:rsid w:val="00B12533"/>
    <w:rsid w:val="00B220EC"/>
    <w:rsid w:val="00B56A3A"/>
    <w:rsid w:val="00B66561"/>
    <w:rsid w:val="00B674E9"/>
    <w:rsid w:val="00B77C12"/>
    <w:rsid w:val="00B948A6"/>
    <w:rsid w:val="00B965BA"/>
    <w:rsid w:val="00BD0007"/>
    <w:rsid w:val="00BD4146"/>
    <w:rsid w:val="00BE00EB"/>
    <w:rsid w:val="00BF6E63"/>
    <w:rsid w:val="00C06DEA"/>
    <w:rsid w:val="00C213EC"/>
    <w:rsid w:val="00C4430D"/>
    <w:rsid w:val="00C47A63"/>
    <w:rsid w:val="00C54054"/>
    <w:rsid w:val="00C57DE2"/>
    <w:rsid w:val="00C66E73"/>
    <w:rsid w:val="00C83D78"/>
    <w:rsid w:val="00C93EED"/>
    <w:rsid w:val="00C96914"/>
    <w:rsid w:val="00CE313C"/>
    <w:rsid w:val="00CE5361"/>
    <w:rsid w:val="00D011B8"/>
    <w:rsid w:val="00D014E1"/>
    <w:rsid w:val="00D1453D"/>
    <w:rsid w:val="00D14668"/>
    <w:rsid w:val="00D23A7D"/>
    <w:rsid w:val="00D328EF"/>
    <w:rsid w:val="00D33C74"/>
    <w:rsid w:val="00D34738"/>
    <w:rsid w:val="00D55083"/>
    <w:rsid w:val="00D6332C"/>
    <w:rsid w:val="00D8245A"/>
    <w:rsid w:val="00D83E6C"/>
    <w:rsid w:val="00D84F0A"/>
    <w:rsid w:val="00D91F3A"/>
    <w:rsid w:val="00D966A1"/>
    <w:rsid w:val="00DA5C44"/>
    <w:rsid w:val="00DA669D"/>
    <w:rsid w:val="00DA7519"/>
    <w:rsid w:val="00DB4BDE"/>
    <w:rsid w:val="00DD515F"/>
    <w:rsid w:val="00DD5F87"/>
    <w:rsid w:val="00E023B5"/>
    <w:rsid w:val="00E157F9"/>
    <w:rsid w:val="00E23942"/>
    <w:rsid w:val="00E276E5"/>
    <w:rsid w:val="00E33169"/>
    <w:rsid w:val="00E55722"/>
    <w:rsid w:val="00E6528C"/>
    <w:rsid w:val="00E85DE0"/>
    <w:rsid w:val="00E93332"/>
    <w:rsid w:val="00E972DE"/>
    <w:rsid w:val="00EA2AFA"/>
    <w:rsid w:val="00EB41D4"/>
    <w:rsid w:val="00EC442C"/>
    <w:rsid w:val="00EC6A3E"/>
    <w:rsid w:val="00EF6910"/>
    <w:rsid w:val="00F007A7"/>
    <w:rsid w:val="00F02231"/>
    <w:rsid w:val="00F05E2C"/>
    <w:rsid w:val="00F06DD0"/>
    <w:rsid w:val="00F52BEE"/>
    <w:rsid w:val="00F7274D"/>
    <w:rsid w:val="00F848D2"/>
    <w:rsid w:val="00F95333"/>
    <w:rsid w:val="00FA0C58"/>
    <w:rsid w:val="00FA11BE"/>
    <w:rsid w:val="00FA1911"/>
    <w:rsid w:val="00FA5997"/>
    <w:rsid w:val="00FC4E74"/>
    <w:rsid w:val="00FF247D"/>
    <w:rsid w:val="00FF4453"/>
    <w:rsid w:val="00FF4EF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4f2683,#faa21b"/>
    </o:shapedefaults>
    <o:shapelayout v:ext="edit">
      <o:idmap v:ext="edit" data="1"/>
    </o:shapelayout>
  </w:shapeDefaults>
  <w:doNotEmbedSmartTags/>
  <w:decimalSymbol w:val="."/>
  <w:listSeparator w:val=","/>
  <w14:docId w14:val="7A6E2D94"/>
  <w15:docId w15:val="{DD2B44D9-FB67-4916-AA83-B2A77C18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168"/>
    <w:rPr>
      <w:rFonts w:ascii="Bookman Old Style" w:hAnsi="Bookman Old Style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9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1DF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149B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1149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ewsletterHeading">
    <w:name w:val="Newsletter Heading"/>
    <w:basedOn w:val="Normal"/>
    <w:qFormat/>
    <w:rsid w:val="001149B1"/>
    <w:rPr>
      <w:rFonts w:asciiTheme="majorHAnsi" w:eastAsia="Times New Roman" w:hAnsiTheme="majorHAnsi" w:cs="Times New Roman"/>
      <w:b/>
      <w:color w:val="FFFFFF" w:themeColor="background1"/>
      <w:sz w:val="62"/>
    </w:rPr>
  </w:style>
  <w:style w:type="paragraph" w:customStyle="1" w:styleId="NewsletterSubhead">
    <w:name w:val="Newsletter Subhead"/>
    <w:basedOn w:val="Normal"/>
    <w:qFormat/>
    <w:rsid w:val="001149B1"/>
    <w:rPr>
      <w:rFonts w:ascii="Times New Roman" w:eastAsia="Times New Roman" w:hAnsi="Times New Roman" w:cs="Times New Roman"/>
      <w:color w:val="FFFFFF" w:themeColor="background1"/>
      <w:sz w:val="26"/>
    </w:rPr>
  </w:style>
  <w:style w:type="paragraph" w:customStyle="1" w:styleId="NewsletterHeadline">
    <w:name w:val="Newsletter Headline"/>
    <w:basedOn w:val="Normal"/>
    <w:qFormat/>
    <w:rsid w:val="00760E4B"/>
    <w:rPr>
      <w:rFonts w:asciiTheme="majorHAnsi" w:eastAsia="Times New Roman" w:hAnsiTheme="majorHAnsi" w:cs="Times New Roman"/>
      <w:b/>
      <w:sz w:val="32"/>
    </w:rPr>
  </w:style>
  <w:style w:type="paragraph" w:customStyle="1" w:styleId="NewsletterBody">
    <w:name w:val="Newsletter Body"/>
    <w:basedOn w:val="Normal"/>
    <w:qFormat/>
    <w:rsid w:val="00F7274D"/>
    <w:pPr>
      <w:spacing w:after="20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customStyle="1" w:styleId="WhiteText">
    <w:name w:val="White Text"/>
    <w:basedOn w:val="Normal"/>
    <w:qFormat/>
    <w:rsid w:val="00D014E1"/>
    <w:rPr>
      <w:rFonts w:ascii="Times New Roman" w:eastAsia="Times New Roman" w:hAnsi="Times New Roman" w:cs="Times New Roman"/>
      <w:color w:val="FFFFFF" w:themeColor="background1"/>
      <w:sz w:val="20"/>
    </w:rPr>
  </w:style>
  <w:style w:type="paragraph" w:customStyle="1" w:styleId="CompanyName">
    <w:name w:val="Company Name"/>
    <w:basedOn w:val="NewsletterHeading"/>
    <w:qFormat/>
    <w:rsid w:val="003B57E6"/>
    <w:rPr>
      <w:sz w:val="52"/>
      <w:szCs w:val="52"/>
    </w:rPr>
  </w:style>
  <w:style w:type="paragraph" w:customStyle="1" w:styleId="NewsletterDate">
    <w:name w:val="Newsletter Date"/>
    <w:basedOn w:val="WhiteText"/>
    <w:qFormat/>
    <w:rsid w:val="00FA5997"/>
    <w:pPr>
      <w:jc w:val="right"/>
    </w:pPr>
  </w:style>
  <w:style w:type="paragraph" w:customStyle="1" w:styleId="Smallprint">
    <w:name w:val="Small print"/>
    <w:basedOn w:val="NewsletterBody"/>
    <w:qFormat/>
    <w:rsid w:val="006D49E7"/>
    <w:pPr>
      <w:jc w:val="right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2AFA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A2AF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2AFA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A2AFA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84F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328EF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rsid w:val="00D328EF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516D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D83E6C"/>
    <w:rPr>
      <w:color w:val="800080" w:themeColor="followedHyperlink"/>
      <w:u w:val="single"/>
    </w:rPr>
  </w:style>
  <w:style w:type="paragraph" w:customStyle="1" w:styleId="Caption1">
    <w:name w:val="Caption1"/>
    <w:basedOn w:val="Normal"/>
    <w:rsid w:val="00C54054"/>
    <w:pPr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SidebarList">
    <w:name w:val="Sidebar List"/>
    <w:next w:val="Normal"/>
    <w:rsid w:val="00C54054"/>
    <w:pPr>
      <w:numPr>
        <w:numId w:val="3"/>
      </w:numPr>
      <w:spacing w:after="80"/>
    </w:pPr>
    <w:rPr>
      <w:rFonts w:ascii="Tahoma" w:eastAsia="Times New Roman" w:hAnsi="Tahoma" w:cs="Times New Roman"/>
      <w:kern w:val="28"/>
      <w:sz w:val="18"/>
      <w:szCs w:val="18"/>
      <w:lang w:val="en"/>
    </w:rPr>
  </w:style>
  <w:style w:type="paragraph" w:customStyle="1" w:styleId="Default">
    <w:name w:val="Default"/>
    <w:rsid w:val="00DA7519"/>
    <w:pPr>
      <w:autoSpaceDE w:val="0"/>
      <w:autoSpaceDN w:val="0"/>
      <w:adjustRightInd w:val="0"/>
    </w:pPr>
    <w:rPr>
      <w:rFonts w:ascii="Aller" w:eastAsia="Times New Roman" w:hAnsi="Aller" w:cs="Aller"/>
      <w:color w:val="000000"/>
      <w:sz w:val="24"/>
      <w:szCs w:val="24"/>
    </w:rPr>
  </w:style>
  <w:style w:type="paragraph" w:customStyle="1" w:styleId="SidebarTitle">
    <w:name w:val="Sidebar Title"/>
    <w:next w:val="Normal"/>
    <w:rsid w:val="009F656C"/>
    <w:pPr>
      <w:spacing w:after="240"/>
    </w:pPr>
    <w:rPr>
      <w:rFonts w:ascii="Tahoma" w:eastAsia="Times New Roman" w:hAnsi="Tahoma" w:cs="Arial"/>
      <w:b/>
      <w:color w:val="0099FF"/>
    </w:rPr>
  </w:style>
  <w:style w:type="character" w:styleId="CommentReference">
    <w:name w:val="annotation reference"/>
    <w:basedOn w:val="DefaultParagraphFont"/>
    <w:semiHidden/>
    <w:unhideWhenUsed/>
    <w:rsid w:val="000C502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C502F"/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C502F"/>
    <w:rPr>
      <w:rFonts w:ascii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02F"/>
    <w:rPr>
      <w:rFonts w:ascii="Calibri" w:hAnsi="Calibri" w:cs="Times New Roman"/>
      <w:b/>
      <w:bCs/>
    </w:rPr>
  </w:style>
  <w:style w:type="character" w:customStyle="1" w:styleId="auto-style11">
    <w:name w:val="auto-style11"/>
    <w:basedOn w:val="DefaultParagraphFont"/>
    <w:rsid w:val="00252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Templates\SHP%20Templates\SHP%20RFP_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EF779-630E-41A3-AEF8-C4C8151F2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30A2E3-76C3-4052-9473-21B1DCD2A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SHP RFP_Report Template.dotx</Template>
  <TotalTime>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>Marshfield Clinic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creator>Ridder, Natalie</dc:creator>
  <cp:lastModifiedBy>Krizenesky, Asavari P</cp:lastModifiedBy>
  <cp:revision>4</cp:revision>
  <cp:lastPrinted>2022-11-22T22:16:00Z</cp:lastPrinted>
  <dcterms:created xsi:type="dcterms:W3CDTF">2022-11-22T23:36:00Z</dcterms:created>
  <dcterms:modified xsi:type="dcterms:W3CDTF">2022-11-28T17:36:00Z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TC103360279990</vt:lpwstr>
  </property>
</Properties>
</file>