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AADA3" w14:textId="0E997110" w:rsidR="00230B8E" w:rsidRPr="00230B8E" w:rsidRDefault="00230B8E" w:rsidP="00230B8E">
      <w:pPr>
        <w:outlineLvl w:val="2"/>
        <w:rPr>
          <w:rFonts w:eastAsia="Times New Roman" w:cs="Calibri"/>
          <w:b/>
          <w:bCs/>
          <w:sz w:val="32"/>
          <w:szCs w:val="32"/>
        </w:rPr>
      </w:pPr>
      <w:r w:rsidRPr="00230B8E">
        <w:rPr>
          <w:rFonts w:eastAsia="Times New Roman" w:cs="Calibri"/>
          <w:b/>
          <w:bCs/>
          <w:sz w:val="32"/>
          <w:szCs w:val="32"/>
        </w:rPr>
        <w:t xml:space="preserve">Understanding the CMS </w:t>
      </w:r>
      <w:r w:rsidR="00DA5D37">
        <w:rPr>
          <w:rFonts w:eastAsia="Times New Roman" w:cs="Calibri"/>
          <w:b/>
          <w:bCs/>
          <w:sz w:val="32"/>
          <w:szCs w:val="32"/>
        </w:rPr>
        <w:t>m</w:t>
      </w:r>
      <w:r w:rsidRPr="00230B8E">
        <w:rPr>
          <w:rFonts w:eastAsia="Times New Roman" w:cs="Calibri"/>
          <w:b/>
          <w:bCs/>
          <w:sz w:val="32"/>
          <w:szCs w:val="32"/>
        </w:rPr>
        <w:t xml:space="preserve">easure POLY-ACH: A </w:t>
      </w:r>
      <w:r w:rsidR="00DA5D37">
        <w:rPr>
          <w:rFonts w:eastAsia="Times New Roman" w:cs="Calibri"/>
          <w:b/>
          <w:bCs/>
          <w:sz w:val="32"/>
          <w:szCs w:val="32"/>
        </w:rPr>
        <w:t>g</w:t>
      </w:r>
      <w:r w:rsidRPr="00230B8E">
        <w:rPr>
          <w:rFonts w:eastAsia="Times New Roman" w:cs="Calibri"/>
          <w:b/>
          <w:bCs/>
          <w:sz w:val="32"/>
          <w:szCs w:val="32"/>
        </w:rPr>
        <w:t xml:space="preserve">uide for </w:t>
      </w:r>
      <w:r w:rsidR="00DA5D37">
        <w:rPr>
          <w:rFonts w:eastAsia="Times New Roman" w:cs="Calibri"/>
          <w:b/>
          <w:bCs/>
          <w:sz w:val="32"/>
          <w:szCs w:val="32"/>
        </w:rPr>
        <w:t>p</w:t>
      </w:r>
      <w:r w:rsidRPr="00230B8E">
        <w:rPr>
          <w:rFonts w:eastAsia="Times New Roman" w:cs="Calibri"/>
          <w:b/>
          <w:bCs/>
          <w:sz w:val="32"/>
          <w:szCs w:val="32"/>
        </w:rPr>
        <w:t>roviders</w:t>
      </w:r>
    </w:p>
    <w:p w14:paraId="618B5944" w14:textId="77777777" w:rsidR="00230B8E" w:rsidRDefault="00230B8E" w:rsidP="00230B8E">
      <w:pPr>
        <w:rPr>
          <w:rFonts w:eastAsia="Times New Roman" w:cs="Calibri"/>
          <w:sz w:val="24"/>
          <w:szCs w:val="24"/>
        </w:rPr>
      </w:pPr>
    </w:p>
    <w:p w14:paraId="11F436FC" w14:textId="1EF89300" w:rsidR="00230B8E" w:rsidRPr="00230B8E" w:rsidRDefault="00230B8E" w:rsidP="00230B8E">
      <w:pPr>
        <w:rPr>
          <w:rFonts w:eastAsia="Times New Roman" w:cs="Calibri"/>
          <w:sz w:val="24"/>
          <w:szCs w:val="24"/>
        </w:rPr>
      </w:pPr>
      <w:r w:rsidRPr="00230B8E">
        <w:rPr>
          <w:rFonts w:eastAsia="Times New Roman" w:cs="Calibri"/>
          <w:sz w:val="24"/>
          <w:szCs w:val="24"/>
        </w:rPr>
        <w:t xml:space="preserve">Polypharmacy: Use of Multiple Anticholinergic Medications in Older Adults (POLY-ACH) is a new </w:t>
      </w:r>
      <w:r w:rsidR="00054636">
        <w:rPr>
          <w:rFonts w:eastAsia="Times New Roman" w:cs="Calibri"/>
          <w:sz w:val="24"/>
          <w:szCs w:val="24"/>
        </w:rPr>
        <w:t>Centers for Medicare and Medicaid Services (CMS) s</w:t>
      </w:r>
      <w:r w:rsidRPr="00230B8E">
        <w:rPr>
          <w:rFonts w:eastAsia="Times New Roman" w:cs="Calibri"/>
          <w:sz w:val="24"/>
          <w:szCs w:val="24"/>
        </w:rPr>
        <w:t xml:space="preserve">tar measure starting in measurement year (MY) 2025. Healthcare providers must keep up to date with CMS measures to deliver high-quality care and meet regulatory compliance standards.  </w:t>
      </w:r>
    </w:p>
    <w:p w14:paraId="60EE2342" w14:textId="77777777" w:rsidR="00230B8E" w:rsidRPr="00230B8E" w:rsidRDefault="00230B8E" w:rsidP="00230B8E">
      <w:pPr>
        <w:outlineLvl w:val="3"/>
        <w:rPr>
          <w:rFonts w:eastAsia="Times New Roman" w:cs="Calibri"/>
          <w:b/>
          <w:bCs/>
          <w:sz w:val="24"/>
          <w:szCs w:val="24"/>
        </w:rPr>
      </w:pPr>
    </w:p>
    <w:p w14:paraId="2ACB8048" w14:textId="7AC3B8BC" w:rsidR="00230B8E" w:rsidRPr="00230B8E" w:rsidRDefault="00230B8E" w:rsidP="00230B8E">
      <w:pPr>
        <w:outlineLvl w:val="3"/>
        <w:rPr>
          <w:rFonts w:eastAsia="Times New Roman" w:cs="Calibri"/>
          <w:b/>
          <w:bCs/>
          <w:sz w:val="24"/>
          <w:szCs w:val="24"/>
        </w:rPr>
      </w:pPr>
      <w:r w:rsidRPr="00230B8E">
        <w:rPr>
          <w:rFonts w:eastAsia="Times New Roman" w:cs="Calibri"/>
          <w:b/>
          <w:bCs/>
          <w:sz w:val="24"/>
          <w:szCs w:val="24"/>
        </w:rPr>
        <w:t xml:space="preserve">What is the POLY-ACH </w:t>
      </w:r>
      <w:r w:rsidR="00DA5D37">
        <w:rPr>
          <w:rFonts w:eastAsia="Times New Roman" w:cs="Calibri"/>
          <w:b/>
          <w:bCs/>
          <w:sz w:val="24"/>
          <w:szCs w:val="24"/>
        </w:rPr>
        <w:t>m</w:t>
      </w:r>
      <w:r w:rsidRPr="00230B8E">
        <w:rPr>
          <w:rFonts w:eastAsia="Times New Roman" w:cs="Calibri"/>
          <w:b/>
          <w:bCs/>
          <w:sz w:val="24"/>
          <w:szCs w:val="24"/>
        </w:rPr>
        <w:t>easure?</w:t>
      </w:r>
    </w:p>
    <w:p w14:paraId="5C0513CF" w14:textId="39356136" w:rsidR="00230B8E" w:rsidRPr="00230B8E" w:rsidRDefault="00230B8E" w:rsidP="00230B8E">
      <w:pPr>
        <w:outlineLvl w:val="3"/>
        <w:rPr>
          <w:rFonts w:eastAsia="Times New Roman" w:cs="Calibri"/>
          <w:sz w:val="24"/>
          <w:szCs w:val="24"/>
        </w:rPr>
      </w:pPr>
      <w:r w:rsidRPr="00230B8E">
        <w:rPr>
          <w:rFonts w:eastAsia="Times New Roman" w:cs="Calibri"/>
          <w:sz w:val="24"/>
          <w:szCs w:val="24"/>
        </w:rPr>
        <w:t xml:space="preserve">The CMS </w:t>
      </w:r>
      <w:r w:rsidR="00054636">
        <w:rPr>
          <w:rFonts w:eastAsia="Times New Roman" w:cs="Calibri"/>
          <w:sz w:val="24"/>
          <w:szCs w:val="24"/>
        </w:rPr>
        <w:t>s</w:t>
      </w:r>
      <w:r w:rsidRPr="00230B8E">
        <w:rPr>
          <w:rFonts w:eastAsia="Times New Roman" w:cs="Calibri"/>
          <w:sz w:val="24"/>
          <w:szCs w:val="24"/>
        </w:rPr>
        <w:t xml:space="preserve">tar </w:t>
      </w:r>
      <w:r w:rsidR="00054636">
        <w:rPr>
          <w:rFonts w:eastAsia="Times New Roman" w:cs="Calibri"/>
          <w:sz w:val="24"/>
          <w:szCs w:val="24"/>
        </w:rPr>
        <w:t>m</w:t>
      </w:r>
      <w:r w:rsidRPr="00230B8E">
        <w:rPr>
          <w:rFonts w:eastAsia="Times New Roman" w:cs="Calibri"/>
          <w:sz w:val="24"/>
          <w:szCs w:val="24"/>
        </w:rPr>
        <w:t>easure Polypharmacy: Use of Multiple Anticholinergic Medications in Older Adults monitors the percentage of Medicare Part D beneficiaries aged 65 years or older prescribed two or more unique anticholinergic medications on different dates of service during the measurement year. This measure aims to reduce the anticholinergic burden, which can harm cognition and increase risks for falls and mortality.</w:t>
      </w:r>
    </w:p>
    <w:p w14:paraId="2C48BAB5" w14:textId="77777777" w:rsidR="00230B8E" w:rsidRPr="00230B8E" w:rsidRDefault="00230B8E" w:rsidP="00230B8E">
      <w:pPr>
        <w:outlineLvl w:val="3"/>
        <w:rPr>
          <w:rFonts w:eastAsia="Times New Roman" w:cs="Calibri"/>
          <w:sz w:val="24"/>
          <w:szCs w:val="24"/>
        </w:rPr>
      </w:pPr>
    </w:p>
    <w:p w14:paraId="7D2F7BC8" w14:textId="5FB8D405" w:rsidR="00230B8E" w:rsidRPr="00230B8E" w:rsidRDefault="00230B8E" w:rsidP="00230B8E">
      <w:pPr>
        <w:outlineLvl w:val="3"/>
        <w:rPr>
          <w:rFonts w:eastAsia="Times New Roman" w:cs="Calibri"/>
          <w:b/>
          <w:bCs/>
          <w:sz w:val="24"/>
          <w:szCs w:val="24"/>
        </w:rPr>
      </w:pPr>
      <w:r w:rsidRPr="00230B8E">
        <w:rPr>
          <w:rFonts w:eastAsia="Times New Roman" w:cs="Calibri"/>
          <w:b/>
          <w:bCs/>
          <w:sz w:val="24"/>
          <w:szCs w:val="24"/>
        </w:rPr>
        <w:t xml:space="preserve">Why is the POLY-ACH </w:t>
      </w:r>
      <w:r w:rsidR="00DA5D37">
        <w:rPr>
          <w:rFonts w:eastAsia="Times New Roman" w:cs="Calibri"/>
          <w:b/>
          <w:bCs/>
          <w:sz w:val="24"/>
          <w:szCs w:val="24"/>
        </w:rPr>
        <w:t>m</w:t>
      </w:r>
      <w:r w:rsidRPr="00230B8E">
        <w:rPr>
          <w:rFonts w:eastAsia="Times New Roman" w:cs="Calibri"/>
          <w:b/>
          <w:bCs/>
          <w:sz w:val="24"/>
          <w:szCs w:val="24"/>
        </w:rPr>
        <w:t xml:space="preserve">easure </w:t>
      </w:r>
      <w:r w:rsidR="00DA5D37">
        <w:rPr>
          <w:rFonts w:eastAsia="Times New Roman" w:cs="Calibri"/>
          <w:b/>
          <w:bCs/>
          <w:sz w:val="24"/>
          <w:szCs w:val="24"/>
        </w:rPr>
        <w:t>i</w:t>
      </w:r>
      <w:r w:rsidRPr="00230B8E">
        <w:rPr>
          <w:rFonts w:eastAsia="Times New Roman" w:cs="Calibri"/>
          <w:b/>
          <w:bCs/>
          <w:sz w:val="24"/>
          <w:szCs w:val="24"/>
        </w:rPr>
        <w:t>mportant?</w:t>
      </w:r>
    </w:p>
    <w:p w14:paraId="21AC932E" w14:textId="77777777" w:rsidR="00230B8E" w:rsidRPr="00230B8E" w:rsidRDefault="00230B8E" w:rsidP="00230B8E">
      <w:pPr>
        <w:rPr>
          <w:rFonts w:eastAsia="Times New Roman" w:cs="Calibri"/>
          <w:sz w:val="24"/>
          <w:szCs w:val="24"/>
        </w:rPr>
      </w:pPr>
      <w:r w:rsidRPr="00230B8E">
        <w:rPr>
          <w:rFonts w:eastAsia="Times New Roman" w:cs="Calibri"/>
          <w:sz w:val="24"/>
          <w:szCs w:val="24"/>
        </w:rPr>
        <w:t>There is a greater risk of adverse drug reactions due to metabolic changes and reduced drug clearance associated with aging.  Anticholinergic medications can cause confusion, dry mouth, blurred vision, constipation, and urinary retention.  These can lead to increased risk of impaired cognitive and physical function, as well as falls in older adults.</w:t>
      </w:r>
      <w:r w:rsidRPr="00230B8E">
        <w:rPr>
          <w:rFonts w:eastAsia="Times New Roman" w:cs="Calibri"/>
          <w:sz w:val="24"/>
          <w:szCs w:val="24"/>
          <w:vertAlign w:val="superscript"/>
        </w:rPr>
        <w:t>1</w:t>
      </w:r>
      <w:r w:rsidRPr="00230B8E">
        <w:rPr>
          <w:rFonts w:eastAsia="Times New Roman" w:cs="Calibri"/>
          <w:sz w:val="24"/>
          <w:szCs w:val="24"/>
        </w:rPr>
        <w:t xml:space="preserve"> </w:t>
      </w:r>
    </w:p>
    <w:p w14:paraId="7497185C" w14:textId="77777777" w:rsidR="00230B8E" w:rsidRPr="00230B8E" w:rsidRDefault="00230B8E" w:rsidP="00230B8E">
      <w:pPr>
        <w:numPr>
          <w:ilvl w:val="0"/>
          <w:numId w:val="26"/>
        </w:numPr>
        <w:spacing w:after="160" w:line="259" w:lineRule="auto"/>
        <w:contextualSpacing/>
        <w:rPr>
          <w:rFonts w:eastAsia="Times New Roman" w:cs="Calibri"/>
          <w:sz w:val="24"/>
          <w:szCs w:val="24"/>
        </w:rPr>
      </w:pPr>
      <w:r w:rsidRPr="00230B8E">
        <w:rPr>
          <w:rFonts w:eastAsia="Times New Roman" w:cs="Calibri"/>
          <w:sz w:val="24"/>
          <w:szCs w:val="24"/>
        </w:rPr>
        <w:t xml:space="preserve">A JAMA Internal Medicine study linked anticholinergic use to a higher risk of dementia </w:t>
      </w:r>
      <w:r w:rsidRPr="00230B8E">
        <w:rPr>
          <w:rFonts w:eastAsia="Times New Roman" w:cs="Calibri"/>
          <w:sz w:val="24"/>
          <w:szCs w:val="24"/>
          <w:vertAlign w:val="superscript"/>
        </w:rPr>
        <w:t>1</w:t>
      </w:r>
      <w:r w:rsidRPr="00230B8E">
        <w:rPr>
          <w:rFonts w:eastAsia="Times New Roman" w:cs="Calibri"/>
          <w:sz w:val="24"/>
          <w:szCs w:val="24"/>
        </w:rPr>
        <w:t>.</w:t>
      </w:r>
    </w:p>
    <w:p w14:paraId="638E7AA7" w14:textId="77777777" w:rsidR="00230B8E" w:rsidRPr="00230B8E" w:rsidRDefault="00230B8E" w:rsidP="00230B8E">
      <w:pPr>
        <w:numPr>
          <w:ilvl w:val="0"/>
          <w:numId w:val="26"/>
        </w:numPr>
        <w:spacing w:after="160" w:line="259" w:lineRule="auto"/>
        <w:contextualSpacing/>
        <w:rPr>
          <w:rFonts w:eastAsia="Times New Roman" w:cs="Calibri"/>
          <w:sz w:val="24"/>
          <w:szCs w:val="24"/>
        </w:rPr>
      </w:pPr>
      <w:r w:rsidRPr="00230B8E">
        <w:rPr>
          <w:rFonts w:eastAsia="Times New Roman" w:cs="Calibri"/>
          <w:sz w:val="24"/>
          <w:szCs w:val="24"/>
        </w:rPr>
        <w:t xml:space="preserve">Older adults are more vulnerable to adverse drug events due to polypharmacy and reduced physiological reserve </w:t>
      </w:r>
      <w:r w:rsidRPr="00230B8E">
        <w:rPr>
          <w:rFonts w:eastAsia="Times New Roman" w:cs="Calibri"/>
          <w:sz w:val="24"/>
          <w:szCs w:val="24"/>
          <w:vertAlign w:val="superscript"/>
        </w:rPr>
        <w:t>2</w:t>
      </w:r>
      <w:r w:rsidRPr="00230B8E">
        <w:rPr>
          <w:rFonts w:eastAsia="Times New Roman" w:cs="Calibri"/>
          <w:sz w:val="24"/>
          <w:szCs w:val="24"/>
        </w:rPr>
        <w:t>.</w:t>
      </w:r>
    </w:p>
    <w:p w14:paraId="6C0454F9" w14:textId="77777777" w:rsidR="00230B8E" w:rsidRPr="00230B8E" w:rsidRDefault="00230B8E" w:rsidP="00230B8E">
      <w:pPr>
        <w:numPr>
          <w:ilvl w:val="0"/>
          <w:numId w:val="26"/>
        </w:numPr>
        <w:spacing w:after="160" w:line="259" w:lineRule="auto"/>
        <w:contextualSpacing/>
        <w:rPr>
          <w:rFonts w:eastAsia="Times New Roman" w:cs="Calibri"/>
          <w:sz w:val="24"/>
          <w:szCs w:val="24"/>
        </w:rPr>
      </w:pPr>
      <w:r w:rsidRPr="00230B8E">
        <w:rPr>
          <w:rFonts w:eastAsia="Times New Roman" w:cs="Calibri"/>
          <w:sz w:val="24"/>
          <w:szCs w:val="24"/>
        </w:rPr>
        <w:t xml:space="preserve">Reducing unnecessary anticholinergic medications improves functional outcomes and quality of life </w:t>
      </w:r>
      <w:r w:rsidRPr="00230B8E">
        <w:rPr>
          <w:rFonts w:eastAsia="Times New Roman" w:cs="Calibri"/>
          <w:sz w:val="24"/>
          <w:szCs w:val="24"/>
          <w:vertAlign w:val="superscript"/>
        </w:rPr>
        <w:t>3</w:t>
      </w:r>
      <w:r w:rsidRPr="00230B8E">
        <w:rPr>
          <w:rFonts w:eastAsia="Times New Roman" w:cs="Calibri"/>
          <w:sz w:val="24"/>
          <w:szCs w:val="24"/>
        </w:rPr>
        <w:t>.</w:t>
      </w:r>
    </w:p>
    <w:p w14:paraId="7D3CBB68" w14:textId="77777777" w:rsidR="00230B8E" w:rsidRPr="00230B8E" w:rsidRDefault="00230B8E" w:rsidP="00230B8E">
      <w:pPr>
        <w:ind w:left="1080"/>
        <w:contextualSpacing/>
        <w:rPr>
          <w:rFonts w:eastAsia="Times New Roman" w:cs="Calibri"/>
          <w:sz w:val="24"/>
          <w:szCs w:val="24"/>
        </w:rPr>
      </w:pPr>
    </w:p>
    <w:p w14:paraId="1DEE74CD" w14:textId="0D07F6DF" w:rsidR="00230B8E" w:rsidRPr="00230B8E" w:rsidRDefault="00230B8E" w:rsidP="00230B8E">
      <w:pPr>
        <w:outlineLvl w:val="3"/>
        <w:rPr>
          <w:rFonts w:eastAsia="Times New Roman" w:cs="Calibri"/>
          <w:b/>
          <w:bCs/>
          <w:sz w:val="24"/>
          <w:szCs w:val="24"/>
        </w:rPr>
      </w:pPr>
      <w:r w:rsidRPr="00230B8E">
        <w:rPr>
          <w:rFonts w:eastAsia="Times New Roman" w:cs="Calibri"/>
          <w:b/>
          <w:bCs/>
          <w:sz w:val="24"/>
          <w:szCs w:val="24"/>
        </w:rPr>
        <w:t xml:space="preserve">Patients </w:t>
      </w:r>
      <w:r w:rsidR="00DA5D37">
        <w:rPr>
          <w:rFonts w:eastAsia="Times New Roman" w:cs="Calibri"/>
          <w:b/>
          <w:bCs/>
          <w:sz w:val="24"/>
          <w:szCs w:val="24"/>
        </w:rPr>
        <w:t>e</w:t>
      </w:r>
      <w:r w:rsidRPr="00230B8E">
        <w:rPr>
          <w:rFonts w:eastAsia="Times New Roman" w:cs="Calibri"/>
          <w:b/>
          <w:bCs/>
          <w:sz w:val="24"/>
          <w:szCs w:val="24"/>
        </w:rPr>
        <w:t xml:space="preserve">xcluded from POLY-ACH </w:t>
      </w:r>
      <w:r w:rsidR="00DA5D37">
        <w:rPr>
          <w:rFonts w:eastAsia="Times New Roman" w:cs="Calibri"/>
          <w:b/>
          <w:bCs/>
          <w:sz w:val="24"/>
          <w:szCs w:val="24"/>
        </w:rPr>
        <w:t>m</w:t>
      </w:r>
      <w:r w:rsidRPr="00230B8E">
        <w:rPr>
          <w:rFonts w:eastAsia="Times New Roman" w:cs="Calibri"/>
          <w:b/>
          <w:bCs/>
          <w:sz w:val="24"/>
          <w:szCs w:val="24"/>
        </w:rPr>
        <w:t>easure</w:t>
      </w:r>
    </w:p>
    <w:p w14:paraId="6003A53A" w14:textId="77777777" w:rsidR="00230B8E" w:rsidRPr="00230B8E" w:rsidRDefault="00230B8E" w:rsidP="00230B8E">
      <w:pPr>
        <w:numPr>
          <w:ilvl w:val="0"/>
          <w:numId w:val="27"/>
        </w:numPr>
        <w:spacing w:after="160" w:line="259" w:lineRule="auto"/>
        <w:contextualSpacing/>
        <w:rPr>
          <w:rFonts w:eastAsia="Times New Roman" w:cs="Calibri"/>
          <w:sz w:val="24"/>
          <w:szCs w:val="24"/>
        </w:rPr>
      </w:pPr>
      <w:r w:rsidRPr="00230B8E">
        <w:rPr>
          <w:rFonts w:eastAsia="Times New Roman" w:cs="Calibri"/>
          <w:sz w:val="24"/>
          <w:szCs w:val="24"/>
        </w:rPr>
        <w:t>Patients enrolled in hospice at any time during the measurement period.</w:t>
      </w:r>
    </w:p>
    <w:p w14:paraId="06E68A39" w14:textId="77777777" w:rsidR="00230B8E" w:rsidRPr="00230B8E" w:rsidRDefault="00230B8E" w:rsidP="00230B8E">
      <w:pPr>
        <w:ind w:left="1080"/>
        <w:contextualSpacing/>
        <w:rPr>
          <w:rFonts w:eastAsia="Times New Roman" w:cs="Calibri"/>
          <w:sz w:val="24"/>
          <w:szCs w:val="24"/>
        </w:rPr>
      </w:pPr>
    </w:p>
    <w:p w14:paraId="5551729D" w14:textId="3F238B71" w:rsidR="00230B8E" w:rsidRPr="00230B8E" w:rsidRDefault="00230B8E" w:rsidP="00230B8E">
      <w:pPr>
        <w:shd w:val="clear" w:color="auto" w:fill="FFFFFF"/>
        <w:textAlignment w:val="baseline"/>
        <w:outlineLvl w:val="1"/>
        <w:rPr>
          <w:rFonts w:eastAsia="Times New Roman" w:cs="Calibri"/>
          <w:b/>
          <w:bCs/>
          <w:color w:val="333333"/>
          <w:sz w:val="24"/>
          <w:szCs w:val="24"/>
        </w:rPr>
      </w:pPr>
      <w:r w:rsidRPr="00230B8E">
        <w:rPr>
          <w:rFonts w:eastAsia="Times New Roman" w:cs="Calibri"/>
          <w:b/>
          <w:bCs/>
          <w:color w:val="333333"/>
          <w:sz w:val="24"/>
          <w:szCs w:val="24"/>
        </w:rPr>
        <w:t xml:space="preserve">Best </w:t>
      </w:r>
      <w:r w:rsidR="00DA5D37">
        <w:rPr>
          <w:rFonts w:eastAsia="Times New Roman" w:cs="Calibri"/>
          <w:b/>
          <w:bCs/>
          <w:color w:val="333333"/>
          <w:sz w:val="24"/>
          <w:szCs w:val="24"/>
        </w:rPr>
        <w:t>p</w:t>
      </w:r>
      <w:r w:rsidRPr="00230B8E">
        <w:rPr>
          <w:rFonts w:eastAsia="Times New Roman" w:cs="Calibri"/>
          <w:b/>
          <w:bCs/>
          <w:color w:val="333333"/>
          <w:sz w:val="24"/>
          <w:szCs w:val="24"/>
        </w:rPr>
        <w:t xml:space="preserve">ractice and </w:t>
      </w:r>
      <w:r w:rsidR="00DA5D37">
        <w:rPr>
          <w:rFonts w:eastAsia="Times New Roman" w:cs="Calibri"/>
          <w:b/>
          <w:bCs/>
          <w:color w:val="333333"/>
          <w:sz w:val="24"/>
          <w:szCs w:val="24"/>
        </w:rPr>
        <w:t>t</w:t>
      </w:r>
      <w:r w:rsidRPr="00230B8E">
        <w:rPr>
          <w:rFonts w:eastAsia="Times New Roman" w:cs="Calibri"/>
          <w:b/>
          <w:bCs/>
          <w:color w:val="333333"/>
          <w:sz w:val="24"/>
          <w:szCs w:val="24"/>
        </w:rPr>
        <w:t xml:space="preserve">ips for </w:t>
      </w:r>
      <w:r w:rsidR="00DA5D37">
        <w:rPr>
          <w:rFonts w:eastAsia="Times New Roman" w:cs="Calibri"/>
          <w:b/>
          <w:bCs/>
          <w:color w:val="333333"/>
          <w:sz w:val="24"/>
          <w:szCs w:val="24"/>
        </w:rPr>
        <w:t>s</w:t>
      </w:r>
      <w:r w:rsidRPr="00230B8E">
        <w:rPr>
          <w:rFonts w:eastAsia="Times New Roman" w:cs="Calibri"/>
          <w:b/>
          <w:bCs/>
          <w:color w:val="333333"/>
          <w:sz w:val="24"/>
          <w:szCs w:val="24"/>
        </w:rPr>
        <w:t>uccess</w:t>
      </w:r>
    </w:p>
    <w:p w14:paraId="30A6DCEF" w14:textId="568DDF59" w:rsidR="00230B8E" w:rsidRPr="00230B8E" w:rsidRDefault="00230B8E" w:rsidP="00230B8E">
      <w:pPr>
        <w:numPr>
          <w:ilvl w:val="0"/>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 xml:space="preserve">Medication </w:t>
      </w:r>
      <w:r w:rsidR="00DA5D37">
        <w:rPr>
          <w:rFonts w:eastAsia="Times New Roman" w:cs="Calibri"/>
          <w:color w:val="333333"/>
          <w:sz w:val="24"/>
          <w:szCs w:val="24"/>
        </w:rPr>
        <w:t>r</w:t>
      </w:r>
      <w:r w:rsidRPr="00230B8E">
        <w:rPr>
          <w:rFonts w:eastAsia="Times New Roman" w:cs="Calibri"/>
          <w:color w:val="333333"/>
          <w:sz w:val="24"/>
          <w:szCs w:val="24"/>
        </w:rPr>
        <w:t xml:space="preserve">eview and </w:t>
      </w:r>
      <w:r w:rsidR="00DA5D37">
        <w:rPr>
          <w:rFonts w:eastAsia="Times New Roman" w:cs="Calibri"/>
          <w:color w:val="333333"/>
          <w:sz w:val="24"/>
          <w:szCs w:val="24"/>
        </w:rPr>
        <w:t>d</w:t>
      </w:r>
      <w:r w:rsidRPr="00230B8E">
        <w:rPr>
          <w:rFonts w:eastAsia="Times New Roman" w:cs="Calibri"/>
          <w:color w:val="333333"/>
          <w:sz w:val="24"/>
          <w:szCs w:val="24"/>
        </w:rPr>
        <w:t xml:space="preserve">eprescribing:  </w:t>
      </w:r>
    </w:p>
    <w:p w14:paraId="0C7685E2" w14:textId="77777777" w:rsidR="00230B8E" w:rsidRPr="00230B8E" w:rsidRDefault="00230B8E" w:rsidP="00230B8E">
      <w:pPr>
        <w:numPr>
          <w:ilvl w:val="1"/>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 xml:space="preserve">Regularly review all medications, prioritizing deprescribing of anticholinergics with the highest risk </w:t>
      </w:r>
      <w:r w:rsidRPr="00230B8E">
        <w:rPr>
          <w:rFonts w:eastAsia="Times New Roman" w:cs="Calibri"/>
          <w:sz w:val="24"/>
          <w:szCs w:val="24"/>
          <w:vertAlign w:val="superscript"/>
        </w:rPr>
        <w:t>4</w:t>
      </w:r>
      <w:r w:rsidRPr="00230B8E">
        <w:rPr>
          <w:rFonts w:eastAsia="Times New Roman" w:cs="Calibri"/>
          <w:color w:val="333333"/>
          <w:sz w:val="24"/>
          <w:szCs w:val="24"/>
        </w:rPr>
        <w:t>.</w:t>
      </w:r>
    </w:p>
    <w:p w14:paraId="39FAE666" w14:textId="7ADDF5B4" w:rsidR="00230B8E" w:rsidRPr="00230B8E" w:rsidRDefault="00230B8E" w:rsidP="00230B8E">
      <w:pPr>
        <w:numPr>
          <w:ilvl w:val="0"/>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Non-</w:t>
      </w:r>
      <w:r w:rsidR="00DA5D37">
        <w:rPr>
          <w:rFonts w:eastAsia="Times New Roman" w:cs="Calibri"/>
          <w:color w:val="333333"/>
          <w:sz w:val="24"/>
          <w:szCs w:val="24"/>
        </w:rPr>
        <w:t>p</w:t>
      </w:r>
      <w:r w:rsidRPr="00230B8E">
        <w:rPr>
          <w:rFonts w:eastAsia="Times New Roman" w:cs="Calibri"/>
          <w:color w:val="333333"/>
          <w:sz w:val="24"/>
          <w:szCs w:val="24"/>
        </w:rPr>
        <w:t xml:space="preserve">harmacologic and </w:t>
      </w:r>
      <w:r w:rsidR="00DA5D37">
        <w:rPr>
          <w:rFonts w:eastAsia="Times New Roman" w:cs="Calibri"/>
          <w:color w:val="333333"/>
          <w:sz w:val="24"/>
          <w:szCs w:val="24"/>
        </w:rPr>
        <w:t>s</w:t>
      </w:r>
      <w:r w:rsidRPr="00230B8E">
        <w:rPr>
          <w:rFonts w:eastAsia="Times New Roman" w:cs="Calibri"/>
          <w:color w:val="333333"/>
          <w:sz w:val="24"/>
          <w:szCs w:val="24"/>
        </w:rPr>
        <w:t xml:space="preserve">afer </w:t>
      </w:r>
      <w:r w:rsidR="00DA5D37">
        <w:rPr>
          <w:rFonts w:eastAsia="Times New Roman" w:cs="Calibri"/>
          <w:color w:val="333333"/>
          <w:sz w:val="24"/>
          <w:szCs w:val="24"/>
        </w:rPr>
        <w:t>a</w:t>
      </w:r>
      <w:r w:rsidRPr="00230B8E">
        <w:rPr>
          <w:rFonts w:eastAsia="Times New Roman" w:cs="Calibri"/>
          <w:color w:val="333333"/>
          <w:sz w:val="24"/>
          <w:szCs w:val="24"/>
        </w:rPr>
        <w:t>lternatives:</w:t>
      </w:r>
    </w:p>
    <w:p w14:paraId="6965B2D7" w14:textId="77777777" w:rsidR="00230B8E" w:rsidRPr="00230B8E" w:rsidRDefault="00230B8E" w:rsidP="00230B8E">
      <w:pPr>
        <w:numPr>
          <w:ilvl w:val="1"/>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For insomnia: recommend CBT-I or melatonin.</w:t>
      </w:r>
    </w:p>
    <w:p w14:paraId="7D8ACF7F" w14:textId="77777777" w:rsidR="00230B8E" w:rsidRPr="00230B8E" w:rsidRDefault="00230B8E" w:rsidP="00230B8E">
      <w:pPr>
        <w:numPr>
          <w:ilvl w:val="1"/>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 xml:space="preserve">For urinary incontinence: encourage pelvic floor exercises and bladder training </w:t>
      </w:r>
      <w:r w:rsidRPr="00230B8E">
        <w:rPr>
          <w:rFonts w:eastAsia="Times New Roman" w:cs="Calibri"/>
          <w:sz w:val="24"/>
          <w:szCs w:val="24"/>
          <w:vertAlign w:val="superscript"/>
        </w:rPr>
        <w:t>6</w:t>
      </w:r>
      <w:r w:rsidRPr="00230B8E">
        <w:rPr>
          <w:rFonts w:eastAsia="Times New Roman" w:cs="Calibri"/>
          <w:color w:val="333333"/>
          <w:sz w:val="24"/>
          <w:szCs w:val="24"/>
        </w:rPr>
        <w:t>.</w:t>
      </w:r>
    </w:p>
    <w:p w14:paraId="514742D5" w14:textId="6D43EE7F" w:rsidR="00230B8E" w:rsidRPr="00230B8E" w:rsidRDefault="00230B8E" w:rsidP="00230B8E">
      <w:pPr>
        <w:numPr>
          <w:ilvl w:val="0"/>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 xml:space="preserve">Anticholinergic </w:t>
      </w:r>
      <w:r w:rsidR="00DA5D37">
        <w:rPr>
          <w:rFonts w:eastAsia="Times New Roman" w:cs="Calibri"/>
          <w:color w:val="333333"/>
          <w:sz w:val="24"/>
          <w:szCs w:val="24"/>
        </w:rPr>
        <w:t>b</w:t>
      </w:r>
      <w:r w:rsidRPr="00230B8E">
        <w:rPr>
          <w:rFonts w:eastAsia="Times New Roman" w:cs="Calibri"/>
          <w:color w:val="333333"/>
          <w:sz w:val="24"/>
          <w:szCs w:val="24"/>
        </w:rPr>
        <w:t xml:space="preserve">urden </w:t>
      </w:r>
      <w:r w:rsidR="00DA5D37">
        <w:rPr>
          <w:rFonts w:eastAsia="Times New Roman" w:cs="Calibri"/>
          <w:color w:val="333333"/>
          <w:sz w:val="24"/>
          <w:szCs w:val="24"/>
        </w:rPr>
        <w:t>a</w:t>
      </w:r>
      <w:r w:rsidRPr="00230B8E">
        <w:rPr>
          <w:rFonts w:eastAsia="Times New Roman" w:cs="Calibri"/>
          <w:color w:val="333333"/>
          <w:sz w:val="24"/>
          <w:szCs w:val="24"/>
        </w:rPr>
        <w:t xml:space="preserve">ssessment </w:t>
      </w:r>
      <w:r w:rsidR="00DA5D37">
        <w:rPr>
          <w:rFonts w:eastAsia="Times New Roman" w:cs="Calibri"/>
          <w:color w:val="333333"/>
          <w:sz w:val="24"/>
          <w:szCs w:val="24"/>
        </w:rPr>
        <w:t>t</w:t>
      </w:r>
      <w:r w:rsidRPr="00230B8E">
        <w:rPr>
          <w:rFonts w:eastAsia="Times New Roman" w:cs="Calibri"/>
          <w:color w:val="333333"/>
          <w:sz w:val="24"/>
          <w:szCs w:val="24"/>
        </w:rPr>
        <w:t xml:space="preserve">ools:  </w:t>
      </w:r>
    </w:p>
    <w:p w14:paraId="35DBBD6C" w14:textId="77777777" w:rsidR="00230B8E" w:rsidRPr="00230B8E" w:rsidRDefault="00230B8E" w:rsidP="00230B8E">
      <w:pPr>
        <w:numPr>
          <w:ilvl w:val="1"/>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lastRenderedPageBreak/>
        <w:t xml:space="preserve">Use tools like the Anticholinergic Cognitive Burden (ACB) Scale to evaluate and reduce medication risk </w:t>
      </w:r>
      <w:r w:rsidRPr="00230B8E">
        <w:rPr>
          <w:rFonts w:eastAsia="Times New Roman" w:cs="Calibri"/>
          <w:sz w:val="24"/>
          <w:szCs w:val="24"/>
          <w:vertAlign w:val="superscript"/>
        </w:rPr>
        <w:t>5</w:t>
      </w:r>
      <w:r w:rsidRPr="00230B8E">
        <w:rPr>
          <w:rFonts w:eastAsia="Times New Roman" w:cs="Calibri"/>
          <w:sz w:val="24"/>
          <w:szCs w:val="24"/>
        </w:rPr>
        <w:t>.</w:t>
      </w:r>
    </w:p>
    <w:p w14:paraId="49FE9C1E" w14:textId="41C3CE15" w:rsidR="00230B8E" w:rsidRPr="00230B8E" w:rsidRDefault="00230B8E" w:rsidP="00230B8E">
      <w:pPr>
        <w:numPr>
          <w:ilvl w:val="0"/>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 xml:space="preserve">Patient and </w:t>
      </w:r>
      <w:r w:rsidR="00DA5D37">
        <w:rPr>
          <w:rFonts w:eastAsia="Times New Roman" w:cs="Calibri"/>
          <w:color w:val="333333"/>
          <w:sz w:val="24"/>
          <w:szCs w:val="24"/>
        </w:rPr>
        <w:t>c</w:t>
      </w:r>
      <w:r w:rsidRPr="00230B8E">
        <w:rPr>
          <w:rFonts w:eastAsia="Times New Roman" w:cs="Calibri"/>
          <w:color w:val="333333"/>
          <w:sz w:val="24"/>
          <w:szCs w:val="24"/>
        </w:rPr>
        <w:t xml:space="preserve">aregiver </w:t>
      </w:r>
      <w:r w:rsidR="00DA5D37">
        <w:rPr>
          <w:rFonts w:eastAsia="Times New Roman" w:cs="Calibri"/>
          <w:color w:val="333333"/>
          <w:sz w:val="24"/>
          <w:szCs w:val="24"/>
        </w:rPr>
        <w:t>e</w:t>
      </w:r>
      <w:r w:rsidRPr="00230B8E">
        <w:rPr>
          <w:rFonts w:eastAsia="Times New Roman" w:cs="Calibri"/>
          <w:color w:val="333333"/>
          <w:sz w:val="24"/>
          <w:szCs w:val="24"/>
        </w:rPr>
        <w:t xml:space="preserve">ducation:  </w:t>
      </w:r>
    </w:p>
    <w:p w14:paraId="47B81A77" w14:textId="77777777" w:rsidR="00230B8E" w:rsidRPr="00230B8E" w:rsidRDefault="00230B8E" w:rsidP="00230B8E">
      <w:pPr>
        <w:numPr>
          <w:ilvl w:val="1"/>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Clearly explain the risks of anticholinergic medications and provide alternatives. Engage patients in shared decision-making.</w:t>
      </w:r>
    </w:p>
    <w:p w14:paraId="7CDC32D3" w14:textId="34339E6A" w:rsidR="00230B8E" w:rsidRPr="00230B8E" w:rsidRDefault="00230B8E" w:rsidP="00230B8E">
      <w:pPr>
        <w:numPr>
          <w:ilvl w:val="0"/>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 xml:space="preserve">Collaborative </w:t>
      </w:r>
      <w:r w:rsidR="00DA5D37">
        <w:rPr>
          <w:rFonts w:eastAsia="Times New Roman" w:cs="Calibri"/>
          <w:color w:val="333333"/>
          <w:sz w:val="24"/>
          <w:szCs w:val="24"/>
        </w:rPr>
        <w:t>c</w:t>
      </w:r>
      <w:r w:rsidRPr="00230B8E">
        <w:rPr>
          <w:rFonts w:eastAsia="Times New Roman" w:cs="Calibri"/>
          <w:color w:val="333333"/>
          <w:sz w:val="24"/>
          <w:szCs w:val="24"/>
        </w:rPr>
        <w:t xml:space="preserve">are: </w:t>
      </w:r>
    </w:p>
    <w:p w14:paraId="2696C290" w14:textId="77777777" w:rsidR="00230B8E" w:rsidRPr="00230B8E" w:rsidRDefault="00230B8E" w:rsidP="00230B8E">
      <w:pPr>
        <w:numPr>
          <w:ilvl w:val="1"/>
          <w:numId w:val="28"/>
        </w:numPr>
        <w:spacing w:after="160" w:line="259" w:lineRule="auto"/>
        <w:contextualSpacing/>
        <w:textAlignment w:val="baseline"/>
        <w:rPr>
          <w:rFonts w:eastAsia="Times New Roman" w:cs="Calibri"/>
          <w:color w:val="333333"/>
          <w:sz w:val="24"/>
          <w:szCs w:val="24"/>
        </w:rPr>
      </w:pPr>
      <w:r w:rsidRPr="00230B8E">
        <w:rPr>
          <w:rFonts w:eastAsia="Times New Roman" w:cs="Calibri"/>
          <w:color w:val="333333"/>
          <w:sz w:val="24"/>
          <w:szCs w:val="24"/>
        </w:rPr>
        <w:t>Partner with pharmacists and geriatric specialists to optimize regimens and ensure safe prescribing practices.</w:t>
      </w:r>
    </w:p>
    <w:p w14:paraId="00B2D62C" w14:textId="77777777" w:rsidR="00230B8E" w:rsidRPr="00230B8E" w:rsidRDefault="00230B8E" w:rsidP="00230B8E">
      <w:pPr>
        <w:spacing w:before="100" w:beforeAutospacing="1"/>
        <w:textAlignment w:val="baseline"/>
        <w:rPr>
          <w:rFonts w:eastAsia="Times New Roman" w:cs="Calibri"/>
          <w:sz w:val="24"/>
          <w:szCs w:val="24"/>
        </w:rPr>
      </w:pPr>
      <w:r w:rsidRPr="00230B8E">
        <w:rPr>
          <w:rFonts w:eastAsia="Times New Roman" w:cs="Calibri"/>
          <w:sz w:val="24"/>
          <w:szCs w:val="24"/>
        </w:rPr>
        <w:t>Please visit the CMS website or contact our quality improvement team for further information and resources on the POLY-ACH measure.</w:t>
      </w:r>
    </w:p>
    <w:p w14:paraId="67CF10E0" w14:textId="77777777" w:rsidR="00230B8E" w:rsidRPr="00230B8E" w:rsidRDefault="00230B8E" w:rsidP="00230B8E">
      <w:pPr>
        <w:spacing w:line="259" w:lineRule="auto"/>
        <w:rPr>
          <w:rFonts w:eastAsia="Calibri" w:cs="Calibri"/>
          <w:kern w:val="2"/>
          <w:sz w:val="24"/>
          <w:szCs w:val="24"/>
          <w14:ligatures w14:val="standardContextual"/>
        </w:rPr>
      </w:pPr>
    </w:p>
    <w:p w14:paraId="0DC758BE" w14:textId="32F5BE20" w:rsidR="00230B8E" w:rsidRPr="00230B8E" w:rsidRDefault="00230B8E" w:rsidP="00230B8E">
      <w:pPr>
        <w:outlineLvl w:val="3"/>
        <w:rPr>
          <w:rFonts w:eastAsia="Times New Roman" w:cs="Calibri"/>
          <w:b/>
          <w:bCs/>
          <w:sz w:val="24"/>
          <w:szCs w:val="24"/>
        </w:rPr>
      </w:pPr>
      <w:r w:rsidRPr="00230B8E">
        <w:rPr>
          <w:rFonts w:eastAsia="Times New Roman" w:cs="Calibri"/>
          <w:b/>
          <w:bCs/>
          <w:kern w:val="2"/>
          <w:sz w:val="24"/>
          <w:szCs w:val="24"/>
          <w14:ligatures w14:val="standardContextual"/>
        </w:rPr>
        <w:t xml:space="preserve">Measure </w:t>
      </w:r>
      <w:r w:rsidR="00DA5D37">
        <w:rPr>
          <w:rFonts w:eastAsia="Times New Roman" w:cs="Calibri"/>
          <w:b/>
          <w:bCs/>
          <w:kern w:val="2"/>
          <w:sz w:val="24"/>
          <w:szCs w:val="24"/>
          <w14:ligatures w14:val="standardContextual"/>
        </w:rPr>
        <w:t>m</w:t>
      </w:r>
      <w:r w:rsidRPr="00230B8E">
        <w:rPr>
          <w:rFonts w:eastAsia="Times New Roman" w:cs="Calibri"/>
          <w:b/>
          <w:bCs/>
          <w:kern w:val="2"/>
          <w:sz w:val="24"/>
          <w:szCs w:val="24"/>
          <w14:ligatures w14:val="standardContextual"/>
        </w:rPr>
        <w:t>edications:</w:t>
      </w:r>
    </w:p>
    <w:tbl>
      <w:tblPr>
        <w:tblStyle w:val="ListTable2-Accent11"/>
        <w:tblW w:w="0" w:type="auto"/>
        <w:tblLook w:val="04A0" w:firstRow="1" w:lastRow="0" w:firstColumn="1" w:lastColumn="0" w:noHBand="0" w:noVBand="1"/>
      </w:tblPr>
      <w:tblGrid>
        <w:gridCol w:w="2250"/>
        <w:gridCol w:w="2334"/>
        <w:gridCol w:w="2247"/>
        <w:gridCol w:w="2169"/>
      </w:tblGrid>
      <w:tr w:rsidR="00230B8E" w:rsidRPr="00230B8E" w14:paraId="39196B31" w14:textId="77777777" w:rsidTr="00230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33A4172A" w14:textId="3FE4D56C" w:rsidR="00230B8E" w:rsidRPr="00230B8E" w:rsidRDefault="00230B8E" w:rsidP="00230B8E">
            <w:pPr>
              <w:outlineLvl w:val="3"/>
              <w:rPr>
                <w:rFonts w:cs="Calibri"/>
                <w:sz w:val="24"/>
                <w:szCs w:val="24"/>
              </w:rPr>
            </w:pPr>
            <w:r w:rsidRPr="00230B8E">
              <w:rPr>
                <w:rFonts w:cs="Calibri"/>
                <w:kern w:val="20"/>
                <w:sz w:val="24"/>
                <w:szCs w:val="24"/>
              </w:rPr>
              <w:t xml:space="preserve">Antihistamine </w:t>
            </w:r>
            <w:r w:rsidR="00DA5D37">
              <w:rPr>
                <w:rFonts w:cs="Calibri"/>
                <w:kern w:val="20"/>
                <w:sz w:val="24"/>
                <w:szCs w:val="24"/>
              </w:rPr>
              <w:t>m</w:t>
            </w:r>
            <w:r w:rsidRPr="00230B8E">
              <w:rPr>
                <w:rFonts w:cs="Calibri"/>
                <w:kern w:val="20"/>
                <w:sz w:val="24"/>
                <w:szCs w:val="24"/>
              </w:rPr>
              <w:t>edications</w:t>
            </w:r>
          </w:p>
        </w:tc>
      </w:tr>
      <w:tr w:rsidR="00230B8E" w:rsidRPr="00230B8E" w14:paraId="7694FD40"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1F3214D7" w14:textId="77777777" w:rsidR="00230B8E" w:rsidRPr="00230B8E" w:rsidRDefault="00230B8E" w:rsidP="00230B8E">
            <w:pPr>
              <w:outlineLvl w:val="3"/>
              <w:rPr>
                <w:rFonts w:cs="Calibri"/>
                <w:b w:val="0"/>
                <w:bCs w:val="0"/>
                <w:sz w:val="24"/>
                <w:szCs w:val="24"/>
              </w:rPr>
            </w:pPr>
            <w:r w:rsidRPr="00230B8E">
              <w:rPr>
                <w:rFonts w:cs="Calibri"/>
                <w:b w:val="0"/>
                <w:bCs w:val="0"/>
                <w:color w:val="000000"/>
                <w:kern w:val="20"/>
                <w:sz w:val="24"/>
                <w:szCs w:val="24"/>
              </w:rPr>
              <w:t>brompheniramine</w:t>
            </w:r>
          </w:p>
        </w:tc>
        <w:tc>
          <w:tcPr>
            <w:tcW w:w="2337" w:type="dxa"/>
            <w:shd w:val="clear" w:color="auto" w:fill="auto"/>
          </w:tcPr>
          <w:p w14:paraId="5F562E02"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color w:val="000000"/>
                <w:kern w:val="20"/>
                <w:sz w:val="24"/>
                <w:szCs w:val="24"/>
              </w:rPr>
              <w:t>cyproheptadine</w:t>
            </w:r>
          </w:p>
        </w:tc>
        <w:tc>
          <w:tcPr>
            <w:tcW w:w="2338" w:type="dxa"/>
            <w:shd w:val="clear" w:color="auto" w:fill="auto"/>
          </w:tcPr>
          <w:p w14:paraId="082FDB85"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sz w:val="24"/>
                <w:szCs w:val="24"/>
              </w:rPr>
            </w:pPr>
            <w:r w:rsidRPr="00230B8E">
              <w:rPr>
                <w:rFonts w:cs="Calibri"/>
                <w:sz w:val="24"/>
                <w:szCs w:val="24"/>
              </w:rPr>
              <w:t>diphenhydramine (oral)</w:t>
            </w:r>
          </w:p>
        </w:tc>
        <w:tc>
          <w:tcPr>
            <w:tcW w:w="2338" w:type="dxa"/>
            <w:shd w:val="clear" w:color="auto" w:fill="auto"/>
          </w:tcPr>
          <w:p w14:paraId="2F053A29"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color w:val="000000"/>
                <w:kern w:val="20"/>
                <w:sz w:val="24"/>
                <w:szCs w:val="24"/>
              </w:rPr>
              <w:t>pyrilamine</w:t>
            </w:r>
          </w:p>
        </w:tc>
      </w:tr>
      <w:tr w:rsidR="00230B8E" w:rsidRPr="00230B8E" w14:paraId="382B2FC9"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4CC46F98" w14:textId="77777777" w:rsidR="00230B8E" w:rsidRPr="00230B8E" w:rsidRDefault="00230B8E" w:rsidP="00230B8E">
            <w:pPr>
              <w:outlineLvl w:val="3"/>
              <w:rPr>
                <w:rFonts w:cs="Calibri"/>
                <w:b w:val="0"/>
                <w:bCs w:val="0"/>
                <w:sz w:val="24"/>
                <w:szCs w:val="24"/>
              </w:rPr>
            </w:pPr>
            <w:r w:rsidRPr="00230B8E">
              <w:rPr>
                <w:rFonts w:cs="Calibri"/>
                <w:b w:val="0"/>
                <w:bCs w:val="0"/>
                <w:color w:val="000000"/>
                <w:kern w:val="20"/>
                <w:sz w:val="24"/>
                <w:szCs w:val="24"/>
              </w:rPr>
              <w:t>carbinoxamine</w:t>
            </w:r>
          </w:p>
        </w:tc>
        <w:tc>
          <w:tcPr>
            <w:tcW w:w="2337" w:type="dxa"/>
            <w:shd w:val="clear" w:color="auto" w:fill="auto"/>
          </w:tcPr>
          <w:p w14:paraId="26F9F110"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r w:rsidRPr="00230B8E">
              <w:rPr>
                <w:rFonts w:cs="Calibri"/>
                <w:color w:val="000000"/>
                <w:kern w:val="20"/>
                <w:sz w:val="24"/>
                <w:szCs w:val="24"/>
              </w:rPr>
              <w:t>dexbrompheniramine</w:t>
            </w:r>
          </w:p>
        </w:tc>
        <w:tc>
          <w:tcPr>
            <w:tcW w:w="2338" w:type="dxa"/>
            <w:shd w:val="clear" w:color="auto" w:fill="auto"/>
          </w:tcPr>
          <w:p w14:paraId="5DA1BA4B"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r w:rsidRPr="00230B8E">
              <w:rPr>
                <w:rFonts w:cs="Calibri"/>
                <w:color w:val="000000"/>
                <w:kern w:val="20"/>
                <w:sz w:val="24"/>
                <w:szCs w:val="24"/>
              </w:rPr>
              <w:t>doxylamine</w:t>
            </w:r>
          </w:p>
        </w:tc>
        <w:tc>
          <w:tcPr>
            <w:tcW w:w="2338" w:type="dxa"/>
            <w:shd w:val="clear" w:color="auto" w:fill="auto"/>
          </w:tcPr>
          <w:p w14:paraId="2074B407"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r w:rsidRPr="00230B8E">
              <w:rPr>
                <w:rFonts w:cs="Calibri"/>
                <w:color w:val="000000"/>
                <w:kern w:val="20"/>
                <w:sz w:val="24"/>
                <w:szCs w:val="24"/>
              </w:rPr>
              <w:t>triprolidine</w:t>
            </w:r>
          </w:p>
        </w:tc>
      </w:tr>
      <w:tr w:rsidR="00230B8E" w:rsidRPr="00230B8E" w14:paraId="0F69D5BB"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6BD4F12F" w14:textId="77777777" w:rsidR="00230B8E" w:rsidRPr="00230B8E" w:rsidRDefault="00230B8E" w:rsidP="00230B8E">
            <w:pPr>
              <w:outlineLvl w:val="3"/>
              <w:rPr>
                <w:rFonts w:cs="Calibri"/>
                <w:b w:val="0"/>
                <w:bCs w:val="0"/>
                <w:sz w:val="24"/>
                <w:szCs w:val="24"/>
              </w:rPr>
            </w:pPr>
            <w:r w:rsidRPr="00230B8E">
              <w:rPr>
                <w:rFonts w:cs="Calibri"/>
                <w:b w:val="0"/>
                <w:bCs w:val="0"/>
                <w:color w:val="000000"/>
                <w:kern w:val="20"/>
                <w:sz w:val="24"/>
                <w:szCs w:val="24"/>
              </w:rPr>
              <w:t>chlorpheniramine</w:t>
            </w:r>
          </w:p>
        </w:tc>
        <w:tc>
          <w:tcPr>
            <w:tcW w:w="2337" w:type="dxa"/>
            <w:shd w:val="clear" w:color="auto" w:fill="auto"/>
          </w:tcPr>
          <w:p w14:paraId="633576A2"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color w:val="000000"/>
                <w:kern w:val="20"/>
                <w:sz w:val="24"/>
                <w:szCs w:val="24"/>
              </w:rPr>
              <w:t>dexchlorpheniramine</w:t>
            </w:r>
          </w:p>
        </w:tc>
        <w:tc>
          <w:tcPr>
            <w:tcW w:w="2338" w:type="dxa"/>
            <w:shd w:val="clear" w:color="auto" w:fill="auto"/>
          </w:tcPr>
          <w:p w14:paraId="151507AF"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color w:val="000000"/>
                <w:kern w:val="20"/>
                <w:sz w:val="24"/>
                <w:szCs w:val="24"/>
              </w:rPr>
              <w:t>hydroxyzine</w:t>
            </w:r>
          </w:p>
        </w:tc>
        <w:tc>
          <w:tcPr>
            <w:tcW w:w="2338" w:type="dxa"/>
            <w:shd w:val="clear" w:color="auto" w:fill="auto"/>
          </w:tcPr>
          <w:p w14:paraId="62D48E74"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p>
        </w:tc>
      </w:tr>
      <w:tr w:rsidR="00230B8E" w:rsidRPr="00230B8E" w14:paraId="701ABFB2"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6A391563" w14:textId="77777777" w:rsidR="00230B8E" w:rsidRPr="00230B8E" w:rsidRDefault="00230B8E" w:rsidP="00230B8E">
            <w:pPr>
              <w:outlineLvl w:val="3"/>
              <w:rPr>
                <w:rFonts w:cs="Calibri"/>
                <w:b w:val="0"/>
                <w:bCs w:val="0"/>
                <w:sz w:val="24"/>
                <w:szCs w:val="24"/>
              </w:rPr>
            </w:pPr>
            <w:proofErr w:type="spellStart"/>
            <w:r w:rsidRPr="00230B8E">
              <w:rPr>
                <w:rFonts w:cs="Calibri"/>
                <w:b w:val="0"/>
                <w:bCs w:val="0"/>
                <w:color w:val="000000"/>
                <w:kern w:val="20"/>
                <w:sz w:val="24"/>
                <w:szCs w:val="24"/>
              </w:rPr>
              <w:t>clemastine</w:t>
            </w:r>
            <w:proofErr w:type="spellEnd"/>
            <w:r w:rsidRPr="00230B8E">
              <w:rPr>
                <w:rFonts w:cs="Calibri"/>
                <w:b w:val="0"/>
                <w:bCs w:val="0"/>
                <w:color w:val="000000"/>
                <w:kern w:val="20"/>
                <w:sz w:val="24"/>
                <w:szCs w:val="24"/>
              </w:rPr>
              <w:t xml:space="preserve">   </w:t>
            </w:r>
          </w:p>
        </w:tc>
        <w:tc>
          <w:tcPr>
            <w:tcW w:w="2337" w:type="dxa"/>
            <w:shd w:val="clear" w:color="auto" w:fill="auto"/>
          </w:tcPr>
          <w:p w14:paraId="2AF6687C"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r w:rsidRPr="00230B8E">
              <w:rPr>
                <w:rFonts w:cs="Calibri"/>
                <w:color w:val="000000"/>
                <w:kern w:val="20"/>
                <w:sz w:val="24"/>
                <w:szCs w:val="24"/>
              </w:rPr>
              <w:t xml:space="preserve">dimenhydrinate  </w:t>
            </w:r>
          </w:p>
        </w:tc>
        <w:tc>
          <w:tcPr>
            <w:tcW w:w="2338" w:type="dxa"/>
            <w:shd w:val="clear" w:color="auto" w:fill="auto"/>
          </w:tcPr>
          <w:p w14:paraId="4A1317A4"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r w:rsidRPr="00230B8E">
              <w:rPr>
                <w:rFonts w:cs="Calibri"/>
                <w:color w:val="000000"/>
                <w:kern w:val="20"/>
                <w:sz w:val="24"/>
                <w:szCs w:val="24"/>
              </w:rPr>
              <w:t xml:space="preserve">meclizine    </w:t>
            </w:r>
          </w:p>
        </w:tc>
        <w:tc>
          <w:tcPr>
            <w:tcW w:w="2338" w:type="dxa"/>
            <w:shd w:val="clear" w:color="auto" w:fill="auto"/>
          </w:tcPr>
          <w:p w14:paraId="597ECA10"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p>
        </w:tc>
      </w:tr>
      <w:tr w:rsidR="00230B8E" w:rsidRPr="00230B8E" w14:paraId="1EFAA23A"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4D39017B" w14:textId="4A2BF498" w:rsidR="00230B8E" w:rsidRPr="00230B8E" w:rsidRDefault="00230B8E" w:rsidP="00230B8E">
            <w:pPr>
              <w:outlineLvl w:val="3"/>
              <w:rPr>
                <w:rFonts w:cs="Calibri"/>
                <w:sz w:val="24"/>
                <w:szCs w:val="24"/>
              </w:rPr>
            </w:pPr>
            <w:r w:rsidRPr="00230B8E">
              <w:rPr>
                <w:rFonts w:cs="Calibri"/>
                <w:kern w:val="20"/>
                <w:sz w:val="24"/>
                <w:szCs w:val="24"/>
              </w:rPr>
              <w:t xml:space="preserve">Antiarrhythmic </w:t>
            </w:r>
            <w:r w:rsidR="00DA5D37">
              <w:rPr>
                <w:rFonts w:cs="Calibri"/>
                <w:kern w:val="20"/>
                <w:sz w:val="24"/>
                <w:szCs w:val="24"/>
              </w:rPr>
              <w:t>m</w:t>
            </w:r>
            <w:r w:rsidRPr="00230B8E">
              <w:rPr>
                <w:rFonts w:cs="Calibri"/>
                <w:kern w:val="20"/>
                <w:sz w:val="24"/>
                <w:szCs w:val="24"/>
              </w:rPr>
              <w:t>edications</w:t>
            </w:r>
          </w:p>
        </w:tc>
      </w:tr>
      <w:tr w:rsidR="00230B8E" w:rsidRPr="00230B8E" w14:paraId="32761A2D"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102E5D0C" w14:textId="77777777" w:rsidR="00230B8E" w:rsidRPr="00230B8E" w:rsidRDefault="00230B8E" w:rsidP="00230B8E">
            <w:pPr>
              <w:outlineLvl w:val="3"/>
              <w:rPr>
                <w:rFonts w:cs="Calibri"/>
                <w:b w:val="0"/>
                <w:bCs w:val="0"/>
                <w:color w:val="000000"/>
                <w:kern w:val="20"/>
                <w:sz w:val="24"/>
                <w:szCs w:val="24"/>
              </w:rPr>
            </w:pPr>
            <w:r w:rsidRPr="00230B8E">
              <w:rPr>
                <w:rFonts w:cs="Calibri"/>
                <w:b w:val="0"/>
                <w:bCs w:val="0"/>
                <w:kern w:val="20"/>
                <w:sz w:val="24"/>
                <w:szCs w:val="24"/>
              </w:rPr>
              <w:t>disopyramide</w:t>
            </w:r>
          </w:p>
        </w:tc>
        <w:tc>
          <w:tcPr>
            <w:tcW w:w="2337" w:type="dxa"/>
            <w:shd w:val="clear" w:color="auto" w:fill="auto"/>
          </w:tcPr>
          <w:p w14:paraId="5DB43DE5"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p>
        </w:tc>
        <w:tc>
          <w:tcPr>
            <w:tcW w:w="2338" w:type="dxa"/>
            <w:shd w:val="clear" w:color="auto" w:fill="auto"/>
          </w:tcPr>
          <w:p w14:paraId="66B75E4B"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p>
        </w:tc>
        <w:tc>
          <w:tcPr>
            <w:tcW w:w="2338" w:type="dxa"/>
            <w:shd w:val="clear" w:color="auto" w:fill="auto"/>
          </w:tcPr>
          <w:p w14:paraId="23A956DD"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p>
        </w:tc>
      </w:tr>
      <w:tr w:rsidR="00230B8E" w:rsidRPr="00230B8E" w14:paraId="0FE262C9"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77D70B88" w14:textId="7A87B965" w:rsidR="00230B8E" w:rsidRPr="00230B8E" w:rsidRDefault="00230B8E" w:rsidP="00230B8E">
            <w:pPr>
              <w:outlineLvl w:val="3"/>
              <w:rPr>
                <w:rFonts w:cs="Calibri"/>
                <w:sz w:val="24"/>
                <w:szCs w:val="24"/>
              </w:rPr>
            </w:pPr>
            <w:r w:rsidRPr="00230B8E">
              <w:rPr>
                <w:rFonts w:cs="Calibri"/>
                <w:kern w:val="20"/>
                <w:sz w:val="24"/>
                <w:szCs w:val="24"/>
              </w:rPr>
              <w:t xml:space="preserve">Antidepressant </w:t>
            </w:r>
            <w:r w:rsidR="00DA5D37">
              <w:rPr>
                <w:rFonts w:cs="Calibri"/>
                <w:kern w:val="20"/>
                <w:sz w:val="24"/>
                <w:szCs w:val="24"/>
              </w:rPr>
              <w:t>m</w:t>
            </w:r>
            <w:r w:rsidRPr="00230B8E">
              <w:rPr>
                <w:rFonts w:cs="Calibri"/>
                <w:kern w:val="20"/>
                <w:sz w:val="24"/>
                <w:szCs w:val="24"/>
              </w:rPr>
              <w:t>edications</w:t>
            </w:r>
          </w:p>
        </w:tc>
      </w:tr>
      <w:tr w:rsidR="00230B8E" w:rsidRPr="00230B8E" w14:paraId="270C5D7F"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7AF46E97" w14:textId="77777777" w:rsidR="00230B8E" w:rsidRPr="00230B8E" w:rsidRDefault="00230B8E" w:rsidP="00230B8E">
            <w:pPr>
              <w:outlineLvl w:val="3"/>
              <w:rPr>
                <w:rFonts w:cs="Calibri"/>
                <w:kern w:val="20"/>
                <w:sz w:val="24"/>
                <w:szCs w:val="24"/>
              </w:rPr>
            </w:pPr>
            <w:r w:rsidRPr="00230B8E">
              <w:rPr>
                <w:rFonts w:cs="Calibri"/>
                <w:b w:val="0"/>
                <w:bCs w:val="0"/>
                <w:kern w:val="20"/>
                <w:sz w:val="24"/>
                <w:szCs w:val="24"/>
              </w:rPr>
              <w:t>amitriptylin</w:t>
            </w:r>
            <w:r w:rsidRPr="00230B8E">
              <w:rPr>
                <w:rFonts w:cs="Calibri"/>
                <w:kern w:val="20"/>
                <w:sz w:val="24"/>
                <w:szCs w:val="24"/>
              </w:rPr>
              <w:t>e</w:t>
            </w:r>
          </w:p>
        </w:tc>
        <w:tc>
          <w:tcPr>
            <w:tcW w:w="2337" w:type="dxa"/>
            <w:shd w:val="clear" w:color="auto" w:fill="auto"/>
          </w:tcPr>
          <w:p w14:paraId="0E439231"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r w:rsidRPr="00230B8E">
              <w:rPr>
                <w:rFonts w:cs="Calibri"/>
                <w:kern w:val="20"/>
                <w:sz w:val="24"/>
                <w:szCs w:val="24"/>
              </w:rPr>
              <w:t>doxepin (&gt;6 mg/</w:t>
            </w:r>
            <w:proofErr w:type="gramStart"/>
            <w:r w:rsidRPr="00230B8E">
              <w:rPr>
                <w:rFonts w:cs="Calibri"/>
                <w:kern w:val="20"/>
                <w:sz w:val="24"/>
                <w:szCs w:val="24"/>
              </w:rPr>
              <w:t xml:space="preserve">day)   </w:t>
            </w:r>
            <w:proofErr w:type="gramEnd"/>
          </w:p>
        </w:tc>
        <w:tc>
          <w:tcPr>
            <w:tcW w:w="2338" w:type="dxa"/>
            <w:shd w:val="clear" w:color="auto" w:fill="auto"/>
          </w:tcPr>
          <w:p w14:paraId="514C14AD"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r w:rsidRPr="00230B8E">
              <w:rPr>
                <w:rFonts w:cs="Calibri"/>
                <w:kern w:val="20"/>
                <w:sz w:val="24"/>
                <w:szCs w:val="24"/>
              </w:rPr>
              <w:t xml:space="preserve">paroxetine  </w:t>
            </w:r>
          </w:p>
        </w:tc>
        <w:tc>
          <w:tcPr>
            <w:tcW w:w="2338" w:type="dxa"/>
            <w:shd w:val="clear" w:color="auto" w:fill="auto"/>
          </w:tcPr>
          <w:p w14:paraId="6EC2177F"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p>
        </w:tc>
      </w:tr>
      <w:tr w:rsidR="00230B8E" w:rsidRPr="00230B8E" w14:paraId="30624537"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206B9C71" w14:textId="77777777"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t xml:space="preserve">amoxapine  </w:t>
            </w:r>
          </w:p>
        </w:tc>
        <w:tc>
          <w:tcPr>
            <w:tcW w:w="2337" w:type="dxa"/>
            <w:shd w:val="clear" w:color="auto" w:fill="auto"/>
          </w:tcPr>
          <w:p w14:paraId="5B5D6394"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color w:val="000000"/>
                <w:kern w:val="20"/>
                <w:sz w:val="24"/>
                <w:szCs w:val="24"/>
              </w:rPr>
            </w:pPr>
            <w:r w:rsidRPr="00230B8E">
              <w:rPr>
                <w:rFonts w:cs="Calibri"/>
                <w:kern w:val="20"/>
                <w:sz w:val="24"/>
                <w:szCs w:val="24"/>
              </w:rPr>
              <w:t>imipramine</w:t>
            </w:r>
          </w:p>
        </w:tc>
        <w:tc>
          <w:tcPr>
            <w:tcW w:w="2338" w:type="dxa"/>
            <w:shd w:val="clear" w:color="auto" w:fill="auto"/>
          </w:tcPr>
          <w:p w14:paraId="28C21E60"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color w:val="000000"/>
                <w:kern w:val="20"/>
                <w:sz w:val="24"/>
                <w:szCs w:val="24"/>
              </w:rPr>
            </w:pPr>
            <w:r w:rsidRPr="00230B8E">
              <w:rPr>
                <w:rFonts w:cs="Calibri"/>
                <w:kern w:val="20"/>
                <w:sz w:val="24"/>
                <w:szCs w:val="24"/>
              </w:rPr>
              <w:t>protriptyline</w:t>
            </w:r>
          </w:p>
        </w:tc>
        <w:tc>
          <w:tcPr>
            <w:tcW w:w="2338" w:type="dxa"/>
            <w:shd w:val="clear" w:color="auto" w:fill="auto"/>
          </w:tcPr>
          <w:p w14:paraId="3A141B26"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p>
        </w:tc>
      </w:tr>
      <w:tr w:rsidR="00230B8E" w:rsidRPr="00230B8E" w14:paraId="01E24C85"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4506229A" w14:textId="77777777"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t>clomipramine</w:t>
            </w:r>
          </w:p>
        </w:tc>
        <w:tc>
          <w:tcPr>
            <w:tcW w:w="2337" w:type="dxa"/>
            <w:shd w:val="clear" w:color="auto" w:fill="auto"/>
          </w:tcPr>
          <w:p w14:paraId="176A3CB3"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r w:rsidRPr="00230B8E">
              <w:rPr>
                <w:rFonts w:cs="Calibri"/>
                <w:kern w:val="20"/>
                <w:sz w:val="24"/>
                <w:szCs w:val="24"/>
              </w:rPr>
              <w:t>nortriptyline</w:t>
            </w:r>
          </w:p>
        </w:tc>
        <w:tc>
          <w:tcPr>
            <w:tcW w:w="2338" w:type="dxa"/>
            <w:shd w:val="clear" w:color="auto" w:fill="auto"/>
          </w:tcPr>
          <w:p w14:paraId="61A74ED4"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r w:rsidRPr="00230B8E">
              <w:rPr>
                <w:rFonts w:cs="Calibri"/>
                <w:kern w:val="20"/>
                <w:sz w:val="24"/>
                <w:szCs w:val="24"/>
              </w:rPr>
              <w:t>trimipramine</w:t>
            </w:r>
          </w:p>
        </w:tc>
        <w:tc>
          <w:tcPr>
            <w:tcW w:w="2338" w:type="dxa"/>
            <w:shd w:val="clear" w:color="auto" w:fill="auto"/>
          </w:tcPr>
          <w:p w14:paraId="6A8816DF"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p>
        </w:tc>
      </w:tr>
      <w:tr w:rsidR="00230B8E" w:rsidRPr="00230B8E" w14:paraId="0FF757F0"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619E462F" w14:textId="1275E879" w:rsidR="00230B8E" w:rsidRPr="00230B8E" w:rsidRDefault="00230B8E" w:rsidP="00230B8E">
            <w:pPr>
              <w:outlineLvl w:val="3"/>
              <w:rPr>
                <w:rFonts w:cs="Calibri"/>
                <w:sz w:val="24"/>
                <w:szCs w:val="24"/>
              </w:rPr>
            </w:pPr>
            <w:r w:rsidRPr="00230B8E">
              <w:rPr>
                <w:rFonts w:cs="Calibri"/>
                <w:kern w:val="20"/>
                <w:sz w:val="24"/>
                <w:szCs w:val="24"/>
              </w:rPr>
              <w:t xml:space="preserve">Antiemetic </w:t>
            </w:r>
            <w:r w:rsidR="00DA5D37">
              <w:rPr>
                <w:rFonts w:cs="Calibri"/>
                <w:kern w:val="20"/>
                <w:sz w:val="24"/>
                <w:szCs w:val="24"/>
              </w:rPr>
              <w:t>m</w:t>
            </w:r>
            <w:r w:rsidRPr="00230B8E">
              <w:rPr>
                <w:rFonts w:cs="Calibri"/>
                <w:kern w:val="20"/>
                <w:sz w:val="24"/>
                <w:szCs w:val="24"/>
              </w:rPr>
              <w:t>edications</w:t>
            </w:r>
          </w:p>
        </w:tc>
      </w:tr>
      <w:tr w:rsidR="00230B8E" w:rsidRPr="00230B8E" w14:paraId="70E958A6"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1EF55B05" w14:textId="77777777" w:rsidR="00230B8E" w:rsidRPr="00230B8E" w:rsidRDefault="00230B8E" w:rsidP="00230B8E">
            <w:pPr>
              <w:outlineLvl w:val="3"/>
              <w:rPr>
                <w:rFonts w:cs="Calibri"/>
                <w:b w:val="0"/>
                <w:bCs w:val="0"/>
                <w:kern w:val="20"/>
                <w:sz w:val="24"/>
                <w:szCs w:val="24"/>
              </w:rPr>
            </w:pPr>
            <w:r w:rsidRPr="00230B8E">
              <w:rPr>
                <w:rFonts w:cs="Calibri"/>
                <w:b w:val="0"/>
                <w:bCs w:val="0"/>
                <w:color w:val="000000"/>
                <w:kern w:val="20"/>
                <w:sz w:val="24"/>
                <w:szCs w:val="24"/>
              </w:rPr>
              <w:t>prochlorperazine</w:t>
            </w:r>
          </w:p>
        </w:tc>
        <w:tc>
          <w:tcPr>
            <w:tcW w:w="2337" w:type="dxa"/>
            <w:shd w:val="clear" w:color="auto" w:fill="auto"/>
          </w:tcPr>
          <w:p w14:paraId="45B19792"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r w:rsidRPr="00230B8E">
              <w:rPr>
                <w:rFonts w:cs="Calibri"/>
                <w:color w:val="000000"/>
                <w:kern w:val="20"/>
                <w:sz w:val="24"/>
                <w:szCs w:val="24"/>
              </w:rPr>
              <w:t>promethazine</w:t>
            </w:r>
          </w:p>
        </w:tc>
        <w:tc>
          <w:tcPr>
            <w:tcW w:w="2338" w:type="dxa"/>
            <w:shd w:val="clear" w:color="auto" w:fill="auto"/>
          </w:tcPr>
          <w:p w14:paraId="4910A430"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p>
        </w:tc>
        <w:tc>
          <w:tcPr>
            <w:tcW w:w="2338" w:type="dxa"/>
            <w:shd w:val="clear" w:color="auto" w:fill="auto"/>
          </w:tcPr>
          <w:p w14:paraId="1E77B1B6"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p>
        </w:tc>
      </w:tr>
      <w:tr w:rsidR="00230B8E" w:rsidRPr="00230B8E" w14:paraId="29CCE1F2"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42FAC7B9" w14:textId="2DBB46A0" w:rsidR="00230B8E" w:rsidRPr="00230B8E" w:rsidRDefault="00230B8E" w:rsidP="00230B8E">
            <w:pPr>
              <w:outlineLvl w:val="3"/>
              <w:rPr>
                <w:rFonts w:cs="Calibri"/>
                <w:sz w:val="24"/>
                <w:szCs w:val="24"/>
              </w:rPr>
            </w:pPr>
            <w:r w:rsidRPr="00230B8E">
              <w:rPr>
                <w:rFonts w:cs="Calibri"/>
                <w:color w:val="000000"/>
                <w:kern w:val="20"/>
                <w:sz w:val="24"/>
                <w:szCs w:val="24"/>
              </w:rPr>
              <w:t xml:space="preserve">Antimuscarinic (urinary incontinence) </w:t>
            </w:r>
            <w:r w:rsidR="00DA5D37">
              <w:rPr>
                <w:rFonts w:cs="Calibri"/>
                <w:color w:val="000000"/>
                <w:kern w:val="20"/>
                <w:sz w:val="24"/>
                <w:szCs w:val="24"/>
              </w:rPr>
              <w:t>m</w:t>
            </w:r>
            <w:r w:rsidRPr="00230B8E">
              <w:rPr>
                <w:rFonts w:cs="Calibri"/>
                <w:color w:val="000000"/>
                <w:kern w:val="20"/>
                <w:sz w:val="24"/>
                <w:szCs w:val="24"/>
              </w:rPr>
              <w:t>edications</w:t>
            </w:r>
          </w:p>
        </w:tc>
      </w:tr>
      <w:tr w:rsidR="00230B8E" w:rsidRPr="00230B8E" w14:paraId="3003ED53"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3404BD4F" w14:textId="77777777" w:rsidR="00230B8E" w:rsidRPr="00230B8E" w:rsidRDefault="00230B8E" w:rsidP="00230B8E">
            <w:pPr>
              <w:outlineLvl w:val="3"/>
              <w:rPr>
                <w:rFonts w:cs="Calibri"/>
                <w:b w:val="0"/>
                <w:bCs w:val="0"/>
                <w:color w:val="000000"/>
                <w:kern w:val="20"/>
                <w:sz w:val="24"/>
                <w:szCs w:val="24"/>
              </w:rPr>
            </w:pPr>
            <w:r w:rsidRPr="00230B8E">
              <w:rPr>
                <w:rFonts w:cs="Calibri"/>
                <w:b w:val="0"/>
                <w:bCs w:val="0"/>
                <w:kern w:val="20"/>
                <w:sz w:val="24"/>
                <w:szCs w:val="24"/>
              </w:rPr>
              <w:t xml:space="preserve">darifenacin   </w:t>
            </w:r>
          </w:p>
        </w:tc>
        <w:tc>
          <w:tcPr>
            <w:tcW w:w="2337" w:type="dxa"/>
            <w:shd w:val="clear" w:color="auto" w:fill="auto"/>
          </w:tcPr>
          <w:p w14:paraId="34DF429C"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r w:rsidRPr="00230B8E">
              <w:rPr>
                <w:rFonts w:cs="Calibri"/>
                <w:kern w:val="20"/>
                <w:sz w:val="24"/>
                <w:szCs w:val="24"/>
              </w:rPr>
              <w:t xml:space="preserve">flavoxate   </w:t>
            </w:r>
          </w:p>
        </w:tc>
        <w:tc>
          <w:tcPr>
            <w:tcW w:w="2338" w:type="dxa"/>
            <w:shd w:val="clear" w:color="auto" w:fill="auto"/>
          </w:tcPr>
          <w:p w14:paraId="740B3C60"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proofErr w:type="spellStart"/>
            <w:r w:rsidRPr="00230B8E">
              <w:rPr>
                <w:rFonts w:cs="Calibri"/>
                <w:kern w:val="20"/>
                <w:sz w:val="24"/>
                <w:szCs w:val="24"/>
              </w:rPr>
              <w:t>solifenacin</w:t>
            </w:r>
            <w:proofErr w:type="spellEnd"/>
            <w:r w:rsidRPr="00230B8E">
              <w:rPr>
                <w:rFonts w:cs="Calibri"/>
                <w:kern w:val="20"/>
                <w:sz w:val="24"/>
                <w:szCs w:val="24"/>
              </w:rPr>
              <w:t xml:space="preserve">  </w:t>
            </w:r>
          </w:p>
        </w:tc>
        <w:tc>
          <w:tcPr>
            <w:tcW w:w="2338" w:type="dxa"/>
            <w:shd w:val="clear" w:color="auto" w:fill="auto"/>
          </w:tcPr>
          <w:p w14:paraId="6E1829AE"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proofErr w:type="spellStart"/>
            <w:r w:rsidRPr="00230B8E">
              <w:rPr>
                <w:rFonts w:cs="Calibri"/>
                <w:kern w:val="20"/>
                <w:sz w:val="24"/>
                <w:szCs w:val="24"/>
              </w:rPr>
              <w:t>trospium</w:t>
            </w:r>
            <w:proofErr w:type="spellEnd"/>
          </w:p>
        </w:tc>
      </w:tr>
      <w:tr w:rsidR="00230B8E" w:rsidRPr="00230B8E" w14:paraId="2904F05B"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21B45F66" w14:textId="77777777" w:rsidR="00230B8E" w:rsidRPr="00230B8E" w:rsidRDefault="00230B8E" w:rsidP="00230B8E">
            <w:pPr>
              <w:outlineLvl w:val="3"/>
              <w:rPr>
                <w:rFonts w:cs="Calibri"/>
                <w:b w:val="0"/>
                <w:bCs w:val="0"/>
                <w:kern w:val="20"/>
                <w:sz w:val="24"/>
                <w:szCs w:val="24"/>
              </w:rPr>
            </w:pPr>
            <w:proofErr w:type="spellStart"/>
            <w:r w:rsidRPr="00230B8E">
              <w:rPr>
                <w:rFonts w:cs="Calibri"/>
                <w:b w:val="0"/>
                <w:bCs w:val="0"/>
                <w:kern w:val="20"/>
                <w:sz w:val="24"/>
                <w:szCs w:val="24"/>
              </w:rPr>
              <w:t>fesoterodine</w:t>
            </w:r>
            <w:proofErr w:type="spellEnd"/>
            <w:r w:rsidRPr="00230B8E">
              <w:rPr>
                <w:rFonts w:cs="Calibri"/>
                <w:b w:val="0"/>
                <w:bCs w:val="0"/>
                <w:kern w:val="20"/>
                <w:sz w:val="24"/>
                <w:szCs w:val="24"/>
              </w:rPr>
              <w:t xml:space="preserve">    </w:t>
            </w:r>
          </w:p>
        </w:tc>
        <w:tc>
          <w:tcPr>
            <w:tcW w:w="2337" w:type="dxa"/>
            <w:shd w:val="clear" w:color="auto" w:fill="auto"/>
          </w:tcPr>
          <w:p w14:paraId="1FBC8228"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color w:val="000000"/>
                <w:kern w:val="20"/>
                <w:sz w:val="24"/>
                <w:szCs w:val="24"/>
              </w:rPr>
            </w:pPr>
            <w:r w:rsidRPr="00230B8E">
              <w:rPr>
                <w:rFonts w:cs="Calibri"/>
                <w:kern w:val="20"/>
                <w:sz w:val="24"/>
                <w:szCs w:val="24"/>
              </w:rPr>
              <w:t xml:space="preserve">oxybutynin  </w:t>
            </w:r>
          </w:p>
        </w:tc>
        <w:tc>
          <w:tcPr>
            <w:tcW w:w="2338" w:type="dxa"/>
            <w:shd w:val="clear" w:color="auto" w:fill="auto"/>
          </w:tcPr>
          <w:p w14:paraId="1DD9F18E"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kern w:val="20"/>
                <w:sz w:val="24"/>
                <w:szCs w:val="24"/>
              </w:rPr>
            </w:pPr>
            <w:r w:rsidRPr="00230B8E">
              <w:rPr>
                <w:rFonts w:cs="Calibri"/>
                <w:kern w:val="20"/>
                <w:sz w:val="24"/>
                <w:szCs w:val="24"/>
              </w:rPr>
              <w:t>tolterodine</w:t>
            </w:r>
          </w:p>
        </w:tc>
        <w:tc>
          <w:tcPr>
            <w:tcW w:w="2338" w:type="dxa"/>
            <w:shd w:val="clear" w:color="auto" w:fill="auto"/>
          </w:tcPr>
          <w:p w14:paraId="4D1490D4"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p>
        </w:tc>
      </w:tr>
      <w:tr w:rsidR="00230B8E" w:rsidRPr="00230B8E" w14:paraId="48F10BA3" w14:textId="77777777" w:rsidTr="00230B8E">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3D8596A5" w14:textId="6D35EF94" w:rsidR="00230B8E" w:rsidRPr="00230B8E" w:rsidRDefault="00230B8E" w:rsidP="00230B8E">
            <w:pPr>
              <w:outlineLvl w:val="3"/>
              <w:rPr>
                <w:rFonts w:cs="Calibri"/>
                <w:sz w:val="24"/>
                <w:szCs w:val="24"/>
              </w:rPr>
            </w:pPr>
            <w:r w:rsidRPr="00230B8E">
              <w:rPr>
                <w:rFonts w:cs="Calibri"/>
                <w:kern w:val="20"/>
                <w:sz w:val="24"/>
                <w:szCs w:val="24"/>
              </w:rPr>
              <w:t xml:space="preserve">Antiparkinsonian </w:t>
            </w:r>
            <w:r w:rsidR="00DA5D37">
              <w:rPr>
                <w:rFonts w:cs="Calibri"/>
                <w:kern w:val="20"/>
                <w:sz w:val="24"/>
                <w:szCs w:val="24"/>
              </w:rPr>
              <w:t>a</w:t>
            </w:r>
            <w:r w:rsidRPr="00230B8E">
              <w:rPr>
                <w:rFonts w:cs="Calibri"/>
                <w:kern w:val="20"/>
                <w:sz w:val="24"/>
                <w:szCs w:val="24"/>
              </w:rPr>
              <w:t xml:space="preserve">gent </w:t>
            </w:r>
            <w:r w:rsidR="00DA5D37">
              <w:rPr>
                <w:rFonts w:cs="Calibri"/>
                <w:kern w:val="20"/>
                <w:sz w:val="24"/>
                <w:szCs w:val="24"/>
              </w:rPr>
              <w:t>m</w:t>
            </w:r>
            <w:r w:rsidRPr="00230B8E">
              <w:rPr>
                <w:rFonts w:cs="Calibri"/>
                <w:kern w:val="20"/>
                <w:sz w:val="24"/>
                <w:szCs w:val="24"/>
              </w:rPr>
              <w:t>edications</w:t>
            </w:r>
          </w:p>
        </w:tc>
      </w:tr>
      <w:tr w:rsidR="00230B8E" w:rsidRPr="00230B8E" w14:paraId="1ACC9C94"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625841EE" w14:textId="77777777" w:rsidR="00230B8E" w:rsidRPr="00230B8E" w:rsidRDefault="00230B8E" w:rsidP="00230B8E">
            <w:pPr>
              <w:outlineLvl w:val="3"/>
              <w:rPr>
                <w:rFonts w:cs="Calibri"/>
                <w:b w:val="0"/>
                <w:bCs w:val="0"/>
                <w:sz w:val="24"/>
                <w:szCs w:val="24"/>
              </w:rPr>
            </w:pPr>
            <w:r w:rsidRPr="00230B8E">
              <w:rPr>
                <w:rFonts w:cs="Calibri"/>
                <w:b w:val="0"/>
                <w:bCs w:val="0"/>
                <w:kern w:val="20"/>
                <w:sz w:val="24"/>
                <w:szCs w:val="24"/>
              </w:rPr>
              <w:t>benztropine</w:t>
            </w:r>
          </w:p>
        </w:tc>
        <w:tc>
          <w:tcPr>
            <w:tcW w:w="2337" w:type="dxa"/>
            <w:shd w:val="clear" w:color="auto" w:fill="auto"/>
          </w:tcPr>
          <w:p w14:paraId="6EE63FDE"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kern w:val="20"/>
                <w:sz w:val="24"/>
                <w:szCs w:val="24"/>
              </w:rPr>
              <w:t>trihexyphenidyl</w:t>
            </w:r>
          </w:p>
        </w:tc>
        <w:tc>
          <w:tcPr>
            <w:tcW w:w="2338" w:type="dxa"/>
            <w:shd w:val="clear" w:color="auto" w:fill="auto"/>
          </w:tcPr>
          <w:p w14:paraId="122D23E2"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p>
        </w:tc>
        <w:tc>
          <w:tcPr>
            <w:tcW w:w="2338" w:type="dxa"/>
            <w:shd w:val="clear" w:color="auto" w:fill="auto"/>
          </w:tcPr>
          <w:p w14:paraId="68C64EDE"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color w:val="000000"/>
                <w:kern w:val="20"/>
                <w:sz w:val="24"/>
                <w:szCs w:val="24"/>
              </w:rPr>
              <w:t xml:space="preserve">  </w:t>
            </w:r>
          </w:p>
        </w:tc>
      </w:tr>
      <w:tr w:rsidR="00230B8E" w:rsidRPr="00230B8E" w14:paraId="21C69786" w14:textId="77777777" w:rsidTr="00230B8E">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369F8BE5" w14:textId="0F53B45D" w:rsidR="00230B8E" w:rsidRPr="00230B8E" w:rsidRDefault="00230B8E" w:rsidP="00230B8E">
            <w:pPr>
              <w:outlineLvl w:val="3"/>
              <w:rPr>
                <w:rFonts w:cs="Calibri"/>
                <w:color w:val="000000"/>
                <w:kern w:val="20"/>
                <w:sz w:val="24"/>
                <w:szCs w:val="24"/>
              </w:rPr>
            </w:pPr>
            <w:r w:rsidRPr="00230B8E">
              <w:rPr>
                <w:rFonts w:cs="Calibri"/>
                <w:kern w:val="20"/>
                <w:sz w:val="24"/>
                <w:szCs w:val="24"/>
              </w:rPr>
              <w:t xml:space="preserve">Antipsychotic </w:t>
            </w:r>
            <w:r w:rsidR="00DA5D37">
              <w:rPr>
                <w:rFonts w:cs="Calibri"/>
                <w:kern w:val="20"/>
                <w:sz w:val="24"/>
                <w:szCs w:val="24"/>
              </w:rPr>
              <w:t>m</w:t>
            </w:r>
            <w:r w:rsidRPr="00230B8E">
              <w:rPr>
                <w:rFonts w:cs="Calibri"/>
                <w:kern w:val="20"/>
                <w:sz w:val="24"/>
                <w:szCs w:val="24"/>
              </w:rPr>
              <w:t>edications</w:t>
            </w:r>
          </w:p>
        </w:tc>
      </w:tr>
      <w:tr w:rsidR="00230B8E" w:rsidRPr="00230B8E" w14:paraId="45EAB085"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5AAFC685" w14:textId="77777777"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t>chlorpromazine</w:t>
            </w:r>
          </w:p>
        </w:tc>
        <w:tc>
          <w:tcPr>
            <w:tcW w:w="2337" w:type="dxa"/>
            <w:shd w:val="clear" w:color="auto" w:fill="auto"/>
          </w:tcPr>
          <w:p w14:paraId="245FCA2A"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kern w:val="20"/>
                <w:sz w:val="24"/>
                <w:szCs w:val="24"/>
              </w:rPr>
            </w:pPr>
            <w:proofErr w:type="spellStart"/>
            <w:r w:rsidRPr="00230B8E">
              <w:rPr>
                <w:rFonts w:cs="Calibri"/>
                <w:kern w:val="20"/>
                <w:sz w:val="24"/>
                <w:szCs w:val="24"/>
              </w:rPr>
              <w:t>loxapine</w:t>
            </w:r>
            <w:proofErr w:type="spellEnd"/>
          </w:p>
        </w:tc>
        <w:tc>
          <w:tcPr>
            <w:tcW w:w="2338" w:type="dxa"/>
            <w:shd w:val="clear" w:color="auto" w:fill="auto"/>
          </w:tcPr>
          <w:p w14:paraId="09DB6BAD"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b/>
                <w:bCs/>
                <w:sz w:val="24"/>
                <w:szCs w:val="24"/>
              </w:rPr>
            </w:pPr>
            <w:r w:rsidRPr="00230B8E">
              <w:rPr>
                <w:rFonts w:cs="Calibri"/>
                <w:kern w:val="20"/>
                <w:sz w:val="24"/>
                <w:szCs w:val="24"/>
              </w:rPr>
              <w:t xml:space="preserve">perphenazine  </w:t>
            </w:r>
          </w:p>
        </w:tc>
        <w:tc>
          <w:tcPr>
            <w:tcW w:w="2338" w:type="dxa"/>
            <w:shd w:val="clear" w:color="auto" w:fill="auto"/>
          </w:tcPr>
          <w:p w14:paraId="41BE8B16"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color w:val="000000"/>
                <w:kern w:val="20"/>
                <w:sz w:val="24"/>
                <w:szCs w:val="24"/>
              </w:rPr>
            </w:pPr>
            <w:r w:rsidRPr="00230B8E">
              <w:rPr>
                <w:rFonts w:cs="Calibri"/>
                <w:kern w:val="20"/>
                <w:sz w:val="24"/>
                <w:szCs w:val="24"/>
              </w:rPr>
              <w:t>trifluoperazine</w:t>
            </w:r>
          </w:p>
        </w:tc>
      </w:tr>
      <w:tr w:rsidR="00230B8E" w:rsidRPr="00230B8E" w14:paraId="24B9BF9A"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5782BCE0" w14:textId="77777777"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t>clozapine</w:t>
            </w:r>
          </w:p>
        </w:tc>
        <w:tc>
          <w:tcPr>
            <w:tcW w:w="2337" w:type="dxa"/>
            <w:shd w:val="clear" w:color="auto" w:fill="auto"/>
          </w:tcPr>
          <w:p w14:paraId="4D94C00E"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r w:rsidRPr="00230B8E">
              <w:rPr>
                <w:rFonts w:cs="Calibri"/>
                <w:kern w:val="20"/>
                <w:sz w:val="24"/>
                <w:szCs w:val="24"/>
              </w:rPr>
              <w:t>olanzapine</w:t>
            </w:r>
          </w:p>
        </w:tc>
        <w:tc>
          <w:tcPr>
            <w:tcW w:w="2338" w:type="dxa"/>
            <w:shd w:val="clear" w:color="auto" w:fill="auto"/>
          </w:tcPr>
          <w:p w14:paraId="5E98BB64"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b/>
                <w:bCs/>
                <w:sz w:val="24"/>
                <w:szCs w:val="24"/>
              </w:rPr>
            </w:pPr>
            <w:r w:rsidRPr="00230B8E">
              <w:rPr>
                <w:rFonts w:cs="Calibri"/>
                <w:kern w:val="20"/>
                <w:sz w:val="24"/>
                <w:szCs w:val="24"/>
              </w:rPr>
              <w:t>thioridazine</w:t>
            </w:r>
          </w:p>
        </w:tc>
        <w:tc>
          <w:tcPr>
            <w:tcW w:w="2338" w:type="dxa"/>
            <w:shd w:val="clear" w:color="auto" w:fill="auto"/>
          </w:tcPr>
          <w:p w14:paraId="2459D128"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p>
        </w:tc>
      </w:tr>
      <w:tr w:rsidR="00230B8E" w:rsidRPr="00230B8E" w14:paraId="441ACDE2"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04F84925" w14:textId="06959DE8" w:rsidR="00230B8E" w:rsidRPr="00230B8E" w:rsidRDefault="00230B8E" w:rsidP="00230B8E">
            <w:pPr>
              <w:outlineLvl w:val="3"/>
              <w:rPr>
                <w:rFonts w:cs="Calibri"/>
                <w:color w:val="000000"/>
                <w:kern w:val="20"/>
                <w:sz w:val="24"/>
                <w:szCs w:val="24"/>
              </w:rPr>
            </w:pPr>
            <w:r w:rsidRPr="00230B8E">
              <w:rPr>
                <w:rFonts w:cs="Calibri"/>
                <w:kern w:val="20"/>
                <w:sz w:val="24"/>
                <w:szCs w:val="24"/>
              </w:rPr>
              <w:t xml:space="preserve">Antispasmodic </w:t>
            </w:r>
            <w:r w:rsidR="00DA5D37">
              <w:rPr>
                <w:rFonts w:cs="Calibri"/>
                <w:kern w:val="20"/>
                <w:sz w:val="24"/>
                <w:szCs w:val="24"/>
              </w:rPr>
              <w:t>m</w:t>
            </w:r>
            <w:r w:rsidRPr="00230B8E">
              <w:rPr>
                <w:rFonts w:cs="Calibri"/>
                <w:kern w:val="20"/>
                <w:sz w:val="24"/>
                <w:szCs w:val="24"/>
              </w:rPr>
              <w:t>edications</w:t>
            </w:r>
          </w:p>
        </w:tc>
      </w:tr>
      <w:tr w:rsidR="00230B8E" w:rsidRPr="00230B8E" w14:paraId="03DEAC20"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53592ED7" w14:textId="19AEE384"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t xml:space="preserve">atropine (excludes ophthalmic)  </w:t>
            </w:r>
          </w:p>
        </w:tc>
        <w:tc>
          <w:tcPr>
            <w:tcW w:w="2337" w:type="dxa"/>
            <w:shd w:val="clear" w:color="auto" w:fill="auto"/>
          </w:tcPr>
          <w:p w14:paraId="1F66E2D9"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r w:rsidRPr="00230B8E">
              <w:rPr>
                <w:rFonts w:cs="Calibri"/>
                <w:kern w:val="20"/>
                <w:sz w:val="24"/>
                <w:szCs w:val="24"/>
              </w:rPr>
              <w:t xml:space="preserve">dicyclomine   </w:t>
            </w:r>
          </w:p>
        </w:tc>
        <w:tc>
          <w:tcPr>
            <w:tcW w:w="2338" w:type="dxa"/>
            <w:shd w:val="clear" w:color="auto" w:fill="auto"/>
          </w:tcPr>
          <w:p w14:paraId="49195228"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proofErr w:type="spellStart"/>
            <w:r w:rsidRPr="00230B8E">
              <w:rPr>
                <w:rFonts w:cs="Calibri"/>
                <w:kern w:val="20"/>
                <w:sz w:val="24"/>
                <w:szCs w:val="24"/>
              </w:rPr>
              <w:t>methscopolamine</w:t>
            </w:r>
            <w:proofErr w:type="spellEnd"/>
          </w:p>
        </w:tc>
        <w:tc>
          <w:tcPr>
            <w:tcW w:w="2338" w:type="dxa"/>
            <w:shd w:val="clear" w:color="auto" w:fill="auto"/>
          </w:tcPr>
          <w:p w14:paraId="6B71B2A1"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p>
        </w:tc>
      </w:tr>
      <w:tr w:rsidR="00230B8E" w:rsidRPr="00230B8E" w14:paraId="686BCC68"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107DEED1" w14:textId="77777777"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lastRenderedPageBreak/>
              <w:t xml:space="preserve">belladonna alkaloids     </w:t>
            </w:r>
          </w:p>
        </w:tc>
        <w:tc>
          <w:tcPr>
            <w:tcW w:w="2337" w:type="dxa"/>
            <w:shd w:val="clear" w:color="auto" w:fill="auto"/>
          </w:tcPr>
          <w:p w14:paraId="4A3F7B54"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kern w:val="20"/>
                <w:sz w:val="24"/>
                <w:szCs w:val="24"/>
              </w:rPr>
            </w:pPr>
            <w:r w:rsidRPr="00230B8E">
              <w:rPr>
                <w:rFonts w:cs="Calibri"/>
                <w:kern w:val="20"/>
                <w:sz w:val="24"/>
                <w:szCs w:val="24"/>
              </w:rPr>
              <w:t>homatropine (excludes ophthalmic)</w:t>
            </w:r>
          </w:p>
        </w:tc>
        <w:tc>
          <w:tcPr>
            <w:tcW w:w="2338" w:type="dxa"/>
            <w:shd w:val="clear" w:color="auto" w:fill="auto"/>
          </w:tcPr>
          <w:p w14:paraId="006B1039"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kern w:val="20"/>
                <w:sz w:val="24"/>
                <w:szCs w:val="24"/>
              </w:rPr>
            </w:pPr>
            <w:r w:rsidRPr="00230B8E">
              <w:rPr>
                <w:rFonts w:cs="Calibri"/>
                <w:kern w:val="20"/>
                <w:sz w:val="24"/>
                <w:szCs w:val="24"/>
              </w:rPr>
              <w:t xml:space="preserve">propantheline  </w:t>
            </w:r>
          </w:p>
        </w:tc>
        <w:tc>
          <w:tcPr>
            <w:tcW w:w="2338" w:type="dxa"/>
            <w:shd w:val="clear" w:color="auto" w:fill="auto"/>
          </w:tcPr>
          <w:p w14:paraId="265A11DB" w14:textId="77777777" w:rsidR="00230B8E" w:rsidRPr="00230B8E" w:rsidRDefault="00230B8E" w:rsidP="00230B8E">
            <w:pPr>
              <w:outlineLvl w:val="3"/>
              <w:cnfStyle w:val="000000100000" w:firstRow="0" w:lastRow="0" w:firstColumn="0" w:lastColumn="0" w:oddVBand="0" w:evenVBand="0" w:oddHBand="1" w:evenHBand="0" w:firstRowFirstColumn="0" w:firstRowLastColumn="0" w:lastRowFirstColumn="0" w:lastRowLastColumn="0"/>
              <w:rPr>
                <w:rFonts w:cs="Calibri"/>
                <w:color w:val="000000"/>
                <w:kern w:val="20"/>
                <w:sz w:val="24"/>
                <w:szCs w:val="24"/>
              </w:rPr>
            </w:pPr>
          </w:p>
        </w:tc>
      </w:tr>
      <w:tr w:rsidR="00230B8E" w:rsidRPr="00230B8E" w14:paraId="2F563D51"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0A8DB2EC" w14:textId="77777777" w:rsidR="00230B8E" w:rsidRPr="00230B8E" w:rsidRDefault="00230B8E" w:rsidP="00230B8E">
            <w:pPr>
              <w:outlineLvl w:val="3"/>
              <w:rPr>
                <w:rFonts w:cs="Calibri"/>
                <w:b w:val="0"/>
                <w:bCs w:val="0"/>
                <w:kern w:val="20"/>
                <w:sz w:val="24"/>
                <w:szCs w:val="24"/>
              </w:rPr>
            </w:pPr>
            <w:proofErr w:type="spellStart"/>
            <w:r w:rsidRPr="00230B8E">
              <w:rPr>
                <w:rFonts w:cs="Calibri"/>
                <w:b w:val="0"/>
                <w:bCs w:val="0"/>
                <w:kern w:val="20"/>
                <w:sz w:val="24"/>
                <w:szCs w:val="24"/>
              </w:rPr>
              <w:t>clinidium</w:t>
            </w:r>
            <w:proofErr w:type="spellEnd"/>
            <w:r w:rsidRPr="00230B8E">
              <w:rPr>
                <w:rFonts w:cs="Calibri"/>
                <w:b w:val="0"/>
                <w:bCs w:val="0"/>
                <w:kern w:val="20"/>
                <w:sz w:val="24"/>
                <w:szCs w:val="24"/>
              </w:rPr>
              <w:t>-chlordiazepoxide</w:t>
            </w:r>
          </w:p>
        </w:tc>
        <w:tc>
          <w:tcPr>
            <w:tcW w:w="2337" w:type="dxa"/>
            <w:shd w:val="clear" w:color="auto" w:fill="auto"/>
          </w:tcPr>
          <w:p w14:paraId="7915D090"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r w:rsidRPr="00230B8E">
              <w:rPr>
                <w:rFonts w:cs="Calibri"/>
                <w:kern w:val="20"/>
                <w:sz w:val="24"/>
                <w:szCs w:val="24"/>
              </w:rPr>
              <w:t xml:space="preserve">hyoscyamine  </w:t>
            </w:r>
          </w:p>
        </w:tc>
        <w:tc>
          <w:tcPr>
            <w:tcW w:w="2338" w:type="dxa"/>
            <w:shd w:val="clear" w:color="auto" w:fill="auto"/>
          </w:tcPr>
          <w:p w14:paraId="54EF136E"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r w:rsidRPr="00230B8E">
              <w:rPr>
                <w:rFonts w:cs="Calibri"/>
                <w:kern w:val="20"/>
                <w:sz w:val="24"/>
                <w:szCs w:val="24"/>
              </w:rPr>
              <w:t xml:space="preserve">scopolamine (excludes </w:t>
            </w:r>
            <w:proofErr w:type="gramStart"/>
            <w:r w:rsidRPr="00230B8E">
              <w:rPr>
                <w:rFonts w:cs="Calibri"/>
                <w:kern w:val="20"/>
                <w:sz w:val="24"/>
                <w:szCs w:val="24"/>
              </w:rPr>
              <w:t xml:space="preserve">ophthalmic)   </w:t>
            </w:r>
            <w:proofErr w:type="gramEnd"/>
            <w:r w:rsidRPr="00230B8E">
              <w:rPr>
                <w:rFonts w:cs="Calibri"/>
                <w:kern w:val="20"/>
                <w:sz w:val="24"/>
                <w:szCs w:val="24"/>
              </w:rPr>
              <w:t xml:space="preserve">                           </w:t>
            </w:r>
          </w:p>
        </w:tc>
        <w:tc>
          <w:tcPr>
            <w:tcW w:w="2338" w:type="dxa"/>
            <w:shd w:val="clear" w:color="auto" w:fill="auto"/>
          </w:tcPr>
          <w:p w14:paraId="72C94B2F"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p>
        </w:tc>
      </w:tr>
      <w:tr w:rsidR="00230B8E" w:rsidRPr="00230B8E" w14:paraId="7DD47A46" w14:textId="77777777" w:rsidTr="00230B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8CCE4" w:themeFill="accent1" w:themeFillTint="66"/>
          </w:tcPr>
          <w:p w14:paraId="1A7B0DFE" w14:textId="58E446B5" w:rsidR="00230B8E" w:rsidRPr="00230B8E" w:rsidRDefault="00230B8E" w:rsidP="00230B8E">
            <w:pPr>
              <w:outlineLvl w:val="3"/>
              <w:rPr>
                <w:rFonts w:cs="Calibri"/>
                <w:color w:val="000000"/>
                <w:kern w:val="20"/>
                <w:sz w:val="24"/>
                <w:szCs w:val="24"/>
              </w:rPr>
            </w:pPr>
            <w:r w:rsidRPr="00230B8E">
              <w:rPr>
                <w:rFonts w:cs="Calibri"/>
                <w:kern w:val="20"/>
                <w:sz w:val="24"/>
                <w:szCs w:val="24"/>
              </w:rPr>
              <w:t xml:space="preserve">Skeletal </w:t>
            </w:r>
            <w:r w:rsidR="00DA5D37">
              <w:rPr>
                <w:rFonts w:cs="Calibri"/>
                <w:kern w:val="20"/>
                <w:sz w:val="24"/>
                <w:szCs w:val="24"/>
              </w:rPr>
              <w:t>m</w:t>
            </w:r>
            <w:r w:rsidRPr="00230B8E">
              <w:rPr>
                <w:rFonts w:cs="Calibri"/>
                <w:kern w:val="20"/>
                <w:sz w:val="24"/>
                <w:szCs w:val="24"/>
              </w:rPr>
              <w:t xml:space="preserve">uscle </w:t>
            </w:r>
            <w:r w:rsidR="00DA5D37">
              <w:rPr>
                <w:rFonts w:cs="Calibri"/>
                <w:kern w:val="20"/>
                <w:sz w:val="24"/>
                <w:szCs w:val="24"/>
              </w:rPr>
              <w:t>r</w:t>
            </w:r>
            <w:r w:rsidRPr="00230B8E">
              <w:rPr>
                <w:rFonts w:cs="Calibri"/>
                <w:kern w:val="20"/>
                <w:sz w:val="24"/>
                <w:szCs w:val="24"/>
              </w:rPr>
              <w:t xml:space="preserve">elaxant </w:t>
            </w:r>
            <w:r w:rsidR="00DA5D37">
              <w:rPr>
                <w:rFonts w:cs="Calibri"/>
                <w:kern w:val="20"/>
                <w:sz w:val="24"/>
                <w:szCs w:val="24"/>
              </w:rPr>
              <w:t>m</w:t>
            </w:r>
            <w:r w:rsidRPr="00230B8E">
              <w:rPr>
                <w:rFonts w:cs="Calibri"/>
                <w:kern w:val="20"/>
                <w:sz w:val="24"/>
                <w:szCs w:val="24"/>
              </w:rPr>
              <w:t>edications</w:t>
            </w:r>
          </w:p>
        </w:tc>
      </w:tr>
      <w:tr w:rsidR="00230B8E" w:rsidRPr="00230B8E" w14:paraId="1F4E230C" w14:textId="77777777" w:rsidTr="00230B8E">
        <w:tc>
          <w:tcPr>
            <w:cnfStyle w:val="001000000000" w:firstRow="0" w:lastRow="0" w:firstColumn="1" w:lastColumn="0" w:oddVBand="0" w:evenVBand="0" w:oddHBand="0" w:evenHBand="0" w:firstRowFirstColumn="0" w:firstRowLastColumn="0" w:lastRowFirstColumn="0" w:lastRowLastColumn="0"/>
            <w:tcW w:w="2337" w:type="dxa"/>
            <w:shd w:val="clear" w:color="auto" w:fill="auto"/>
          </w:tcPr>
          <w:p w14:paraId="5B63C7B0" w14:textId="77777777" w:rsidR="00230B8E" w:rsidRPr="00230B8E" w:rsidRDefault="00230B8E" w:rsidP="00230B8E">
            <w:pPr>
              <w:outlineLvl w:val="3"/>
              <w:rPr>
                <w:rFonts w:cs="Calibri"/>
                <w:b w:val="0"/>
                <w:bCs w:val="0"/>
                <w:kern w:val="20"/>
                <w:sz w:val="24"/>
                <w:szCs w:val="24"/>
              </w:rPr>
            </w:pPr>
            <w:r w:rsidRPr="00230B8E">
              <w:rPr>
                <w:rFonts w:cs="Calibri"/>
                <w:b w:val="0"/>
                <w:bCs w:val="0"/>
                <w:kern w:val="20"/>
                <w:sz w:val="24"/>
                <w:szCs w:val="24"/>
              </w:rPr>
              <w:t>cyclobenzaprine</w:t>
            </w:r>
          </w:p>
        </w:tc>
        <w:tc>
          <w:tcPr>
            <w:tcW w:w="2337" w:type="dxa"/>
            <w:shd w:val="clear" w:color="auto" w:fill="auto"/>
          </w:tcPr>
          <w:p w14:paraId="1DF0994F"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r w:rsidRPr="00230B8E">
              <w:rPr>
                <w:rFonts w:cs="Calibri"/>
                <w:kern w:val="20"/>
                <w:sz w:val="24"/>
                <w:szCs w:val="24"/>
              </w:rPr>
              <w:t xml:space="preserve">orphenadrine    </w:t>
            </w:r>
          </w:p>
        </w:tc>
        <w:tc>
          <w:tcPr>
            <w:tcW w:w="2338" w:type="dxa"/>
            <w:shd w:val="clear" w:color="auto" w:fill="auto"/>
          </w:tcPr>
          <w:p w14:paraId="32363488"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kern w:val="20"/>
                <w:sz w:val="24"/>
                <w:szCs w:val="24"/>
              </w:rPr>
            </w:pPr>
          </w:p>
        </w:tc>
        <w:tc>
          <w:tcPr>
            <w:tcW w:w="2338" w:type="dxa"/>
            <w:shd w:val="clear" w:color="auto" w:fill="auto"/>
          </w:tcPr>
          <w:p w14:paraId="648A0E29" w14:textId="77777777" w:rsidR="00230B8E" w:rsidRPr="00230B8E" w:rsidRDefault="00230B8E" w:rsidP="00230B8E">
            <w:pPr>
              <w:outlineLvl w:val="3"/>
              <w:cnfStyle w:val="000000000000" w:firstRow="0" w:lastRow="0" w:firstColumn="0" w:lastColumn="0" w:oddVBand="0" w:evenVBand="0" w:oddHBand="0" w:evenHBand="0" w:firstRowFirstColumn="0" w:firstRowLastColumn="0" w:lastRowFirstColumn="0" w:lastRowLastColumn="0"/>
              <w:rPr>
                <w:rFonts w:cs="Calibri"/>
                <w:color w:val="000000"/>
                <w:kern w:val="20"/>
                <w:sz w:val="24"/>
                <w:szCs w:val="24"/>
              </w:rPr>
            </w:pPr>
          </w:p>
        </w:tc>
      </w:tr>
    </w:tbl>
    <w:p w14:paraId="4FCA5A00" w14:textId="77777777" w:rsidR="00230B8E" w:rsidRPr="00230B8E" w:rsidRDefault="00230B8E" w:rsidP="00230B8E">
      <w:pPr>
        <w:spacing w:line="259" w:lineRule="auto"/>
        <w:rPr>
          <w:rFonts w:eastAsia="Calibri" w:cs="Calibri"/>
          <w:kern w:val="2"/>
          <w:sz w:val="24"/>
          <w:szCs w:val="24"/>
          <w14:ligatures w14:val="standardContextual"/>
        </w:rPr>
      </w:pPr>
    </w:p>
    <w:p w14:paraId="20EB8FBD" w14:textId="77777777" w:rsidR="00230B8E" w:rsidRPr="00230B8E" w:rsidRDefault="00230B8E" w:rsidP="00230B8E">
      <w:pPr>
        <w:spacing w:line="259" w:lineRule="auto"/>
        <w:rPr>
          <w:rFonts w:eastAsia="Calibri" w:cs="Calibri"/>
          <w:kern w:val="2"/>
          <w:sz w:val="24"/>
          <w:szCs w:val="24"/>
          <w14:ligatures w14:val="standardContextual"/>
        </w:rPr>
      </w:pPr>
      <w:r w:rsidRPr="00230B8E">
        <w:rPr>
          <w:rFonts w:eastAsia="Calibri" w:cs="Calibri"/>
          <w:kern w:val="2"/>
          <w:sz w:val="24"/>
          <w:szCs w:val="24"/>
          <w14:ligatures w14:val="standardContextual"/>
        </w:rPr>
        <w:t>References:</w:t>
      </w:r>
    </w:p>
    <w:p w14:paraId="07F6020E" w14:textId="77777777" w:rsidR="00230B8E" w:rsidRPr="00230B8E" w:rsidRDefault="00230B8E" w:rsidP="00230B8E">
      <w:pPr>
        <w:numPr>
          <w:ilvl w:val="0"/>
          <w:numId w:val="29"/>
        </w:numPr>
        <w:spacing w:after="160" w:line="259" w:lineRule="auto"/>
        <w:contextualSpacing/>
        <w:rPr>
          <w:rFonts w:eastAsia="Calibri" w:cs="Calibri"/>
          <w:kern w:val="2"/>
          <w:sz w:val="24"/>
          <w:szCs w:val="24"/>
          <w14:ligatures w14:val="standardContextual"/>
        </w:rPr>
      </w:pPr>
      <w:r w:rsidRPr="00230B8E">
        <w:rPr>
          <w:rFonts w:eastAsia="Calibri" w:cs="Calibri"/>
          <w:kern w:val="2"/>
          <w:sz w:val="24"/>
          <w:szCs w:val="24"/>
          <w14:ligatures w14:val="standardContextual"/>
        </w:rPr>
        <w:t>Gray, S. L., et al. (2015). Anticholinergic Use and Dementia Risk. JAMA Internal Medicine, 175(3), 401-407.</w:t>
      </w:r>
    </w:p>
    <w:p w14:paraId="03B99600" w14:textId="77777777" w:rsidR="00230B8E" w:rsidRPr="00230B8E" w:rsidRDefault="00230B8E" w:rsidP="00230B8E">
      <w:pPr>
        <w:numPr>
          <w:ilvl w:val="0"/>
          <w:numId w:val="29"/>
        </w:numPr>
        <w:spacing w:after="160" w:line="259" w:lineRule="auto"/>
        <w:contextualSpacing/>
        <w:rPr>
          <w:rFonts w:eastAsia="Calibri" w:cs="Calibri"/>
          <w:kern w:val="2"/>
          <w:sz w:val="24"/>
          <w:szCs w:val="24"/>
          <w14:ligatures w14:val="standardContextual"/>
        </w:rPr>
      </w:pPr>
      <w:proofErr w:type="spellStart"/>
      <w:r w:rsidRPr="00230B8E">
        <w:rPr>
          <w:rFonts w:eastAsia="Calibri" w:cs="Calibri"/>
          <w:kern w:val="2"/>
          <w:sz w:val="24"/>
          <w:szCs w:val="24"/>
          <w14:ligatures w14:val="standardContextual"/>
        </w:rPr>
        <w:t>Boustani</w:t>
      </w:r>
      <w:proofErr w:type="spellEnd"/>
      <w:r w:rsidRPr="00230B8E">
        <w:rPr>
          <w:rFonts w:eastAsia="Calibri" w:cs="Calibri"/>
          <w:kern w:val="2"/>
          <w:sz w:val="24"/>
          <w:szCs w:val="24"/>
          <w14:ligatures w14:val="standardContextual"/>
        </w:rPr>
        <w:t>, M., et al. (2008). Impact of Anticholinergics on Aging Brains. Aging Health, 4(3), 311-320.</w:t>
      </w:r>
    </w:p>
    <w:p w14:paraId="01BC3959" w14:textId="77777777" w:rsidR="00230B8E" w:rsidRPr="00230B8E" w:rsidRDefault="00230B8E" w:rsidP="00230B8E">
      <w:pPr>
        <w:numPr>
          <w:ilvl w:val="0"/>
          <w:numId w:val="29"/>
        </w:numPr>
        <w:spacing w:after="160" w:line="259" w:lineRule="auto"/>
        <w:contextualSpacing/>
        <w:rPr>
          <w:rFonts w:eastAsia="Calibri" w:cs="Calibri"/>
          <w:kern w:val="2"/>
          <w:sz w:val="24"/>
          <w:szCs w:val="24"/>
          <w14:ligatures w14:val="standardContextual"/>
        </w:rPr>
      </w:pPr>
      <w:r w:rsidRPr="00230B8E">
        <w:rPr>
          <w:rFonts w:eastAsia="Calibri" w:cs="Calibri"/>
          <w:kern w:val="2"/>
          <w:sz w:val="24"/>
          <w:szCs w:val="24"/>
          <w14:ligatures w14:val="standardContextual"/>
        </w:rPr>
        <w:t>Rochon, P. A., et al. (2018). Polypharmacy in Older Adults. The Lancet, 391(10127), 643-653.</w:t>
      </w:r>
    </w:p>
    <w:p w14:paraId="2CF0B96A" w14:textId="77777777" w:rsidR="00230B8E" w:rsidRPr="00230B8E" w:rsidRDefault="00230B8E" w:rsidP="00230B8E">
      <w:pPr>
        <w:numPr>
          <w:ilvl w:val="0"/>
          <w:numId w:val="29"/>
        </w:numPr>
        <w:spacing w:after="160" w:line="259" w:lineRule="auto"/>
        <w:contextualSpacing/>
        <w:rPr>
          <w:rFonts w:eastAsia="Calibri" w:cs="Calibri"/>
          <w:kern w:val="2"/>
          <w:sz w:val="24"/>
          <w:szCs w:val="24"/>
          <w14:ligatures w14:val="standardContextual"/>
        </w:rPr>
      </w:pPr>
      <w:proofErr w:type="spellStart"/>
      <w:r w:rsidRPr="00230B8E">
        <w:rPr>
          <w:rFonts w:eastAsia="Calibri" w:cs="Calibri"/>
          <w:kern w:val="2"/>
          <w:sz w:val="24"/>
          <w:szCs w:val="24"/>
          <w14:ligatures w14:val="standardContextual"/>
        </w:rPr>
        <w:t>Molist</w:t>
      </w:r>
      <w:proofErr w:type="spellEnd"/>
      <w:r w:rsidRPr="00230B8E">
        <w:rPr>
          <w:rFonts w:eastAsia="Calibri" w:cs="Calibri"/>
          <w:kern w:val="2"/>
          <w:sz w:val="24"/>
          <w:szCs w:val="24"/>
          <w14:ligatures w14:val="standardContextual"/>
        </w:rPr>
        <w:t>-Brunet, N., et al. (2021). Deprescribing Anticholinergic Medications. Drugs &amp; Aging, 38(6), 481–491.</w:t>
      </w:r>
    </w:p>
    <w:p w14:paraId="2A05E630" w14:textId="77777777" w:rsidR="00230B8E" w:rsidRPr="00230B8E" w:rsidRDefault="00230B8E" w:rsidP="00230B8E">
      <w:pPr>
        <w:numPr>
          <w:ilvl w:val="0"/>
          <w:numId w:val="29"/>
        </w:numPr>
        <w:spacing w:after="160" w:line="259" w:lineRule="auto"/>
        <w:contextualSpacing/>
        <w:rPr>
          <w:rFonts w:eastAsia="Calibri" w:cs="Calibri"/>
          <w:kern w:val="2"/>
          <w:sz w:val="24"/>
          <w:szCs w:val="24"/>
          <w14:ligatures w14:val="standardContextual"/>
        </w:rPr>
      </w:pPr>
      <w:r w:rsidRPr="00230B8E">
        <w:rPr>
          <w:rFonts w:eastAsia="Calibri" w:cs="Calibri"/>
          <w:kern w:val="2"/>
          <w:sz w:val="24"/>
          <w:szCs w:val="24"/>
          <w14:ligatures w14:val="standardContextual"/>
        </w:rPr>
        <w:t>National Institute on Aging (NIA). Reducing Medication Risks in Older Adults. Available at: NIA.gov.</w:t>
      </w:r>
    </w:p>
    <w:p w14:paraId="18E0FF1E" w14:textId="38390B77" w:rsidR="00556C71" w:rsidRPr="00DA5D37" w:rsidRDefault="00230B8E" w:rsidP="00361A0A">
      <w:pPr>
        <w:numPr>
          <w:ilvl w:val="0"/>
          <w:numId w:val="29"/>
        </w:numPr>
        <w:spacing w:after="160" w:line="259" w:lineRule="auto"/>
        <w:contextualSpacing/>
        <w:rPr>
          <w:rFonts w:eastAsia="Calibri" w:cs="Calibri"/>
          <w:kern w:val="2"/>
          <w:sz w:val="24"/>
          <w:szCs w:val="24"/>
          <w14:ligatures w14:val="standardContextual"/>
        </w:rPr>
      </w:pPr>
      <w:r w:rsidRPr="00230B8E">
        <w:rPr>
          <w:rFonts w:eastAsia="Calibri" w:cs="Calibri"/>
          <w:kern w:val="2"/>
          <w:sz w:val="24"/>
          <w:szCs w:val="24"/>
          <w14:ligatures w14:val="standardContextual"/>
        </w:rPr>
        <w:t>Peterson, G. M., et al. (2017). Collaborative Care for Polypharmacy Reduction. Therapeutic Advances in Drug Safety, 8(1), 11-18.</w:t>
      </w:r>
    </w:p>
    <w:sectPr w:rsidR="00556C71" w:rsidRPr="00DA5D37"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C5B26" w14:textId="77777777" w:rsidR="00230B8E" w:rsidRDefault="00230B8E" w:rsidP="00EA2AFA">
      <w:r>
        <w:separator/>
      </w:r>
    </w:p>
  </w:endnote>
  <w:endnote w:type="continuationSeparator" w:id="0">
    <w:p w14:paraId="7D6DA643" w14:textId="77777777" w:rsidR="00230B8E" w:rsidRDefault="00230B8E"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E820"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14344B69" wp14:editId="353DBCC8">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FF478"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D90D" w14:textId="77777777" w:rsidR="00230B8E" w:rsidRDefault="00230B8E" w:rsidP="00EA2AFA">
      <w:r>
        <w:separator/>
      </w:r>
    </w:p>
  </w:footnote>
  <w:footnote w:type="continuationSeparator" w:id="0">
    <w:p w14:paraId="4A3D39E4" w14:textId="77777777" w:rsidR="00230B8E" w:rsidRDefault="00230B8E"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5BEF"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73BD0A09" wp14:editId="3636F4E1">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07905"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7C46B7DD" w14:textId="77777777" w:rsidR="00EA2AFA" w:rsidRDefault="00D84F0A">
    <w:pPr>
      <w:pStyle w:val="Header"/>
    </w:pPr>
    <w:r>
      <w:rPr>
        <w:noProof/>
      </w:rPr>
      <w:drawing>
        <wp:anchor distT="0" distB="0" distL="114300" distR="114300" simplePos="0" relativeHeight="251660288" behindDoc="0" locked="0" layoutInCell="1" allowOverlap="1" wp14:anchorId="755D2E15" wp14:editId="12BDCD60">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167C852A" wp14:editId="420D52F5">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8029F"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351D20"/>
    <w:multiLevelType w:val="hybridMultilevel"/>
    <w:tmpl w:val="2422B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65E22"/>
    <w:multiLevelType w:val="hybridMultilevel"/>
    <w:tmpl w:val="F5649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426929"/>
    <w:multiLevelType w:val="hybridMultilevel"/>
    <w:tmpl w:val="3168F0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824D90"/>
    <w:multiLevelType w:val="hybridMultilevel"/>
    <w:tmpl w:val="49FA542A"/>
    <w:lvl w:ilvl="0" w:tplc="50DC8AE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7"/>
  </w:num>
  <w:num w:numId="2" w16cid:durableId="1628733159">
    <w:abstractNumId w:val="16"/>
  </w:num>
  <w:num w:numId="3" w16cid:durableId="711731341">
    <w:abstractNumId w:val="8"/>
  </w:num>
  <w:num w:numId="4" w16cid:durableId="1436561901">
    <w:abstractNumId w:val="25"/>
  </w:num>
  <w:num w:numId="5" w16cid:durableId="1156847074">
    <w:abstractNumId w:val="23"/>
  </w:num>
  <w:num w:numId="6" w16cid:durableId="1155954015">
    <w:abstractNumId w:val="2"/>
  </w:num>
  <w:num w:numId="7" w16cid:durableId="1091776263">
    <w:abstractNumId w:val="11"/>
  </w:num>
  <w:num w:numId="8" w16cid:durableId="1633704499">
    <w:abstractNumId w:val="27"/>
  </w:num>
  <w:num w:numId="9" w16cid:durableId="1932427064">
    <w:abstractNumId w:val="0"/>
  </w:num>
  <w:num w:numId="10" w16cid:durableId="201141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6"/>
  </w:num>
  <w:num w:numId="12" w16cid:durableId="1240407289">
    <w:abstractNumId w:val="7"/>
  </w:num>
  <w:num w:numId="13" w16cid:durableId="1731424097">
    <w:abstractNumId w:val="24"/>
  </w:num>
  <w:num w:numId="14" w16cid:durableId="145362921">
    <w:abstractNumId w:val="28"/>
  </w:num>
  <w:num w:numId="15" w16cid:durableId="1957634379">
    <w:abstractNumId w:val="13"/>
  </w:num>
  <w:num w:numId="16" w16cid:durableId="1452475107">
    <w:abstractNumId w:val="10"/>
  </w:num>
  <w:num w:numId="17" w16cid:durableId="1564562117">
    <w:abstractNumId w:val="5"/>
  </w:num>
  <w:num w:numId="18" w16cid:durableId="1855339154">
    <w:abstractNumId w:val="1"/>
  </w:num>
  <w:num w:numId="19" w16cid:durableId="914241918">
    <w:abstractNumId w:val="14"/>
  </w:num>
  <w:num w:numId="20" w16cid:durableId="777454268">
    <w:abstractNumId w:val="21"/>
  </w:num>
  <w:num w:numId="21" w16cid:durableId="511647331">
    <w:abstractNumId w:val="26"/>
  </w:num>
  <w:num w:numId="22" w16cid:durableId="456068170">
    <w:abstractNumId w:val="20"/>
  </w:num>
  <w:num w:numId="23" w16cid:durableId="1919904274">
    <w:abstractNumId w:val="18"/>
  </w:num>
  <w:num w:numId="24" w16cid:durableId="1359895808">
    <w:abstractNumId w:val="9"/>
  </w:num>
  <w:num w:numId="25" w16cid:durableId="3824050">
    <w:abstractNumId w:val="3"/>
  </w:num>
  <w:num w:numId="26" w16cid:durableId="1651060654">
    <w:abstractNumId w:val="22"/>
  </w:num>
  <w:num w:numId="27" w16cid:durableId="1579942176">
    <w:abstractNumId w:val="15"/>
  </w:num>
  <w:num w:numId="28" w16cid:durableId="1921793692">
    <w:abstractNumId w:val="4"/>
  </w:num>
  <w:num w:numId="29" w16cid:durableId="12056063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8E"/>
    <w:rsid w:val="0000112E"/>
    <w:rsid w:val="00035422"/>
    <w:rsid w:val="0005056A"/>
    <w:rsid w:val="00054636"/>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30B8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01C7"/>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5D37"/>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7ACB380C"/>
  <w15:docId w15:val="{08907AE7-51CC-438B-B1EB-11A569CC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8EF"/>
    <w:rPr>
      <w:rFonts w:ascii="Calibri" w:hAnsi="Calibri" w:cs="Times New Roman"/>
      <w:sz w:val="22"/>
      <w:szCs w:val="2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uiPriority w:val="99"/>
    <w:semiHidden/>
    <w:unhideWhenUsed/>
    <w:rsid w:val="000C502F"/>
    <w:rPr>
      <w:sz w:val="16"/>
      <w:szCs w:val="16"/>
    </w:rPr>
  </w:style>
  <w:style w:type="paragraph" w:styleId="CommentText">
    <w:name w:val="annotation text"/>
    <w:basedOn w:val="Normal"/>
    <w:link w:val="CommentTextChar"/>
    <w:semiHidden/>
    <w:unhideWhenUsed/>
    <w:rsid w:val="000C502F"/>
    <w:rPr>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table" w:customStyle="1" w:styleId="ListTable2-Accent11">
    <w:name w:val="List Table 2 - Accent 11"/>
    <w:basedOn w:val="TableNormal"/>
    <w:next w:val="ListTable2-Accent1"/>
    <w:uiPriority w:val="47"/>
    <w:rsid w:val="00230B8E"/>
    <w:rPr>
      <w:kern w:val="2"/>
      <w:sz w:val="22"/>
      <w:szCs w:val="22"/>
      <w14:ligatures w14:val="standardContextual"/>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1">
    <w:name w:val="List Table 2 Accent 1"/>
    <w:basedOn w:val="TableNormal"/>
    <w:uiPriority w:val="47"/>
    <w:rsid w:val="00230B8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11</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4</cp:revision>
  <cp:lastPrinted>2016-09-14T15:20:00Z</cp:lastPrinted>
  <dcterms:created xsi:type="dcterms:W3CDTF">2024-12-21T02:06:00Z</dcterms:created>
  <dcterms:modified xsi:type="dcterms:W3CDTF">2024-12-21T02:55:00Z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