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AB" w:rsidRPr="004259AB" w:rsidRDefault="004259AB" w:rsidP="004259AB">
      <w:pPr>
        <w:jc w:val="center"/>
        <w:rPr>
          <w:rFonts w:asciiTheme="minorHAnsi" w:hAnsiTheme="minorHAnsi" w:cstheme="minorHAnsi"/>
          <w:b/>
          <w:sz w:val="28"/>
          <w:szCs w:val="28"/>
        </w:rPr>
      </w:pPr>
      <w:bookmarkStart w:id="0" w:name="_Toc531244067"/>
      <w:r w:rsidRPr="004259AB">
        <w:rPr>
          <w:rFonts w:asciiTheme="minorHAnsi" w:hAnsiTheme="minorHAnsi" w:cstheme="minorHAnsi"/>
          <w:b/>
          <w:sz w:val="28"/>
          <w:szCs w:val="28"/>
        </w:rPr>
        <w:t>Colorado Sex Offender Management Board (SOMB)</w:t>
      </w:r>
    </w:p>
    <w:p w:rsidR="004259AB" w:rsidRPr="004259AB" w:rsidRDefault="004259AB" w:rsidP="004259AB">
      <w:pPr>
        <w:jc w:val="center"/>
        <w:rPr>
          <w:rFonts w:asciiTheme="minorHAnsi" w:hAnsiTheme="minorHAnsi" w:cstheme="minorHAnsi"/>
          <w:b/>
          <w:sz w:val="28"/>
          <w:szCs w:val="28"/>
        </w:rPr>
      </w:pPr>
      <w:r w:rsidRPr="004259AB">
        <w:rPr>
          <w:rFonts w:asciiTheme="minorHAnsi" w:hAnsiTheme="minorHAnsi" w:cstheme="minorHAnsi"/>
          <w:b/>
          <w:sz w:val="28"/>
          <w:szCs w:val="28"/>
        </w:rPr>
        <w:t>Proposed Language Regarding Clients who have Filed an Appeal</w:t>
      </w:r>
    </w:p>
    <w:p w:rsidR="004259AB" w:rsidRPr="004259AB" w:rsidRDefault="004259AB" w:rsidP="004259AB">
      <w:pPr>
        <w:jc w:val="center"/>
        <w:rPr>
          <w:rFonts w:asciiTheme="minorHAnsi" w:hAnsiTheme="minorHAnsi" w:cstheme="minorHAnsi"/>
          <w:b/>
          <w:i/>
          <w:sz w:val="28"/>
          <w:szCs w:val="28"/>
        </w:rPr>
      </w:pPr>
      <w:r w:rsidRPr="004259AB">
        <w:rPr>
          <w:rFonts w:asciiTheme="minorHAnsi" w:hAnsiTheme="minorHAnsi" w:cstheme="minorHAnsi"/>
          <w:b/>
          <w:i/>
          <w:sz w:val="28"/>
          <w:szCs w:val="28"/>
        </w:rPr>
        <w:t>Standards and Guidelines for the Assessment, Evaluation, Treatment and Behavioral Monitoring of Adult Sex Offenders</w:t>
      </w:r>
    </w:p>
    <w:p w:rsidR="004259AB" w:rsidRDefault="00FD69E2" w:rsidP="004259AB">
      <w:pPr>
        <w:jc w:val="center"/>
        <w:rPr>
          <w:rFonts w:asciiTheme="minorHAnsi" w:hAnsiTheme="minorHAnsi" w:cstheme="minorHAnsi"/>
          <w:b/>
          <w:sz w:val="28"/>
          <w:szCs w:val="28"/>
        </w:rPr>
      </w:pPr>
      <w:r>
        <w:rPr>
          <w:rFonts w:asciiTheme="minorHAnsi" w:hAnsiTheme="minorHAnsi" w:cstheme="minorHAnsi"/>
          <w:b/>
          <w:sz w:val="28"/>
          <w:szCs w:val="28"/>
        </w:rPr>
        <w:t xml:space="preserve">Approved by the SOMB on </w:t>
      </w:r>
      <w:r w:rsidR="001F7E34">
        <w:rPr>
          <w:rFonts w:asciiTheme="minorHAnsi" w:hAnsiTheme="minorHAnsi" w:cstheme="minorHAnsi"/>
          <w:b/>
          <w:sz w:val="28"/>
          <w:szCs w:val="28"/>
        </w:rPr>
        <w:t>September 20</w:t>
      </w:r>
      <w:r w:rsidR="004259AB" w:rsidRPr="004259AB">
        <w:rPr>
          <w:rFonts w:asciiTheme="minorHAnsi" w:hAnsiTheme="minorHAnsi" w:cstheme="minorHAnsi"/>
          <w:b/>
          <w:sz w:val="28"/>
          <w:szCs w:val="28"/>
        </w:rPr>
        <w:t>, 2019</w:t>
      </w:r>
    </w:p>
    <w:p w:rsidR="004259AB" w:rsidRPr="004259AB" w:rsidRDefault="004259AB" w:rsidP="004259AB">
      <w:pPr>
        <w:jc w:val="center"/>
        <w:rPr>
          <w:rFonts w:asciiTheme="minorHAnsi" w:hAnsiTheme="minorHAnsi" w:cstheme="minorHAnsi"/>
        </w:rPr>
      </w:pPr>
      <w:r>
        <w:rPr>
          <w:rFonts w:asciiTheme="minorHAnsi" w:hAnsiTheme="minorHAnsi" w:cstheme="minorHAnsi"/>
          <w:b/>
          <w:sz w:val="28"/>
          <w:szCs w:val="28"/>
        </w:rPr>
        <w:t>___________________________________________________________________</w:t>
      </w:r>
    </w:p>
    <w:p w:rsidR="00A50760" w:rsidRPr="006538EC" w:rsidRDefault="00A50760" w:rsidP="00A50760">
      <w:pPr>
        <w:pStyle w:val="CO-Headline2"/>
      </w:pPr>
      <w:r w:rsidRPr="006538EC">
        <w:t>3.</w:t>
      </w:r>
      <w:bookmarkStart w:id="1" w:name="THREE"/>
      <w:bookmarkEnd w:id="1"/>
      <w:r w:rsidRPr="006538EC">
        <w:t>000 Standards of Practice for Treatment Providers</w:t>
      </w:r>
      <w:bookmarkEnd w:id="0"/>
    </w:p>
    <w:p w:rsidR="00A50760" w:rsidRDefault="00A50760" w:rsidP="00A50760">
      <w:pPr>
        <w:pStyle w:val="BodyText"/>
        <w:rPr>
          <w:rFonts w:ascii="MuseoSlab-500"/>
        </w:rPr>
      </w:pPr>
      <w:r>
        <w:rPr>
          <w:rFonts w:ascii="Trebuchet MS"/>
          <w:noProof/>
          <w:sz w:val="19"/>
        </w:rPr>
        <mc:AlternateContent>
          <mc:Choice Requires="wps">
            <w:drawing>
              <wp:anchor distT="0" distB="0" distL="0" distR="0" simplePos="0" relativeHeight="251659264" behindDoc="0" locked="0" layoutInCell="1" allowOverlap="1" wp14:anchorId="6C3DAAC2" wp14:editId="14CCB30A">
                <wp:simplePos x="0" y="0"/>
                <wp:positionH relativeFrom="page">
                  <wp:posOffset>685800</wp:posOffset>
                </wp:positionH>
                <wp:positionV relativeFrom="paragraph">
                  <wp:posOffset>173990</wp:posOffset>
                </wp:positionV>
                <wp:extent cx="6184900" cy="0"/>
                <wp:effectExtent l="0" t="0" r="25400" b="190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4900" cy="0"/>
                        </a:xfrm>
                        <a:prstGeom prst="line">
                          <a:avLst/>
                        </a:prstGeom>
                        <a:noFill/>
                        <a:ln w="15875" cap="rnd">
                          <a:solidFill>
                            <a:srgbClr val="6F798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1D935" id="Straight Connector 16"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7pt" to="5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" strokecolor="#6f7983" strokeweight="1.25pt">
                <v:stroke dashstyle="1 1" endcap="round"/>
                <w10:wrap type="topAndBottom" anchorx="page"/>
              </v:line>
            </w:pict>
          </mc:Fallback>
        </mc:AlternateContent>
      </w:r>
    </w:p>
    <w:p w:rsidR="005048DC" w:rsidRPr="008350EA" w:rsidRDefault="005048DC" w:rsidP="00CF21E4">
      <w:pPr>
        <w:ind w:left="360"/>
        <w:rPr>
          <w:rFonts w:ascii="Arial" w:hAnsi="Arial" w:cs="Arial"/>
          <w:i/>
          <w:iCs/>
          <w:color w:val="FF0000"/>
          <w:sz w:val="22"/>
          <w:szCs w:val="22"/>
        </w:rPr>
      </w:pPr>
    </w:p>
    <w:p w:rsidR="00CF21E4" w:rsidRPr="00FD69E2" w:rsidRDefault="00CF21E4" w:rsidP="00CF21E4">
      <w:pPr>
        <w:pStyle w:val="ListParagraph"/>
        <w:numPr>
          <w:ilvl w:val="1"/>
          <w:numId w:val="27"/>
        </w:numPr>
        <w:ind w:hanging="720"/>
        <w:rPr>
          <w:rFonts w:ascii="Trebuchet MS" w:hAnsi="Trebuchet MS" w:cs="Arial"/>
          <w:b/>
          <w:i/>
          <w:sz w:val="22"/>
          <w:szCs w:val="22"/>
        </w:rPr>
      </w:pPr>
      <w:r w:rsidRPr="00FD69E2">
        <w:rPr>
          <w:rFonts w:ascii="Trebuchet MS" w:hAnsi="Trebuchet MS" w:cs="Arial"/>
          <w:b/>
          <w:i/>
          <w:sz w:val="22"/>
          <w:szCs w:val="22"/>
        </w:rPr>
        <w:t>Clients who Have Filed an Appeal of their Conviction or Sentence</w:t>
      </w:r>
    </w:p>
    <w:p w:rsidR="00CF21E4" w:rsidRPr="00FD69E2" w:rsidRDefault="00CF21E4" w:rsidP="00CF21E4">
      <w:pPr>
        <w:ind w:left="-180"/>
        <w:rPr>
          <w:rFonts w:ascii="Arial" w:hAnsi="Arial" w:cs="Arial"/>
          <w:b/>
          <w:i/>
        </w:rPr>
      </w:pPr>
    </w:p>
    <w:p w:rsidR="00CF21E4" w:rsidRPr="00FD69E2" w:rsidRDefault="004E5B2F" w:rsidP="00CF21E4">
      <w:pPr>
        <w:ind w:left="720"/>
        <w:rPr>
          <w:rFonts w:ascii="Trebuchet MS" w:hAnsi="Trebuchet MS" w:cs="Arial"/>
          <w:sz w:val="22"/>
          <w:szCs w:val="22"/>
        </w:rPr>
      </w:pPr>
      <w:r w:rsidRPr="00FD69E2">
        <w:rPr>
          <w:rFonts w:ascii="Trebuchet MS" w:hAnsi="Trebuchet MS" w:cs="Arial"/>
          <w:sz w:val="22"/>
          <w:szCs w:val="22"/>
        </w:rPr>
        <w:t xml:space="preserve">Where a court or the parole board has ordered a client to participate in treatment, and the client has subsequently filed a direct or post-conviction appeal of the sex crime conviction, the client may assert a right against self-incrimination such that the client cannot comply with certain requirements outlined in the SOMB Standards and Guidelines (see section 3.160). </w:t>
      </w:r>
      <w:r w:rsidR="00CF21E4" w:rsidRPr="00FD69E2">
        <w:rPr>
          <w:rFonts w:ascii="Trebuchet MS" w:hAnsi="Trebuchet MS" w:cs="Arial"/>
          <w:sz w:val="22"/>
          <w:szCs w:val="22"/>
        </w:rPr>
        <w:t>In such cases, the treatment provider shall:</w:t>
      </w:r>
    </w:p>
    <w:p w:rsidR="00CF21E4" w:rsidRPr="00FD69E2" w:rsidRDefault="00CF21E4" w:rsidP="00CF21E4">
      <w:pPr>
        <w:ind w:left="720"/>
        <w:rPr>
          <w:rFonts w:ascii="Trebuchet MS" w:hAnsi="Trebuchet MS" w:cs="Arial"/>
          <w:b/>
          <w:sz w:val="22"/>
          <w:szCs w:val="22"/>
        </w:rPr>
      </w:pPr>
    </w:p>
    <w:p w:rsidR="00D5639A" w:rsidRPr="00FD69E2" w:rsidRDefault="00D5639A" w:rsidP="00D5639A">
      <w:pPr>
        <w:pStyle w:val="ListParagraph"/>
        <w:numPr>
          <w:ilvl w:val="0"/>
          <w:numId w:val="31"/>
        </w:numPr>
        <w:spacing w:after="200" w:line="276" w:lineRule="auto"/>
        <w:rPr>
          <w:rFonts w:ascii="Trebuchet MS" w:hAnsi="Trebuchet MS"/>
          <w:sz w:val="22"/>
          <w:szCs w:val="22"/>
        </w:rPr>
      </w:pPr>
      <w:r w:rsidRPr="00FD69E2">
        <w:rPr>
          <w:rFonts w:ascii="Trebuchet MS" w:hAnsi="Trebuchet MS"/>
          <w:sz w:val="22"/>
          <w:szCs w:val="22"/>
        </w:rPr>
        <w:t>Obtain verification that a direct, or post-conviction appeal</w:t>
      </w:r>
      <w:r w:rsidR="0007064D" w:rsidRPr="00FD69E2">
        <w:rPr>
          <w:rFonts w:ascii="Trebuchet MS" w:hAnsi="Trebuchet MS"/>
          <w:sz w:val="22"/>
          <w:szCs w:val="22"/>
        </w:rPr>
        <w:t>, or post-conviction motion</w:t>
      </w:r>
      <w:r w:rsidRPr="00FD69E2">
        <w:rPr>
          <w:rFonts w:ascii="Trebuchet MS" w:hAnsi="Trebuchet MS"/>
          <w:sz w:val="22"/>
          <w:szCs w:val="22"/>
        </w:rPr>
        <w:t xml:space="preserve"> has been filed</w:t>
      </w:r>
    </w:p>
    <w:p w:rsidR="003775E6" w:rsidRPr="00FD69E2" w:rsidRDefault="003775E6" w:rsidP="003775E6">
      <w:pPr>
        <w:pStyle w:val="ListParagraph"/>
        <w:spacing w:after="200" w:line="276" w:lineRule="auto"/>
        <w:ind w:left="1080"/>
        <w:rPr>
          <w:rFonts w:ascii="Trebuchet MS" w:hAnsi="Trebuchet MS"/>
          <w:sz w:val="22"/>
          <w:szCs w:val="22"/>
        </w:rPr>
      </w:pPr>
    </w:p>
    <w:p w:rsidR="00D5639A" w:rsidRPr="00FD69E2" w:rsidRDefault="00AB265D" w:rsidP="00D5639A">
      <w:pPr>
        <w:pStyle w:val="ListParagraph"/>
        <w:numPr>
          <w:ilvl w:val="0"/>
          <w:numId w:val="31"/>
        </w:numPr>
        <w:spacing w:after="200" w:line="276" w:lineRule="auto"/>
        <w:rPr>
          <w:rFonts w:ascii="Trebuchet MS" w:hAnsi="Trebuchet MS"/>
          <w:sz w:val="22"/>
          <w:szCs w:val="22"/>
        </w:rPr>
      </w:pPr>
      <w:r w:rsidRPr="00FD69E2">
        <w:rPr>
          <w:rFonts w:ascii="Trebuchet MS" w:hAnsi="Trebuchet MS"/>
          <w:sz w:val="22"/>
          <w:szCs w:val="22"/>
        </w:rPr>
        <w:t>Determine if a Use I</w:t>
      </w:r>
      <w:r w:rsidR="00D5639A" w:rsidRPr="00FD69E2">
        <w:rPr>
          <w:rFonts w:ascii="Trebuchet MS" w:hAnsi="Trebuchet MS"/>
          <w:sz w:val="22"/>
          <w:szCs w:val="22"/>
        </w:rPr>
        <w:t xml:space="preserve">mmunity agreement has been requested </w:t>
      </w:r>
      <w:r w:rsidR="00FA7A98" w:rsidRPr="00FD69E2">
        <w:rPr>
          <w:rFonts w:ascii="Trebuchet MS" w:hAnsi="Trebuchet MS"/>
          <w:sz w:val="22"/>
          <w:szCs w:val="22"/>
        </w:rPr>
        <w:t xml:space="preserve">by the client </w:t>
      </w:r>
      <w:r w:rsidR="005048DC" w:rsidRPr="00FD69E2">
        <w:rPr>
          <w:rFonts w:ascii="Trebuchet MS" w:hAnsi="Trebuchet MS"/>
          <w:sz w:val="22"/>
          <w:szCs w:val="22"/>
        </w:rPr>
        <w:t>or</w:t>
      </w:r>
      <w:r w:rsidR="004E5B2F" w:rsidRPr="00FD69E2">
        <w:rPr>
          <w:rFonts w:ascii="Trebuchet MS" w:hAnsi="Trebuchet MS"/>
          <w:sz w:val="22"/>
          <w:szCs w:val="22"/>
        </w:rPr>
        <w:t xml:space="preserve"> denied</w:t>
      </w:r>
      <w:r w:rsidR="00D5639A" w:rsidRPr="00FD69E2">
        <w:rPr>
          <w:rFonts w:ascii="Trebuchet MS" w:hAnsi="Trebuchet MS"/>
          <w:sz w:val="22"/>
          <w:szCs w:val="22"/>
        </w:rPr>
        <w:t xml:space="preserve"> by the prosecuting attorney (see Appendix </w:t>
      </w:r>
      <w:r w:rsidR="003775E6" w:rsidRPr="00FD69E2">
        <w:rPr>
          <w:rFonts w:ascii="Trebuchet MS" w:hAnsi="Trebuchet MS"/>
          <w:sz w:val="22"/>
          <w:szCs w:val="22"/>
        </w:rPr>
        <w:t>xx</w:t>
      </w:r>
      <w:r w:rsidR="00D5639A" w:rsidRPr="00FD69E2">
        <w:rPr>
          <w:rFonts w:ascii="Trebuchet MS" w:hAnsi="Trebuchet MS"/>
          <w:sz w:val="22"/>
          <w:szCs w:val="22"/>
        </w:rPr>
        <w:t xml:space="preserve"> for additional information regarding Use Immunity</w:t>
      </w:r>
      <w:r w:rsidR="00FD69E2">
        <w:rPr>
          <w:rFonts w:ascii="Trebuchet MS" w:hAnsi="Trebuchet MS"/>
          <w:sz w:val="22"/>
          <w:szCs w:val="22"/>
        </w:rPr>
        <w:t xml:space="preserve"> – Note, </w:t>
      </w:r>
      <w:bookmarkStart w:id="2" w:name="_GoBack"/>
      <w:bookmarkEnd w:id="2"/>
      <w:r w:rsidR="00FD69E2">
        <w:rPr>
          <w:rFonts w:ascii="Trebuchet MS" w:hAnsi="Trebuchet MS"/>
          <w:sz w:val="22"/>
          <w:szCs w:val="22"/>
        </w:rPr>
        <w:t>this Appendix is still being revised</w:t>
      </w:r>
      <w:r w:rsidR="00D5639A" w:rsidRPr="00FD69E2">
        <w:rPr>
          <w:rFonts w:ascii="Trebuchet MS" w:hAnsi="Trebuchet MS"/>
          <w:sz w:val="22"/>
          <w:szCs w:val="22"/>
        </w:rPr>
        <w:t>)</w:t>
      </w:r>
      <w:r w:rsidRPr="00FD69E2">
        <w:rPr>
          <w:rFonts w:ascii="Trebuchet MS" w:hAnsi="Trebuchet MS"/>
          <w:sz w:val="22"/>
          <w:szCs w:val="22"/>
        </w:rPr>
        <w:t>.</w:t>
      </w:r>
    </w:p>
    <w:p w:rsidR="00AB265D" w:rsidRPr="00FD69E2" w:rsidRDefault="00AB265D" w:rsidP="00AB265D">
      <w:pPr>
        <w:pStyle w:val="ListParagraph"/>
        <w:rPr>
          <w:rFonts w:ascii="Trebuchet MS" w:hAnsi="Trebuchet MS"/>
          <w:sz w:val="22"/>
          <w:szCs w:val="22"/>
        </w:rPr>
      </w:pPr>
    </w:p>
    <w:p w:rsidR="00D5639A" w:rsidRPr="00FD69E2" w:rsidRDefault="00AB265D" w:rsidP="00D5639A">
      <w:pPr>
        <w:pStyle w:val="ListParagraph"/>
        <w:numPr>
          <w:ilvl w:val="1"/>
          <w:numId w:val="31"/>
        </w:numPr>
        <w:spacing w:after="200" w:line="276" w:lineRule="auto"/>
        <w:rPr>
          <w:rFonts w:ascii="Trebuchet MS" w:hAnsi="Trebuchet MS"/>
          <w:sz w:val="22"/>
          <w:szCs w:val="22"/>
        </w:rPr>
      </w:pPr>
      <w:r w:rsidRPr="00FD69E2">
        <w:rPr>
          <w:rFonts w:ascii="Trebuchet MS" w:hAnsi="Trebuchet MS"/>
          <w:sz w:val="22"/>
          <w:szCs w:val="22"/>
        </w:rPr>
        <w:t>If a Use I</w:t>
      </w:r>
      <w:r w:rsidR="00D5639A" w:rsidRPr="00FD69E2">
        <w:rPr>
          <w:rFonts w:ascii="Trebuchet MS" w:hAnsi="Trebuchet MS"/>
          <w:sz w:val="22"/>
          <w:szCs w:val="22"/>
        </w:rPr>
        <w:t>mmunity agreement has been offered by the prosecuting attorney</w:t>
      </w:r>
      <w:r w:rsidRPr="00FD69E2">
        <w:rPr>
          <w:rFonts w:ascii="Trebuchet MS" w:hAnsi="Trebuchet MS"/>
          <w:sz w:val="22"/>
          <w:szCs w:val="22"/>
        </w:rPr>
        <w:t>,</w:t>
      </w:r>
      <w:r w:rsidR="00D5639A" w:rsidRPr="00FD69E2">
        <w:rPr>
          <w:rFonts w:ascii="Trebuchet MS" w:hAnsi="Trebuchet MS"/>
          <w:sz w:val="22"/>
          <w:szCs w:val="22"/>
        </w:rPr>
        <w:t xml:space="preserve"> the </w:t>
      </w:r>
      <w:r w:rsidR="00D5639A" w:rsidRPr="00FD69E2">
        <w:rPr>
          <w:rFonts w:ascii="Trebuchet MS" w:hAnsi="Trebuchet MS"/>
          <w:i/>
          <w:sz w:val="22"/>
          <w:szCs w:val="22"/>
        </w:rPr>
        <w:t>Standards and Guidelines</w:t>
      </w:r>
      <w:r w:rsidR="00D5639A" w:rsidRPr="00FD69E2">
        <w:rPr>
          <w:rFonts w:ascii="Trebuchet MS" w:hAnsi="Trebuchet MS"/>
          <w:sz w:val="22"/>
          <w:szCs w:val="22"/>
        </w:rPr>
        <w:t xml:space="preserve"> shall be followed as written.</w:t>
      </w:r>
    </w:p>
    <w:p w:rsidR="00D5639A" w:rsidRPr="00FD69E2" w:rsidRDefault="00D5639A" w:rsidP="00D5639A">
      <w:pPr>
        <w:pStyle w:val="ListParagraph"/>
        <w:spacing w:after="200" w:line="276" w:lineRule="auto"/>
        <w:ind w:left="1440"/>
        <w:rPr>
          <w:rFonts w:ascii="Trebuchet MS" w:hAnsi="Trebuchet MS"/>
          <w:sz w:val="22"/>
          <w:szCs w:val="22"/>
        </w:rPr>
      </w:pPr>
    </w:p>
    <w:p w:rsidR="00D5639A" w:rsidRPr="00FD69E2" w:rsidRDefault="00AB265D" w:rsidP="00AB265D">
      <w:pPr>
        <w:pStyle w:val="ListParagraph"/>
        <w:numPr>
          <w:ilvl w:val="1"/>
          <w:numId w:val="31"/>
        </w:numPr>
        <w:spacing w:after="200" w:line="276" w:lineRule="auto"/>
        <w:rPr>
          <w:rFonts w:ascii="Trebuchet MS" w:hAnsi="Trebuchet MS"/>
          <w:sz w:val="22"/>
          <w:szCs w:val="22"/>
        </w:rPr>
      </w:pPr>
      <w:r w:rsidRPr="00FD69E2">
        <w:rPr>
          <w:rFonts w:ascii="Trebuchet MS" w:hAnsi="Trebuchet MS"/>
          <w:sz w:val="22"/>
          <w:szCs w:val="22"/>
        </w:rPr>
        <w:t>If a Use I</w:t>
      </w:r>
      <w:r w:rsidR="00D5639A" w:rsidRPr="00FD69E2">
        <w:rPr>
          <w:rFonts w:ascii="Trebuchet MS" w:hAnsi="Trebuchet MS"/>
          <w:sz w:val="22"/>
          <w:szCs w:val="22"/>
        </w:rPr>
        <w:t>mmunity agreement has been denied by the prosecuting attorney</w:t>
      </w:r>
      <w:r w:rsidRPr="00FD69E2">
        <w:rPr>
          <w:rFonts w:ascii="Trebuchet MS" w:hAnsi="Trebuchet MS"/>
          <w:sz w:val="22"/>
          <w:szCs w:val="22"/>
        </w:rPr>
        <w:t>,</w:t>
      </w:r>
      <w:r w:rsidR="00D5639A" w:rsidRPr="00FD69E2">
        <w:rPr>
          <w:rFonts w:ascii="Trebuchet MS" w:hAnsi="Trebuchet MS"/>
          <w:sz w:val="22"/>
          <w:szCs w:val="22"/>
        </w:rPr>
        <w:t xml:space="preserve"> treatment may be modified to include postponement of treatment work regarding the crime of conviction until such time the appeal has been concluded. This may include:</w:t>
      </w:r>
    </w:p>
    <w:p w:rsidR="00AB265D" w:rsidRPr="00FD69E2" w:rsidRDefault="00AB265D" w:rsidP="00AB265D">
      <w:pPr>
        <w:pStyle w:val="ListParagraph"/>
        <w:rPr>
          <w:rFonts w:ascii="Trebuchet MS" w:hAnsi="Trebuchet MS"/>
          <w:sz w:val="22"/>
          <w:szCs w:val="22"/>
        </w:rPr>
      </w:pPr>
    </w:p>
    <w:p w:rsidR="00D5639A" w:rsidRPr="00FD69E2" w:rsidRDefault="00D5639A" w:rsidP="00D5639A">
      <w:pPr>
        <w:pStyle w:val="ListParagraph"/>
        <w:numPr>
          <w:ilvl w:val="2"/>
          <w:numId w:val="31"/>
        </w:numPr>
        <w:spacing w:after="200" w:line="276" w:lineRule="auto"/>
        <w:rPr>
          <w:rFonts w:ascii="Trebuchet MS" w:hAnsi="Trebuchet MS"/>
          <w:sz w:val="22"/>
          <w:szCs w:val="22"/>
        </w:rPr>
      </w:pPr>
      <w:r w:rsidRPr="00FD69E2">
        <w:rPr>
          <w:rFonts w:ascii="Trebuchet MS" w:hAnsi="Trebuchet MS"/>
          <w:sz w:val="22"/>
          <w:szCs w:val="22"/>
        </w:rPr>
        <w:t xml:space="preserve">Not discussing the crime of conviction </w:t>
      </w:r>
    </w:p>
    <w:p w:rsidR="00D5639A" w:rsidRPr="00FD69E2" w:rsidRDefault="00D5639A" w:rsidP="00D5639A">
      <w:pPr>
        <w:pStyle w:val="ListParagraph"/>
        <w:numPr>
          <w:ilvl w:val="2"/>
          <w:numId w:val="31"/>
        </w:numPr>
        <w:spacing w:after="200" w:line="276" w:lineRule="auto"/>
        <w:rPr>
          <w:rFonts w:ascii="Trebuchet MS" w:hAnsi="Trebuchet MS"/>
          <w:sz w:val="22"/>
          <w:szCs w:val="22"/>
        </w:rPr>
      </w:pPr>
      <w:r w:rsidRPr="00FD69E2">
        <w:rPr>
          <w:rFonts w:ascii="Trebuchet MS" w:hAnsi="Trebuchet MS"/>
          <w:sz w:val="22"/>
          <w:szCs w:val="22"/>
        </w:rPr>
        <w:t>Not completing clarification work specific to the crime of conviction</w:t>
      </w:r>
    </w:p>
    <w:p w:rsidR="00D5639A" w:rsidRPr="00FD69E2" w:rsidRDefault="00D5639A" w:rsidP="00AB265D">
      <w:pPr>
        <w:spacing w:line="276" w:lineRule="auto"/>
        <w:ind w:left="1800"/>
        <w:rPr>
          <w:rFonts w:ascii="Trebuchet MS" w:hAnsi="Trebuchet MS"/>
          <w:sz w:val="22"/>
          <w:szCs w:val="22"/>
        </w:rPr>
      </w:pPr>
      <w:r w:rsidRPr="00FD69E2">
        <w:rPr>
          <w:rFonts w:ascii="Trebuchet MS" w:hAnsi="Trebuchet MS"/>
          <w:sz w:val="22"/>
          <w:szCs w:val="22"/>
        </w:rPr>
        <w:t xml:space="preserve">The treatment provider shall require the client to adhere to all other components of treatment per these </w:t>
      </w:r>
      <w:r w:rsidRPr="00FD69E2">
        <w:rPr>
          <w:rFonts w:ascii="Trebuchet MS" w:hAnsi="Trebuchet MS"/>
          <w:i/>
          <w:sz w:val="22"/>
          <w:szCs w:val="22"/>
        </w:rPr>
        <w:t xml:space="preserve">Standards and Guidelines. </w:t>
      </w:r>
      <w:r w:rsidRPr="00FD69E2">
        <w:rPr>
          <w:rFonts w:ascii="Trebuchet MS" w:hAnsi="Trebuchet MS"/>
          <w:sz w:val="22"/>
          <w:szCs w:val="22"/>
        </w:rPr>
        <w:t xml:space="preserve">The treatment provider shall also notify the Application Review Committee </w:t>
      </w:r>
      <w:r w:rsidRPr="00FD69E2">
        <w:rPr>
          <w:rFonts w:ascii="Trebuchet MS" w:hAnsi="Trebuchet MS"/>
          <w:sz w:val="22"/>
          <w:szCs w:val="22"/>
        </w:rPr>
        <w:lastRenderedPageBreak/>
        <w:t>(ARC) of the SOMB regarding the modification and submit updates regarding the status to ARC every six (6) months.</w:t>
      </w:r>
    </w:p>
    <w:p w:rsidR="00D5639A" w:rsidRPr="00FD69E2" w:rsidRDefault="00D5639A" w:rsidP="00D5639A">
      <w:pPr>
        <w:ind w:left="1440"/>
        <w:rPr>
          <w:rFonts w:ascii="Trebuchet MS" w:hAnsi="Trebuchet MS"/>
          <w:sz w:val="22"/>
          <w:szCs w:val="22"/>
        </w:rPr>
      </w:pPr>
    </w:p>
    <w:p w:rsidR="00D5639A" w:rsidRPr="00FD69E2" w:rsidRDefault="00D5639A" w:rsidP="00D5639A">
      <w:pPr>
        <w:pStyle w:val="ListParagraph"/>
        <w:numPr>
          <w:ilvl w:val="1"/>
          <w:numId w:val="31"/>
        </w:numPr>
        <w:spacing w:after="200" w:line="276" w:lineRule="auto"/>
        <w:rPr>
          <w:rFonts w:ascii="Trebuchet MS" w:hAnsi="Trebuchet MS"/>
          <w:sz w:val="22"/>
          <w:szCs w:val="22"/>
        </w:rPr>
      </w:pPr>
      <w:r w:rsidRPr="00FD69E2">
        <w:rPr>
          <w:rFonts w:ascii="Trebuchet MS" w:hAnsi="Trebuchet MS"/>
          <w:sz w:val="22"/>
          <w:szCs w:val="22"/>
        </w:rPr>
        <w:t xml:space="preserve">If a use immunity agreement has not been requested or there is no verification of whether or </w:t>
      </w:r>
      <w:r w:rsidR="00AB265D" w:rsidRPr="00FD69E2">
        <w:rPr>
          <w:rFonts w:ascii="Trebuchet MS" w:hAnsi="Trebuchet MS"/>
          <w:sz w:val="22"/>
          <w:szCs w:val="22"/>
        </w:rPr>
        <w:t>not a Use I</w:t>
      </w:r>
      <w:r w:rsidRPr="00FD69E2">
        <w:rPr>
          <w:rFonts w:ascii="Trebuchet MS" w:hAnsi="Trebuchet MS"/>
          <w:sz w:val="22"/>
          <w:szCs w:val="22"/>
        </w:rPr>
        <w:t xml:space="preserve">mmunity agreement has been offered, the treatment provider shall submit a variance to the SOMB prior to modifying the requirements of treatment outlined in these </w:t>
      </w:r>
      <w:r w:rsidRPr="00FD69E2">
        <w:rPr>
          <w:rFonts w:ascii="Trebuchet MS" w:hAnsi="Trebuchet MS"/>
          <w:i/>
          <w:sz w:val="22"/>
          <w:szCs w:val="22"/>
        </w:rPr>
        <w:t>Standards and Guidelines.</w:t>
      </w:r>
    </w:p>
    <w:p w:rsidR="00CF21E4" w:rsidRPr="00FD69E2" w:rsidRDefault="00CF21E4" w:rsidP="00CF21E4">
      <w:pPr>
        <w:ind w:left="720" w:hanging="720"/>
        <w:rPr>
          <w:rFonts w:ascii="Trebuchet MS" w:hAnsi="Trebuchet MS" w:cs="Arial"/>
          <w:i/>
          <w:sz w:val="22"/>
          <w:szCs w:val="22"/>
        </w:rPr>
      </w:pPr>
      <w:r w:rsidRPr="00FD69E2">
        <w:rPr>
          <w:rFonts w:ascii="Trebuchet MS" w:hAnsi="Trebuchet MS" w:cs="Arial"/>
          <w:b/>
          <w:sz w:val="22"/>
          <w:szCs w:val="22"/>
        </w:rPr>
        <w:tab/>
      </w:r>
      <w:r w:rsidRPr="00FD69E2">
        <w:rPr>
          <w:rFonts w:ascii="Trebuchet MS" w:hAnsi="Trebuchet MS" w:cs="Arial"/>
          <w:i/>
          <w:sz w:val="22"/>
          <w:szCs w:val="22"/>
        </w:rPr>
        <w:t>Discussion: Clients who are appealing the sex crime conviction can still benefit from participation in the sexual behavior disclosure process, and discuss behaviors unrelated to the conviction. Clients may also be able to participate in the sexual history polygraph process, excluding the crime of conviction, if determined to be appropriate to do so by the polygraph examiner and the CST.</w:t>
      </w:r>
    </w:p>
    <w:p w:rsidR="00CF21E4" w:rsidRPr="00FD69E2" w:rsidRDefault="00CF21E4" w:rsidP="00CF21E4">
      <w:pPr>
        <w:ind w:left="720" w:hanging="720"/>
        <w:rPr>
          <w:rFonts w:ascii="Trebuchet MS" w:hAnsi="Trebuchet MS" w:cs="Arial"/>
          <w:i/>
          <w:sz w:val="22"/>
          <w:szCs w:val="22"/>
        </w:rPr>
      </w:pPr>
    </w:p>
    <w:p w:rsidR="00CF21E4" w:rsidRPr="00FD69E2" w:rsidRDefault="00CF21E4" w:rsidP="00CF21E4">
      <w:pPr>
        <w:ind w:left="720"/>
        <w:rPr>
          <w:rFonts w:ascii="Trebuchet MS" w:hAnsi="Trebuchet MS" w:cs="Arial"/>
          <w:sz w:val="22"/>
          <w:szCs w:val="22"/>
        </w:rPr>
      </w:pPr>
      <w:r w:rsidRPr="00FD69E2">
        <w:rPr>
          <w:rFonts w:ascii="Trebuchet MS" w:hAnsi="Trebuchet MS" w:cs="Arial"/>
          <w:sz w:val="22"/>
          <w:szCs w:val="22"/>
        </w:rPr>
        <w:t xml:space="preserve">It is important to note that unless the appeal is upheld (conviction overturned) a client cannot </w:t>
      </w:r>
      <w:r w:rsidR="004E5B2F" w:rsidRPr="00FD69E2">
        <w:rPr>
          <w:rFonts w:ascii="Trebuchet MS" w:hAnsi="Trebuchet MS" w:cs="Arial"/>
          <w:sz w:val="22"/>
          <w:szCs w:val="22"/>
        </w:rPr>
        <w:t xml:space="preserve">fully progress and </w:t>
      </w:r>
      <w:r w:rsidRPr="00FD69E2">
        <w:rPr>
          <w:rFonts w:ascii="Trebuchet MS" w:hAnsi="Trebuchet MS" w:cs="Arial"/>
          <w:sz w:val="22"/>
          <w:szCs w:val="22"/>
        </w:rPr>
        <w:t xml:space="preserve">successfully complete treatment until they have met all the required components of sex offense-specific treatment as outlined in section 3.160.  </w:t>
      </w:r>
    </w:p>
    <w:p w:rsidR="00CF21E4" w:rsidRPr="00FD69E2" w:rsidRDefault="00CF21E4" w:rsidP="00CF21E4">
      <w:pPr>
        <w:ind w:left="720"/>
        <w:rPr>
          <w:rFonts w:ascii="Trebuchet MS" w:hAnsi="Trebuchet MS" w:cs="Arial"/>
          <w:sz w:val="22"/>
          <w:szCs w:val="22"/>
        </w:rPr>
      </w:pPr>
    </w:p>
    <w:p w:rsidR="00CF21E4" w:rsidRPr="00FD69E2" w:rsidRDefault="00CF21E4" w:rsidP="00CF21E4">
      <w:pPr>
        <w:ind w:left="720"/>
        <w:rPr>
          <w:rFonts w:ascii="Trebuchet MS" w:hAnsi="Trebuchet MS" w:cs="Arial"/>
          <w:sz w:val="22"/>
          <w:szCs w:val="22"/>
        </w:rPr>
      </w:pPr>
      <w:r w:rsidRPr="00FD69E2">
        <w:rPr>
          <w:rFonts w:ascii="Trebuchet MS" w:hAnsi="Trebuchet MS" w:cs="Arial"/>
          <w:sz w:val="22"/>
          <w:szCs w:val="22"/>
        </w:rPr>
        <w:t>If a Use Imm</w:t>
      </w:r>
      <w:r w:rsidR="00AB265D" w:rsidRPr="00FD69E2">
        <w:rPr>
          <w:rFonts w:ascii="Trebuchet MS" w:hAnsi="Trebuchet MS" w:cs="Arial"/>
          <w:sz w:val="22"/>
          <w:szCs w:val="22"/>
        </w:rPr>
        <w:t>unity a</w:t>
      </w:r>
      <w:r w:rsidRPr="00FD69E2">
        <w:rPr>
          <w:rFonts w:ascii="Trebuchet MS" w:hAnsi="Trebuchet MS" w:cs="Arial"/>
          <w:sz w:val="22"/>
          <w:szCs w:val="22"/>
        </w:rPr>
        <w:t xml:space="preserve">greement is in place, the treatment provider shall treat the client in accordance with these </w:t>
      </w:r>
      <w:r w:rsidRPr="00FD69E2">
        <w:rPr>
          <w:rFonts w:ascii="Trebuchet MS" w:hAnsi="Trebuchet MS" w:cs="Arial"/>
          <w:i/>
          <w:sz w:val="22"/>
          <w:szCs w:val="22"/>
        </w:rPr>
        <w:t>Standards and Guidelines</w:t>
      </w:r>
      <w:r w:rsidRPr="00FD69E2">
        <w:rPr>
          <w:rFonts w:ascii="Trebuchet MS" w:hAnsi="Trebuchet MS" w:cs="Arial"/>
          <w:sz w:val="22"/>
          <w:szCs w:val="22"/>
        </w:rPr>
        <w:t xml:space="preserve">, including discussion of the crime of conviction. </w:t>
      </w:r>
    </w:p>
    <w:p w:rsidR="00CF21E4" w:rsidRPr="00FD69E2" w:rsidRDefault="00CF21E4" w:rsidP="00A50760">
      <w:pPr>
        <w:ind w:left="720" w:hanging="720"/>
        <w:rPr>
          <w:rFonts w:ascii="Trebuchet MS" w:hAnsi="Trebuchet MS"/>
          <w:i/>
          <w:sz w:val="22"/>
          <w:szCs w:val="22"/>
        </w:rPr>
      </w:pPr>
    </w:p>
    <w:sectPr w:rsidR="00CF21E4" w:rsidRPr="00FD69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FB" w:rsidRDefault="004261FB" w:rsidP="00A50760">
      <w:r>
        <w:separator/>
      </w:r>
    </w:p>
  </w:endnote>
  <w:endnote w:type="continuationSeparator" w:id="0">
    <w:p w:rsidR="004261FB" w:rsidRDefault="004261FB" w:rsidP="00A5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lab 500">
    <w:altName w:val="Times New Roman"/>
    <w:charset w:val="00"/>
    <w:family w:val="auto"/>
    <w:pitch w:val="variable"/>
    <w:sig w:usb0="00000003" w:usb1="40000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Slab-500">
    <w:altName w:val="Times New Roman"/>
    <w:charset w:val="00"/>
    <w:family w:val="auto"/>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60762"/>
      <w:docPartObj>
        <w:docPartGallery w:val="Page Numbers (Bottom of Page)"/>
        <w:docPartUnique/>
      </w:docPartObj>
    </w:sdtPr>
    <w:sdtEndPr/>
    <w:sdtContent>
      <w:sdt>
        <w:sdtPr>
          <w:id w:val="1728636285"/>
          <w:docPartObj>
            <w:docPartGallery w:val="Page Numbers (Top of Page)"/>
            <w:docPartUnique/>
          </w:docPartObj>
        </w:sdtPr>
        <w:sdtEndPr/>
        <w:sdtContent>
          <w:p w:rsidR="00D67E17" w:rsidRDefault="00D67E17">
            <w:pPr>
              <w:pStyle w:val="Footer"/>
              <w:jc w:val="center"/>
            </w:pPr>
            <w:r>
              <w:t xml:space="preserve">Page </w:t>
            </w:r>
            <w:r>
              <w:rPr>
                <w:b/>
                <w:bCs/>
              </w:rPr>
              <w:fldChar w:fldCharType="begin"/>
            </w:r>
            <w:r>
              <w:rPr>
                <w:b/>
                <w:bCs/>
              </w:rPr>
              <w:instrText xml:space="preserve"> PAGE </w:instrText>
            </w:r>
            <w:r>
              <w:rPr>
                <w:b/>
                <w:bCs/>
              </w:rPr>
              <w:fldChar w:fldCharType="separate"/>
            </w:r>
            <w:r w:rsidR="00FD69E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D69E2">
              <w:rPr>
                <w:b/>
                <w:bCs/>
                <w:noProof/>
              </w:rPr>
              <w:t>2</w:t>
            </w:r>
            <w:r>
              <w:rPr>
                <w:b/>
                <w:bCs/>
              </w:rPr>
              <w:fldChar w:fldCharType="end"/>
            </w:r>
          </w:p>
        </w:sdtContent>
      </w:sdt>
    </w:sdtContent>
  </w:sdt>
  <w:p w:rsidR="00D67E17" w:rsidRDefault="00D67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FB" w:rsidRDefault="004261FB" w:rsidP="00A50760">
      <w:r>
        <w:separator/>
      </w:r>
    </w:p>
  </w:footnote>
  <w:footnote w:type="continuationSeparator" w:id="0">
    <w:p w:rsidR="004261FB" w:rsidRDefault="004261FB" w:rsidP="00A50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FAA"/>
    <w:multiLevelType w:val="hybridMultilevel"/>
    <w:tmpl w:val="F29CF7B0"/>
    <w:lvl w:ilvl="0" w:tplc="94ECAD74">
      <w:start w:val="1"/>
      <w:numFmt w:val="decimal"/>
      <w:lvlText w:val="%1."/>
      <w:lvlJc w:val="righ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F9A"/>
    <w:multiLevelType w:val="multilevel"/>
    <w:tmpl w:val="7A1ACD1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861D12"/>
    <w:multiLevelType w:val="hybridMultilevel"/>
    <w:tmpl w:val="CE1EEC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24E70"/>
    <w:multiLevelType w:val="hybridMultilevel"/>
    <w:tmpl w:val="E7DC85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21FE9"/>
    <w:multiLevelType w:val="multilevel"/>
    <w:tmpl w:val="C6DA54F6"/>
    <w:lvl w:ilvl="0">
      <w:start w:val="3"/>
      <w:numFmt w:val="decimal"/>
      <w:lvlText w:val="%1"/>
      <w:lvlJc w:val="left"/>
      <w:pPr>
        <w:tabs>
          <w:tab w:val="num" w:pos="360"/>
        </w:tabs>
        <w:ind w:left="360" w:hanging="360"/>
      </w:pPr>
      <w:rPr>
        <w:rFonts w:hint="default"/>
        <w:b/>
        <w:color w:val="auto"/>
      </w:rPr>
    </w:lvl>
    <w:lvl w:ilvl="1">
      <w:start w:val="570"/>
      <w:numFmt w:val="decimal"/>
      <w:lvlText w:val="%1.%2"/>
      <w:lvlJc w:val="left"/>
      <w:pPr>
        <w:tabs>
          <w:tab w:val="num" w:pos="360"/>
        </w:tabs>
        <w:ind w:left="360" w:hanging="360"/>
      </w:pPr>
      <w:rPr>
        <w:rFonts w:hint="default"/>
        <w:b/>
        <w:color w:val="5C677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 w15:restartNumberingAfterBreak="0">
    <w:nsid w:val="118F4052"/>
    <w:multiLevelType w:val="hybridMultilevel"/>
    <w:tmpl w:val="028E40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0799"/>
    <w:multiLevelType w:val="hybridMultilevel"/>
    <w:tmpl w:val="34A860E0"/>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785929"/>
    <w:multiLevelType w:val="hybridMultilevel"/>
    <w:tmpl w:val="70FA821E"/>
    <w:lvl w:ilvl="0" w:tplc="2834BC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D03A6C"/>
    <w:multiLevelType w:val="hybridMultilevel"/>
    <w:tmpl w:val="7362EB44"/>
    <w:lvl w:ilvl="0" w:tplc="2E1E7DDA">
      <w:start w:val="1"/>
      <w:numFmt w:val="upperLetter"/>
      <w:lvlText w:val="%1."/>
      <w:lvlJc w:val="left"/>
      <w:pPr>
        <w:ind w:left="1080" w:hanging="360"/>
      </w:pPr>
      <w:rPr>
        <w:rFonts w:hint="default"/>
        <w:b w:val="0"/>
        <w:i w:val="0"/>
        <w:color w:val="5C677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F734AC"/>
    <w:multiLevelType w:val="multilevel"/>
    <w:tmpl w:val="CFDCD4C0"/>
    <w:lvl w:ilvl="0">
      <w:start w:val="3"/>
      <w:numFmt w:val="decimal"/>
      <w:lvlText w:val="%1"/>
      <w:lvlJc w:val="left"/>
      <w:pPr>
        <w:tabs>
          <w:tab w:val="num" w:pos="360"/>
        </w:tabs>
        <w:ind w:left="360" w:hanging="360"/>
      </w:pPr>
      <w:rPr>
        <w:rFonts w:hint="default"/>
        <w:b/>
        <w:color w:val="auto"/>
      </w:rPr>
    </w:lvl>
    <w:lvl w:ilvl="1">
      <w:start w:val="560"/>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0" w15:restartNumberingAfterBreak="0">
    <w:nsid w:val="332604A7"/>
    <w:multiLevelType w:val="multilevel"/>
    <w:tmpl w:val="BDF86204"/>
    <w:lvl w:ilvl="0">
      <w:start w:val="1"/>
      <w:numFmt w:val="decimal"/>
      <w:lvlText w:val="%1."/>
      <w:lvlJc w:val="left"/>
      <w:pPr>
        <w:ind w:left="720" w:hanging="360"/>
      </w:pPr>
    </w:lvl>
    <w:lvl w:ilvl="1">
      <w:start w:val="175"/>
      <w:numFmt w:val="decimal"/>
      <w:isLgl/>
      <w:lvlText w:val="%1.%2"/>
      <w:lvlJc w:val="left"/>
      <w:pPr>
        <w:ind w:left="1240" w:hanging="5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E5345CF"/>
    <w:multiLevelType w:val="hybridMultilevel"/>
    <w:tmpl w:val="AFF61136"/>
    <w:lvl w:ilvl="0" w:tplc="94ECAD74">
      <w:start w:val="1"/>
      <w:numFmt w:val="decimal"/>
      <w:lvlText w:val="%1."/>
      <w:lvlJc w:val="righ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660D51"/>
    <w:multiLevelType w:val="hybridMultilevel"/>
    <w:tmpl w:val="3C7E305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B6655"/>
    <w:multiLevelType w:val="hybridMultilevel"/>
    <w:tmpl w:val="33B86E1E"/>
    <w:lvl w:ilvl="0" w:tplc="1F2E7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844636"/>
    <w:multiLevelType w:val="multilevel"/>
    <w:tmpl w:val="97C04186"/>
    <w:lvl w:ilvl="0">
      <w:start w:val="3"/>
      <w:numFmt w:val="decimal"/>
      <w:lvlText w:val="%1"/>
      <w:lvlJc w:val="left"/>
      <w:pPr>
        <w:ind w:left="630" w:hanging="630"/>
      </w:pPr>
      <w:rPr>
        <w:rFonts w:hint="default"/>
      </w:rPr>
    </w:lvl>
    <w:lvl w:ilvl="1">
      <w:start w:val="162"/>
      <w:numFmt w:val="decimal"/>
      <w:lvlText w:val="%1.%2"/>
      <w:lvlJc w:val="left"/>
      <w:pPr>
        <w:ind w:left="720" w:hanging="630"/>
      </w:pPr>
      <w:rPr>
        <w:rFonts w:hint="default"/>
      </w:rPr>
    </w:lvl>
    <w:lvl w:ilvl="2">
      <w:start w:val="1"/>
      <w:numFmt w:val="decimal"/>
      <w:lvlText w:val="%1.%2.%3"/>
      <w:lvlJc w:val="left"/>
      <w:pPr>
        <w:ind w:left="48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84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960" w:hanging="1800"/>
      </w:pPr>
      <w:rPr>
        <w:rFonts w:hint="default"/>
      </w:rPr>
    </w:lvl>
    <w:lvl w:ilvl="8">
      <w:start w:val="1"/>
      <w:numFmt w:val="decimal"/>
      <w:lvlText w:val="%1.%2.%3.%4.%5.%6.%7.%8.%9"/>
      <w:lvlJc w:val="left"/>
      <w:pPr>
        <w:ind w:left="840" w:hanging="1800"/>
      </w:pPr>
      <w:rPr>
        <w:rFonts w:hint="default"/>
      </w:rPr>
    </w:lvl>
  </w:abstractNum>
  <w:abstractNum w:abstractNumId="15" w15:restartNumberingAfterBreak="0">
    <w:nsid w:val="47C10436"/>
    <w:multiLevelType w:val="multilevel"/>
    <w:tmpl w:val="03C27C44"/>
    <w:lvl w:ilvl="0">
      <w:start w:val="3"/>
      <w:numFmt w:val="decimal"/>
      <w:lvlText w:val="%1"/>
      <w:lvlJc w:val="left"/>
      <w:pPr>
        <w:tabs>
          <w:tab w:val="num" w:pos="360"/>
        </w:tabs>
        <w:ind w:left="360" w:hanging="360"/>
      </w:pPr>
      <w:rPr>
        <w:rFonts w:hint="default"/>
        <w:b/>
        <w:color w:val="auto"/>
      </w:rPr>
    </w:lvl>
    <w:lvl w:ilvl="1">
      <w:start w:val="580"/>
      <w:numFmt w:val="decimal"/>
      <w:lvlText w:val="%1.%2"/>
      <w:lvlJc w:val="left"/>
      <w:pPr>
        <w:tabs>
          <w:tab w:val="num" w:pos="360"/>
        </w:tabs>
        <w:ind w:left="360" w:hanging="360"/>
      </w:pPr>
      <w:rPr>
        <w:rFonts w:ascii="Trebuchet MS" w:hAnsi="Trebuchet MS" w:cs="Times New Roman" w:hint="default"/>
        <w:b/>
        <w:color w:val="5C677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6" w15:restartNumberingAfterBreak="0">
    <w:nsid w:val="4CB15EC8"/>
    <w:multiLevelType w:val="hybridMultilevel"/>
    <w:tmpl w:val="FB2EBD48"/>
    <w:lvl w:ilvl="0" w:tplc="D6AC0556">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0AE60B1"/>
    <w:multiLevelType w:val="multilevel"/>
    <w:tmpl w:val="5E8EE422"/>
    <w:lvl w:ilvl="0">
      <w:start w:val="3"/>
      <w:numFmt w:val="decimal"/>
      <w:lvlText w:val="%1"/>
      <w:lvlJc w:val="left"/>
      <w:pPr>
        <w:tabs>
          <w:tab w:val="num" w:pos="360"/>
        </w:tabs>
        <w:ind w:left="360" w:hanging="360"/>
      </w:pPr>
      <w:rPr>
        <w:rFonts w:hint="default"/>
        <w:b/>
        <w:color w:val="auto"/>
      </w:rPr>
    </w:lvl>
    <w:lvl w:ilvl="1">
      <w:start w:val="530"/>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15:restartNumberingAfterBreak="0">
    <w:nsid w:val="57937351"/>
    <w:multiLevelType w:val="hybridMultilevel"/>
    <w:tmpl w:val="8C5A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66418"/>
    <w:multiLevelType w:val="hybridMultilevel"/>
    <w:tmpl w:val="9648C2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E0CD9"/>
    <w:multiLevelType w:val="hybridMultilevel"/>
    <w:tmpl w:val="3A52C9EE"/>
    <w:lvl w:ilvl="0" w:tplc="E29AD68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8E92511"/>
    <w:multiLevelType w:val="hybridMultilevel"/>
    <w:tmpl w:val="712ABC6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414A72"/>
    <w:multiLevelType w:val="multilevel"/>
    <w:tmpl w:val="28968386"/>
    <w:lvl w:ilvl="0">
      <w:start w:val="1"/>
      <w:numFmt w:val="decimal"/>
      <w:lvlText w:val="%1."/>
      <w:lvlJc w:val="left"/>
      <w:pPr>
        <w:ind w:left="720" w:hanging="360"/>
      </w:pPr>
    </w:lvl>
    <w:lvl w:ilvl="1">
      <w:start w:val="1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285C40"/>
    <w:multiLevelType w:val="multilevel"/>
    <w:tmpl w:val="DA72C6F2"/>
    <w:lvl w:ilvl="0">
      <w:start w:val="3"/>
      <w:numFmt w:val="decimal"/>
      <w:lvlText w:val="%1"/>
      <w:lvlJc w:val="left"/>
      <w:pPr>
        <w:tabs>
          <w:tab w:val="num" w:pos="360"/>
        </w:tabs>
        <w:ind w:left="360" w:hanging="360"/>
      </w:pPr>
      <w:rPr>
        <w:rFonts w:hint="default"/>
        <w:b/>
        <w:color w:val="auto"/>
      </w:rPr>
    </w:lvl>
    <w:lvl w:ilvl="1">
      <w:start w:val="550"/>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4" w15:restartNumberingAfterBreak="0">
    <w:nsid w:val="608A6008"/>
    <w:multiLevelType w:val="hybridMultilevel"/>
    <w:tmpl w:val="D4704BC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C59D0"/>
    <w:multiLevelType w:val="multilevel"/>
    <w:tmpl w:val="28943FD2"/>
    <w:lvl w:ilvl="0">
      <w:start w:val="3"/>
      <w:numFmt w:val="decimal"/>
      <w:lvlText w:val="%1"/>
      <w:lvlJc w:val="left"/>
      <w:pPr>
        <w:tabs>
          <w:tab w:val="num" w:pos="360"/>
        </w:tabs>
        <w:ind w:left="360" w:hanging="360"/>
      </w:pPr>
      <w:rPr>
        <w:rFonts w:hint="default"/>
        <w:b/>
        <w:color w:val="auto"/>
      </w:rPr>
    </w:lvl>
    <w:lvl w:ilvl="1">
      <w:start w:val="520"/>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6" w15:restartNumberingAfterBreak="0">
    <w:nsid w:val="6E3D7015"/>
    <w:multiLevelType w:val="hybridMultilevel"/>
    <w:tmpl w:val="E5C422B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5877B7"/>
    <w:multiLevelType w:val="multilevel"/>
    <w:tmpl w:val="CEEA96AC"/>
    <w:lvl w:ilvl="0">
      <w:start w:val="3"/>
      <w:numFmt w:val="decimal"/>
      <w:lvlText w:val="%1"/>
      <w:lvlJc w:val="left"/>
      <w:pPr>
        <w:tabs>
          <w:tab w:val="num" w:pos="360"/>
        </w:tabs>
        <w:ind w:left="360" w:hanging="360"/>
      </w:pPr>
      <w:rPr>
        <w:rFonts w:hint="default"/>
        <w:b/>
        <w:color w:val="auto"/>
      </w:rPr>
    </w:lvl>
    <w:lvl w:ilvl="1">
      <w:start w:val="540"/>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8" w15:restartNumberingAfterBreak="0">
    <w:nsid w:val="77F41870"/>
    <w:multiLevelType w:val="hybridMultilevel"/>
    <w:tmpl w:val="5A82A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4D2A8D"/>
    <w:multiLevelType w:val="hybridMultilevel"/>
    <w:tmpl w:val="A210BE82"/>
    <w:lvl w:ilvl="0" w:tplc="36D87448">
      <w:start w:val="2"/>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B7C1AC7"/>
    <w:multiLevelType w:val="hybridMultilevel"/>
    <w:tmpl w:val="18E8D51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25"/>
  </w:num>
  <w:num w:numId="3">
    <w:abstractNumId w:val="17"/>
  </w:num>
  <w:num w:numId="4">
    <w:abstractNumId w:val="27"/>
  </w:num>
  <w:num w:numId="5">
    <w:abstractNumId w:val="23"/>
  </w:num>
  <w:num w:numId="6">
    <w:abstractNumId w:val="9"/>
  </w:num>
  <w:num w:numId="7">
    <w:abstractNumId w:val="4"/>
  </w:num>
  <w:num w:numId="8">
    <w:abstractNumId w:val="15"/>
  </w:num>
  <w:num w:numId="9">
    <w:abstractNumId w:val="2"/>
  </w:num>
  <w:num w:numId="10">
    <w:abstractNumId w:val="1"/>
  </w:num>
  <w:num w:numId="11">
    <w:abstractNumId w:val="3"/>
  </w:num>
  <w:num w:numId="12">
    <w:abstractNumId w:val="22"/>
  </w:num>
  <w:num w:numId="13">
    <w:abstractNumId w:val="19"/>
  </w:num>
  <w:num w:numId="14">
    <w:abstractNumId w:val="13"/>
  </w:num>
  <w:num w:numId="15">
    <w:abstractNumId w:val="8"/>
  </w:num>
  <w:num w:numId="16">
    <w:abstractNumId w:val="10"/>
  </w:num>
  <w:num w:numId="17">
    <w:abstractNumId w:val="6"/>
  </w:num>
  <w:num w:numId="18">
    <w:abstractNumId w:val="29"/>
  </w:num>
  <w:num w:numId="19">
    <w:abstractNumId w:val="5"/>
  </w:num>
  <w:num w:numId="20">
    <w:abstractNumId w:val="18"/>
  </w:num>
  <w:num w:numId="21">
    <w:abstractNumId w:val="12"/>
  </w:num>
  <w:num w:numId="22">
    <w:abstractNumId w:val="7"/>
  </w:num>
  <w:num w:numId="23">
    <w:abstractNumId w:val="24"/>
  </w:num>
  <w:num w:numId="24">
    <w:abstractNumId w:val="21"/>
  </w:num>
  <w:num w:numId="25">
    <w:abstractNumId w:val="20"/>
  </w:num>
  <w:num w:numId="26">
    <w:abstractNumId w:val="28"/>
  </w:num>
  <w:num w:numId="27">
    <w:abstractNumId w:val="14"/>
  </w:num>
  <w:num w:numId="28">
    <w:abstractNumId w:val="30"/>
  </w:num>
  <w:num w:numId="29">
    <w:abstractNumId w:val="11"/>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TQ3NTU3M7YwMjJV0lEKTi0uzszPAykwqgUAwnK8/CwAAAA="/>
  </w:docVars>
  <w:rsids>
    <w:rsidRoot w:val="00A50760"/>
    <w:rsid w:val="0007064D"/>
    <w:rsid w:val="001F7E34"/>
    <w:rsid w:val="00297AA3"/>
    <w:rsid w:val="00307B83"/>
    <w:rsid w:val="003663A4"/>
    <w:rsid w:val="003775E6"/>
    <w:rsid w:val="004259AB"/>
    <w:rsid w:val="004261FB"/>
    <w:rsid w:val="004E5B2F"/>
    <w:rsid w:val="005048DC"/>
    <w:rsid w:val="005709D6"/>
    <w:rsid w:val="005C1F0D"/>
    <w:rsid w:val="00612168"/>
    <w:rsid w:val="006D5AD5"/>
    <w:rsid w:val="007015F4"/>
    <w:rsid w:val="007B00CE"/>
    <w:rsid w:val="007E2091"/>
    <w:rsid w:val="008350EA"/>
    <w:rsid w:val="00853407"/>
    <w:rsid w:val="00861B7F"/>
    <w:rsid w:val="009A3CEC"/>
    <w:rsid w:val="00A50760"/>
    <w:rsid w:val="00A66241"/>
    <w:rsid w:val="00A859A3"/>
    <w:rsid w:val="00AB265D"/>
    <w:rsid w:val="00AE151F"/>
    <w:rsid w:val="00B34A36"/>
    <w:rsid w:val="00B90F67"/>
    <w:rsid w:val="00BC5E9C"/>
    <w:rsid w:val="00C51E80"/>
    <w:rsid w:val="00C62CFC"/>
    <w:rsid w:val="00C8752B"/>
    <w:rsid w:val="00CE7096"/>
    <w:rsid w:val="00CF21E4"/>
    <w:rsid w:val="00D5639A"/>
    <w:rsid w:val="00D67E17"/>
    <w:rsid w:val="00D842E4"/>
    <w:rsid w:val="00E370E5"/>
    <w:rsid w:val="00F92E44"/>
    <w:rsid w:val="00FA7A98"/>
    <w:rsid w:val="00FD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64D1"/>
  <w15:docId w15:val="{F48C8F72-39E3-445A-A8B9-3AC253C5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7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07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Headline2">
    <w:name w:val="CO-Headline2"/>
    <w:basedOn w:val="Heading1"/>
    <w:autoRedefine/>
    <w:qFormat/>
    <w:rsid w:val="00A50760"/>
    <w:pPr>
      <w:spacing w:after="320"/>
    </w:pPr>
    <w:rPr>
      <w:rFonts w:ascii="Trebuchet MS" w:eastAsiaTheme="minorEastAsia" w:hAnsi="Trebuchet MS"/>
      <w:color w:val="5C6670"/>
      <w:spacing w:val="20"/>
      <w:sz w:val="52"/>
      <w:szCs w:val="52"/>
      <w:lang w:eastAsia="ja-JP"/>
    </w:rPr>
  </w:style>
  <w:style w:type="character" w:styleId="FootnoteReference">
    <w:name w:val="footnote reference"/>
    <w:basedOn w:val="DefaultParagraphFont"/>
    <w:uiPriority w:val="99"/>
    <w:semiHidden/>
    <w:unhideWhenUsed/>
    <w:rsid w:val="00A50760"/>
    <w:rPr>
      <w:vertAlign w:val="superscript"/>
    </w:rPr>
  </w:style>
  <w:style w:type="paragraph" w:styleId="CommentText">
    <w:name w:val="annotation text"/>
    <w:basedOn w:val="Normal"/>
    <w:link w:val="CommentTextChar"/>
    <w:uiPriority w:val="99"/>
    <w:unhideWhenUsed/>
    <w:rsid w:val="00A50760"/>
    <w:rPr>
      <w:sz w:val="20"/>
      <w:szCs w:val="20"/>
    </w:rPr>
  </w:style>
  <w:style w:type="character" w:customStyle="1" w:styleId="CommentTextChar">
    <w:name w:val="Comment Text Char"/>
    <w:basedOn w:val="DefaultParagraphFont"/>
    <w:link w:val="CommentText"/>
    <w:uiPriority w:val="99"/>
    <w:rsid w:val="00A5076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0760"/>
    <w:rPr>
      <w:sz w:val="16"/>
      <w:szCs w:val="16"/>
    </w:rPr>
  </w:style>
  <w:style w:type="paragraph" w:customStyle="1" w:styleId="CO-Callout">
    <w:name w:val="CO-Callout"/>
    <w:link w:val="CO-CalloutChar"/>
    <w:qFormat/>
    <w:rsid w:val="00A50760"/>
    <w:pPr>
      <w:spacing w:after="250" w:line="252" w:lineRule="auto"/>
    </w:pPr>
    <w:rPr>
      <w:rFonts w:ascii="Museo Slab 500" w:hAnsi="Museo Slab 500"/>
      <w:color w:val="70AD47" w:themeColor="accent6"/>
      <w:sz w:val="26"/>
      <w:szCs w:val="26"/>
    </w:rPr>
  </w:style>
  <w:style w:type="character" w:customStyle="1" w:styleId="CO-CalloutChar">
    <w:name w:val="CO-Callout Char"/>
    <w:basedOn w:val="DefaultParagraphFont"/>
    <w:link w:val="CO-Callout"/>
    <w:rsid w:val="00A50760"/>
    <w:rPr>
      <w:rFonts w:ascii="Museo Slab 500" w:hAnsi="Museo Slab 500"/>
      <w:color w:val="70AD47" w:themeColor="accent6"/>
      <w:sz w:val="26"/>
      <w:szCs w:val="26"/>
    </w:rPr>
  </w:style>
  <w:style w:type="paragraph" w:styleId="ListParagraph">
    <w:name w:val="List Paragraph"/>
    <w:basedOn w:val="Normal"/>
    <w:uiPriority w:val="34"/>
    <w:qFormat/>
    <w:rsid w:val="00A50760"/>
    <w:pPr>
      <w:ind w:left="720"/>
      <w:contextualSpacing/>
    </w:pPr>
  </w:style>
  <w:style w:type="paragraph" w:styleId="FootnoteText">
    <w:name w:val="footnote text"/>
    <w:aliases w:val=" Char"/>
    <w:basedOn w:val="Normal"/>
    <w:link w:val="FootnoteTextChar"/>
    <w:uiPriority w:val="99"/>
    <w:unhideWhenUsed/>
    <w:rsid w:val="00A50760"/>
    <w:rPr>
      <w:sz w:val="20"/>
      <w:szCs w:val="20"/>
    </w:rPr>
  </w:style>
  <w:style w:type="character" w:customStyle="1" w:styleId="FootnoteTextChar">
    <w:name w:val="Footnote Text Char"/>
    <w:aliases w:val=" Char Char"/>
    <w:basedOn w:val="DefaultParagraphFont"/>
    <w:link w:val="FootnoteText"/>
    <w:uiPriority w:val="99"/>
    <w:rsid w:val="00A50760"/>
    <w:rPr>
      <w:rFonts w:ascii="Times New Roman" w:eastAsia="Times New Roman" w:hAnsi="Times New Roman" w:cs="Times New Roman"/>
      <w:sz w:val="20"/>
      <w:szCs w:val="20"/>
    </w:rPr>
  </w:style>
  <w:style w:type="paragraph" w:styleId="NormalWeb">
    <w:name w:val="Normal (Web)"/>
    <w:basedOn w:val="Normal"/>
    <w:uiPriority w:val="99"/>
    <w:unhideWhenUsed/>
    <w:rsid w:val="00A50760"/>
  </w:style>
  <w:style w:type="paragraph" w:styleId="BodyText">
    <w:name w:val="Body Text"/>
    <w:basedOn w:val="Normal"/>
    <w:link w:val="BodyTextChar"/>
    <w:rsid w:val="00A50760"/>
    <w:rPr>
      <w:color w:val="FF0000"/>
      <w:szCs w:val="22"/>
    </w:rPr>
  </w:style>
  <w:style w:type="character" w:customStyle="1" w:styleId="BodyTextChar">
    <w:name w:val="Body Text Char"/>
    <w:basedOn w:val="DefaultParagraphFont"/>
    <w:link w:val="BodyText"/>
    <w:rsid w:val="00A50760"/>
    <w:rPr>
      <w:rFonts w:ascii="Times New Roman" w:eastAsia="Times New Roman" w:hAnsi="Times New Roman" w:cs="Times New Roman"/>
      <w:color w:val="FF0000"/>
      <w:sz w:val="24"/>
    </w:rPr>
  </w:style>
  <w:style w:type="paragraph" w:customStyle="1" w:styleId="BoldItalic">
    <w:name w:val="Bold Italic"/>
    <w:basedOn w:val="Normal"/>
    <w:qFormat/>
    <w:rsid w:val="00A50760"/>
    <w:pPr>
      <w:ind w:left="720" w:hanging="720"/>
    </w:pPr>
    <w:rPr>
      <w:rFonts w:ascii="Trebuchet MS" w:hAnsi="Trebuchet MS"/>
      <w:b/>
      <w:i/>
      <w:color w:val="5C6770"/>
      <w:sz w:val="22"/>
      <w:szCs w:val="22"/>
    </w:rPr>
  </w:style>
  <w:style w:type="paragraph" w:customStyle="1" w:styleId="regularindentedbody">
    <w:name w:val="regular indented body"/>
    <w:basedOn w:val="Normal"/>
    <w:qFormat/>
    <w:rsid w:val="00A50760"/>
    <w:pPr>
      <w:widowControl w:val="0"/>
      <w:ind w:left="720"/>
    </w:pPr>
    <w:rPr>
      <w:rFonts w:ascii="Trebuchet MS" w:eastAsia="Calibri" w:hAnsi="Trebuchet MS"/>
      <w:color w:val="5C6770"/>
      <w:sz w:val="19"/>
      <w:szCs w:val="19"/>
    </w:rPr>
  </w:style>
  <w:style w:type="character" w:customStyle="1" w:styleId="Heading1Char">
    <w:name w:val="Heading 1 Char"/>
    <w:basedOn w:val="DefaultParagraphFont"/>
    <w:link w:val="Heading1"/>
    <w:uiPriority w:val="9"/>
    <w:rsid w:val="00A5076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84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E4"/>
    <w:rPr>
      <w:rFonts w:ascii="Segoe UI" w:eastAsia="Times New Roman" w:hAnsi="Segoe UI" w:cs="Segoe UI"/>
      <w:sz w:val="18"/>
      <w:szCs w:val="18"/>
    </w:rPr>
  </w:style>
  <w:style w:type="paragraph" w:styleId="Header">
    <w:name w:val="header"/>
    <w:basedOn w:val="Normal"/>
    <w:link w:val="HeaderChar"/>
    <w:uiPriority w:val="99"/>
    <w:unhideWhenUsed/>
    <w:rsid w:val="00D67E17"/>
    <w:pPr>
      <w:tabs>
        <w:tab w:val="center" w:pos="4680"/>
        <w:tab w:val="right" w:pos="9360"/>
      </w:tabs>
    </w:pPr>
  </w:style>
  <w:style w:type="character" w:customStyle="1" w:styleId="HeaderChar">
    <w:name w:val="Header Char"/>
    <w:basedOn w:val="DefaultParagraphFont"/>
    <w:link w:val="Header"/>
    <w:uiPriority w:val="99"/>
    <w:rsid w:val="00D67E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E17"/>
    <w:pPr>
      <w:tabs>
        <w:tab w:val="center" w:pos="4680"/>
        <w:tab w:val="right" w:pos="9360"/>
      </w:tabs>
    </w:pPr>
  </w:style>
  <w:style w:type="character" w:customStyle="1" w:styleId="FooterChar">
    <w:name w:val="Footer Char"/>
    <w:basedOn w:val="DefaultParagraphFont"/>
    <w:link w:val="Footer"/>
    <w:uiPriority w:val="99"/>
    <w:rsid w:val="00D67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6C61-C0FE-46E1-8C0B-334F7F9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Geng</dc:creator>
  <cp:lastModifiedBy>Chris Lobanov-Rostovsky</cp:lastModifiedBy>
  <cp:revision>3</cp:revision>
  <cp:lastPrinted>2019-09-16T19:47:00Z</cp:lastPrinted>
  <dcterms:created xsi:type="dcterms:W3CDTF">2019-09-27T16:24:00Z</dcterms:created>
  <dcterms:modified xsi:type="dcterms:W3CDTF">2019-09-27T16:26:00Z</dcterms:modified>
</cp:coreProperties>
</file>