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5AF04" w14:textId="77777777" w:rsidR="008D62C2" w:rsidRPr="001656DB" w:rsidRDefault="001656DB" w:rsidP="00EE032B">
      <w:pPr>
        <w:spacing w:after="80" w:line="240" w:lineRule="auto"/>
        <w:jc w:val="center"/>
        <w:rPr>
          <w:rFonts w:ascii="Book Antiqua" w:hAnsi="Book Antiqua"/>
          <w:b/>
          <w:i/>
          <w:color w:val="0000FF"/>
          <w:sz w:val="32"/>
          <w:szCs w:val="32"/>
        </w:rPr>
      </w:pPr>
      <w:r w:rsidRPr="001656DB">
        <w:rPr>
          <w:rFonts w:ascii="Book Antiqua" w:hAnsi="Book Antiqua"/>
          <w:b/>
          <w:i/>
          <w:color w:val="0000FF"/>
          <w:sz w:val="32"/>
          <w:szCs w:val="32"/>
        </w:rPr>
        <w:t xml:space="preserve">Asian Horizons, </w:t>
      </w:r>
      <w:proofErr w:type="spellStart"/>
      <w:r w:rsidRPr="001656DB">
        <w:rPr>
          <w:rFonts w:ascii="Book Antiqua" w:hAnsi="Book Antiqua"/>
          <w:b/>
          <w:i/>
          <w:color w:val="0000FF"/>
          <w:sz w:val="32"/>
          <w:szCs w:val="32"/>
        </w:rPr>
        <w:t>Dharmaram</w:t>
      </w:r>
      <w:proofErr w:type="spellEnd"/>
      <w:r w:rsidRPr="001656DB">
        <w:rPr>
          <w:rFonts w:ascii="Book Antiqua" w:hAnsi="Book Antiqua"/>
          <w:b/>
          <w:i/>
          <w:color w:val="0000FF"/>
          <w:sz w:val="32"/>
          <w:szCs w:val="32"/>
        </w:rPr>
        <w:t xml:space="preserve"> Journal of Theology</w:t>
      </w:r>
    </w:p>
    <w:p w14:paraId="74AC892B" w14:textId="1DE3938F" w:rsidR="0015636B" w:rsidRPr="0015636B" w:rsidRDefault="0015636B" w:rsidP="008D62C2">
      <w:pPr>
        <w:spacing w:after="120" w:line="240" w:lineRule="auto"/>
        <w:jc w:val="center"/>
        <w:rPr>
          <w:rFonts w:ascii="Book Antiqua" w:hAnsi="Book Antiqua"/>
          <w:b/>
          <w:color w:val="0000FF"/>
          <w:sz w:val="32"/>
          <w:szCs w:val="32"/>
        </w:rPr>
      </w:pPr>
      <w:r w:rsidRPr="0015636B">
        <w:rPr>
          <w:rFonts w:ascii="Book Antiqua" w:hAnsi="Book Antiqua"/>
          <w:b/>
          <w:color w:val="0000FF"/>
          <w:sz w:val="32"/>
          <w:szCs w:val="32"/>
        </w:rPr>
        <w:t xml:space="preserve">Vol. 12, No. </w:t>
      </w:r>
      <w:r w:rsidR="009A0EE2">
        <w:rPr>
          <w:rFonts w:ascii="Book Antiqua" w:hAnsi="Book Antiqua"/>
          <w:b/>
          <w:color w:val="0000FF"/>
          <w:sz w:val="32"/>
          <w:szCs w:val="32"/>
        </w:rPr>
        <w:t>4</w:t>
      </w:r>
      <w:r w:rsidRPr="0015636B">
        <w:rPr>
          <w:rFonts w:ascii="Book Antiqua" w:hAnsi="Book Antiqua"/>
          <w:b/>
          <w:color w:val="0000FF"/>
          <w:sz w:val="32"/>
          <w:szCs w:val="32"/>
        </w:rPr>
        <w:t xml:space="preserve">, </w:t>
      </w:r>
      <w:r w:rsidR="009A0EE2">
        <w:rPr>
          <w:rFonts w:ascii="Book Antiqua" w:hAnsi="Book Antiqua"/>
          <w:b/>
          <w:color w:val="0000FF"/>
          <w:sz w:val="32"/>
          <w:szCs w:val="32"/>
        </w:rPr>
        <w:t>Dec</w:t>
      </w:r>
      <w:r w:rsidR="00135AB3">
        <w:rPr>
          <w:rFonts w:ascii="Book Antiqua" w:hAnsi="Book Antiqua"/>
          <w:b/>
          <w:color w:val="0000FF"/>
          <w:sz w:val="32"/>
          <w:szCs w:val="32"/>
        </w:rPr>
        <w:t>ember</w:t>
      </w:r>
      <w:r w:rsidR="0065582A" w:rsidRPr="0015636B">
        <w:rPr>
          <w:rFonts w:ascii="Book Antiqua" w:hAnsi="Book Antiqua"/>
          <w:b/>
          <w:color w:val="0000FF"/>
          <w:sz w:val="32"/>
          <w:szCs w:val="32"/>
        </w:rPr>
        <w:t xml:space="preserve"> 2018</w:t>
      </w:r>
      <w:r w:rsidR="008D62C2" w:rsidRPr="0015636B">
        <w:rPr>
          <w:rFonts w:ascii="Book Antiqua" w:hAnsi="Book Antiqua"/>
          <w:b/>
          <w:color w:val="0000FF"/>
          <w:sz w:val="32"/>
          <w:szCs w:val="32"/>
        </w:rPr>
        <w:t xml:space="preserve"> </w:t>
      </w:r>
    </w:p>
    <w:p w14:paraId="33D5F1EA" w14:textId="77777777" w:rsidR="009A0EE2" w:rsidRPr="000A273F" w:rsidRDefault="009A0EE2" w:rsidP="009A0EE2">
      <w:pPr>
        <w:spacing w:after="120" w:line="240" w:lineRule="auto"/>
        <w:jc w:val="center"/>
        <w:rPr>
          <w:rFonts w:ascii="Book Antiqua" w:hAnsi="Book Antiqua"/>
          <w:color w:val="C0504D" w:themeColor="accent2"/>
          <w:sz w:val="52"/>
          <w:szCs w:val="52"/>
        </w:rPr>
      </w:pPr>
      <w:r w:rsidRPr="000A273F">
        <w:rPr>
          <w:rFonts w:ascii="Book Antiqua" w:hAnsi="Book Antiqua"/>
          <w:color w:val="C0504D" w:themeColor="accent2"/>
          <w:sz w:val="52"/>
          <w:szCs w:val="52"/>
        </w:rPr>
        <w:t>Theological Education: Challenges</w:t>
      </w:r>
    </w:p>
    <w:p w14:paraId="03A86640" w14:textId="1E3F2F95" w:rsidR="008D62C2" w:rsidRPr="008D62C2" w:rsidRDefault="000F3495" w:rsidP="008D62C2">
      <w:pPr>
        <w:spacing w:after="80" w:line="240" w:lineRule="auto"/>
        <w:jc w:val="center"/>
        <w:rPr>
          <w:rFonts w:ascii="Book Antiqua" w:hAnsi="Book Antiqua"/>
          <w:b/>
          <w:color w:val="008000"/>
          <w:sz w:val="32"/>
        </w:rPr>
      </w:pPr>
      <w:r>
        <w:rPr>
          <w:rFonts w:ascii="Book Antiqua" w:hAnsi="Book Antiqua"/>
          <w:b/>
          <w:color w:val="008000"/>
          <w:sz w:val="32"/>
        </w:rPr>
        <w:t>Call f</w:t>
      </w:r>
      <w:r w:rsidRPr="008D62C2">
        <w:rPr>
          <w:rFonts w:ascii="Book Antiqua" w:hAnsi="Book Antiqua"/>
          <w:b/>
          <w:color w:val="008000"/>
          <w:sz w:val="32"/>
        </w:rPr>
        <w:t>or Papers</w:t>
      </w:r>
    </w:p>
    <w:p w14:paraId="0B1A62AC" w14:textId="77777777" w:rsidR="006A288D" w:rsidRDefault="00457154" w:rsidP="00664A98">
      <w:pPr>
        <w:spacing w:before="240" w:after="80" w:line="240" w:lineRule="auto"/>
        <w:jc w:val="both"/>
        <w:rPr>
          <w:rFonts w:ascii="Book Antiqua" w:hAnsi="Book Antiqua"/>
          <w:sz w:val="24"/>
          <w:szCs w:val="24"/>
        </w:rPr>
      </w:pPr>
      <w:r>
        <w:rPr>
          <w:rFonts w:ascii="Book Antiqua" w:hAnsi="Book Antiqua"/>
          <w:sz w:val="24"/>
          <w:szCs w:val="24"/>
        </w:rPr>
        <w:t xml:space="preserve">An adequate and up-to-date </w:t>
      </w:r>
      <w:r w:rsidR="008529B8">
        <w:rPr>
          <w:rFonts w:ascii="Book Antiqua" w:hAnsi="Book Antiqua"/>
          <w:sz w:val="24"/>
          <w:szCs w:val="24"/>
        </w:rPr>
        <w:t>Theological Education</w:t>
      </w:r>
      <w:r>
        <w:rPr>
          <w:rFonts w:ascii="Book Antiqua" w:hAnsi="Book Antiqua"/>
          <w:sz w:val="24"/>
          <w:szCs w:val="24"/>
        </w:rPr>
        <w:t>, faithful to the revelation and tradition, but at the same time adapted to the context, has been an important concern of the Church. The challenges that Theological Education faces today are many: keeping scientific rigour and enthusiasm; responding to the changes and trends in the culture, keeping fidelity to the mystery of faith; integrating new scientific knowledge and methods; guarding against fundamentalis</w:t>
      </w:r>
      <w:r w:rsidR="006A288D">
        <w:rPr>
          <w:rFonts w:ascii="Book Antiqua" w:hAnsi="Book Antiqua"/>
          <w:sz w:val="24"/>
          <w:szCs w:val="24"/>
        </w:rPr>
        <w:t xml:space="preserve">t tendencies which challenge scientific methods and rigour; contextual theological education; etc. Though in Asia, like some other continents, formation of future priests continues to be the main concern of the theological education, in many countries, the majority who are undergoing theological education is laity. This has brought new dimensions to the theological education. In many countries, similarly, the main context of theological education has shifted from seminary to Catholic universities or secular universities. This has brought a new sense of academic freedom and enthusiasm in theological education. However, in many countries, the opportunity that the laity </w:t>
      </w:r>
      <w:proofErr w:type="gramStart"/>
      <w:r w:rsidR="006A288D">
        <w:rPr>
          <w:rFonts w:ascii="Book Antiqua" w:hAnsi="Book Antiqua"/>
          <w:sz w:val="24"/>
          <w:szCs w:val="24"/>
        </w:rPr>
        <w:t>have</w:t>
      </w:r>
      <w:proofErr w:type="gramEnd"/>
      <w:r w:rsidR="006A288D">
        <w:rPr>
          <w:rFonts w:ascii="Book Antiqua" w:hAnsi="Book Antiqua"/>
          <w:sz w:val="24"/>
          <w:szCs w:val="24"/>
        </w:rPr>
        <w:t xml:space="preserve"> for theological education and an employment based on that continue to be rare.</w:t>
      </w:r>
    </w:p>
    <w:p w14:paraId="475BF7A7" w14:textId="77777777" w:rsidR="006A288D" w:rsidRDefault="006A288D" w:rsidP="00664A98">
      <w:pPr>
        <w:spacing w:before="240" w:after="80" w:line="240" w:lineRule="auto"/>
        <w:jc w:val="both"/>
        <w:rPr>
          <w:rFonts w:ascii="Book Antiqua" w:hAnsi="Book Antiqua"/>
          <w:sz w:val="24"/>
          <w:szCs w:val="24"/>
        </w:rPr>
      </w:pPr>
      <w:r>
        <w:rPr>
          <w:rFonts w:ascii="Book Antiqua" w:hAnsi="Book Antiqua"/>
          <w:sz w:val="24"/>
          <w:szCs w:val="24"/>
        </w:rPr>
        <w:t xml:space="preserve">The new Apostolic Constitution </w:t>
      </w:r>
      <w:proofErr w:type="spellStart"/>
      <w:r>
        <w:rPr>
          <w:rFonts w:ascii="Book Antiqua" w:hAnsi="Book Antiqua"/>
          <w:i/>
          <w:sz w:val="24"/>
          <w:szCs w:val="24"/>
        </w:rPr>
        <w:t>Veritatis</w:t>
      </w:r>
      <w:proofErr w:type="spellEnd"/>
      <w:r>
        <w:rPr>
          <w:rFonts w:ascii="Book Antiqua" w:hAnsi="Book Antiqua"/>
          <w:i/>
          <w:sz w:val="24"/>
          <w:szCs w:val="24"/>
        </w:rPr>
        <w:t xml:space="preserve"> </w:t>
      </w:r>
      <w:proofErr w:type="spellStart"/>
      <w:r>
        <w:rPr>
          <w:rFonts w:ascii="Book Antiqua" w:hAnsi="Book Antiqua"/>
          <w:i/>
          <w:sz w:val="24"/>
          <w:szCs w:val="24"/>
        </w:rPr>
        <w:t>Gaudium</w:t>
      </w:r>
      <w:proofErr w:type="spellEnd"/>
      <w:r>
        <w:rPr>
          <w:rFonts w:ascii="Book Antiqua" w:hAnsi="Book Antiqua"/>
          <w:sz w:val="24"/>
          <w:szCs w:val="24"/>
        </w:rPr>
        <w:t xml:space="preserve"> deserves a special attention and study in this context. Particularly, the vision presented in its “Foreword” is insightful. </w:t>
      </w:r>
    </w:p>
    <w:p w14:paraId="13760E2C" w14:textId="3387C42A" w:rsidR="002675D3" w:rsidRPr="00664A98" w:rsidRDefault="006A288D" w:rsidP="00664A98">
      <w:pPr>
        <w:spacing w:before="240" w:after="80" w:line="240" w:lineRule="auto"/>
        <w:jc w:val="both"/>
        <w:rPr>
          <w:rFonts w:ascii="Book Antiqua" w:hAnsi="Book Antiqua"/>
          <w:color w:val="000000" w:themeColor="text1"/>
          <w:sz w:val="24"/>
          <w:szCs w:val="24"/>
        </w:rPr>
      </w:pPr>
      <w:r>
        <w:rPr>
          <w:rFonts w:ascii="Book Antiqua" w:hAnsi="Book Antiqua"/>
          <w:sz w:val="24"/>
          <w:szCs w:val="24"/>
        </w:rPr>
        <w:t xml:space="preserve">December 2018 issue of Asian Horizons invites articles on the challenges that Theological Education faces today. </w:t>
      </w:r>
    </w:p>
    <w:p w14:paraId="476EB0FC" w14:textId="77777777" w:rsidR="00664A98" w:rsidRPr="00664A98" w:rsidRDefault="002675D3" w:rsidP="00664A98">
      <w:pPr>
        <w:spacing w:before="240" w:after="80" w:line="240" w:lineRule="auto"/>
        <w:jc w:val="both"/>
        <w:rPr>
          <w:rFonts w:ascii="Book Antiqua" w:hAnsi="Book Antiqua"/>
          <w:color w:val="000000" w:themeColor="text1"/>
          <w:sz w:val="24"/>
          <w:szCs w:val="24"/>
        </w:rPr>
      </w:pPr>
      <w:r w:rsidRPr="00664A98">
        <w:rPr>
          <w:rFonts w:ascii="Book Antiqua" w:hAnsi="Book Antiqua"/>
          <w:b/>
          <w:color w:val="FF0000"/>
          <w:sz w:val="24"/>
          <w:szCs w:val="24"/>
        </w:rPr>
        <w:t>Suggested Topics</w:t>
      </w:r>
      <w:r w:rsidRPr="00664A98">
        <w:rPr>
          <w:rFonts w:ascii="Book Antiqua" w:hAnsi="Book Antiqua"/>
          <w:color w:val="000000" w:themeColor="text1"/>
          <w:sz w:val="24"/>
          <w:szCs w:val="24"/>
        </w:rPr>
        <w:t xml:space="preserve"> [only suggestions, not exhaustive]:</w:t>
      </w:r>
    </w:p>
    <w:p w14:paraId="1D35F93B" w14:textId="349A54F9" w:rsidR="009A0EE2" w:rsidRDefault="009A0EE2" w:rsidP="00664A98">
      <w:pPr>
        <w:spacing w:after="80" w:line="240" w:lineRule="auto"/>
        <w:jc w:val="both"/>
        <w:rPr>
          <w:rFonts w:ascii="Book Antiqua" w:hAnsi="Book Antiqua"/>
        </w:rPr>
      </w:pPr>
      <w:r>
        <w:rPr>
          <w:rFonts w:ascii="Book Antiqua" w:hAnsi="Book Antiqua"/>
        </w:rPr>
        <w:t>- Theological Education: Challenges Today</w:t>
      </w:r>
    </w:p>
    <w:p w14:paraId="0CBA46C8" w14:textId="5BD11904" w:rsidR="00457154" w:rsidRDefault="006A288D" w:rsidP="00664A98">
      <w:pPr>
        <w:spacing w:after="80" w:line="240" w:lineRule="auto"/>
        <w:jc w:val="both"/>
        <w:rPr>
          <w:rFonts w:ascii="Book Antiqua" w:hAnsi="Book Antiqua"/>
        </w:rPr>
      </w:pPr>
      <w:r>
        <w:rPr>
          <w:rFonts w:ascii="Book Antiqua" w:hAnsi="Book Antiqua"/>
        </w:rPr>
        <w:t xml:space="preserve">- </w:t>
      </w:r>
      <w:r w:rsidR="00457154">
        <w:rPr>
          <w:rFonts w:ascii="Book Antiqua" w:hAnsi="Book Antiqua"/>
        </w:rPr>
        <w:t>Theological Education: Trends and Experiments</w:t>
      </w:r>
    </w:p>
    <w:p w14:paraId="53B8AB6C" w14:textId="77777777" w:rsidR="009A0EE2" w:rsidRDefault="009A0EE2" w:rsidP="009A0EE2">
      <w:pPr>
        <w:spacing w:after="80" w:line="240" w:lineRule="auto"/>
        <w:jc w:val="both"/>
        <w:rPr>
          <w:rFonts w:ascii="Book Antiqua" w:hAnsi="Book Antiqua"/>
          <w:color w:val="000000" w:themeColor="text1"/>
        </w:rPr>
      </w:pPr>
      <w:r>
        <w:rPr>
          <w:rFonts w:ascii="Book Antiqua" w:hAnsi="Book Antiqua"/>
          <w:color w:val="000000" w:themeColor="text1"/>
        </w:rPr>
        <w:t>- Seminary Formation and Theological Education</w:t>
      </w:r>
    </w:p>
    <w:p w14:paraId="0F854872" w14:textId="6D021C5D" w:rsidR="009A0EE2" w:rsidRDefault="009A0EE2" w:rsidP="00664A98">
      <w:pPr>
        <w:spacing w:after="80" w:line="240" w:lineRule="auto"/>
        <w:jc w:val="both"/>
        <w:rPr>
          <w:rFonts w:ascii="Book Antiqua" w:hAnsi="Book Antiqua"/>
        </w:rPr>
      </w:pPr>
      <w:r>
        <w:rPr>
          <w:rFonts w:ascii="Book Antiqua" w:hAnsi="Book Antiqua"/>
        </w:rPr>
        <w:t>- Theological Education in Catholic Universities and Secular Universities</w:t>
      </w:r>
    </w:p>
    <w:p w14:paraId="2C98625C" w14:textId="0A96FFF3" w:rsidR="009A0EE2" w:rsidRDefault="009A0EE2" w:rsidP="00664A98">
      <w:pPr>
        <w:spacing w:after="80" w:line="240" w:lineRule="auto"/>
        <w:jc w:val="both"/>
        <w:rPr>
          <w:rFonts w:ascii="Book Antiqua" w:hAnsi="Book Antiqua"/>
        </w:rPr>
      </w:pPr>
      <w:r>
        <w:rPr>
          <w:rFonts w:ascii="Book Antiqua" w:hAnsi="Book Antiqua"/>
        </w:rPr>
        <w:t>- The Challenge of Contextual Theological Education</w:t>
      </w:r>
    </w:p>
    <w:p w14:paraId="6981FA3E" w14:textId="3A6A075F" w:rsidR="0076597C" w:rsidRDefault="0076597C" w:rsidP="00664A98">
      <w:pPr>
        <w:spacing w:after="80" w:line="240" w:lineRule="auto"/>
        <w:jc w:val="both"/>
        <w:rPr>
          <w:rFonts w:ascii="Book Antiqua" w:hAnsi="Book Antiqua"/>
        </w:rPr>
      </w:pPr>
      <w:r>
        <w:rPr>
          <w:rFonts w:ascii="Book Antiqua" w:hAnsi="Book Antiqua"/>
        </w:rPr>
        <w:t>- Theological Education and Pastoral Ministry/Pastoral Orientations in Theological Education</w:t>
      </w:r>
    </w:p>
    <w:p w14:paraId="656EADA0" w14:textId="6AEED534" w:rsidR="00664A98" w:rsidRPr="009A0EE2" w:rsidRDefault="00664A98" w:rsidP="00664A98">
      <w:pPr>
        <w:spacing w:after="80" w:line="240" w:lineRule="auto"/>
        <w:jc w:val="both"/>
        <w:rPr>
          <w:rFonts w:ascii="Book Antiqua" w:hAnsi="Book Antiqua"/>
          <w:i/>
        </w:rPr>
      </w:pPr>
      <w:r w:rsidRPr="006D4561">
        <w:rPr>
          <w:rFonts w:ascii="Book Antiqua" w:hAnsi="Book Antiqua"/>
        </w:rPr>
        <w:t xml:space="preserve">- </w:t>
      </w:r>
      <w:r w:rsidR="009A0EE2">
        <w:rPr>
          <w:rFonts w:ascii="Book Antiqua" w:hAnsi="Book Antiqua"/>
        </w:rPr>
        <w:t xml:space="preserve">From </w:t>
      </w:r>
      <w:proofErr w:type="spellStart"/>
      <w:r w:rsidR="009A0EE2">
        <w:rPr>
          <w:rFonts w:ascii="Book Antiqua" w:hAnsi="Book Antiqua"/>
          <w:i/>
        </w:rPr>
        <w:t>Gravissimum</w:t>
      </w:r>
      <w:proofErr w:type="spellEnd"/>
      <w:r w:rsidR="009A0EE2">
        <w:rPr>
          <w:rFonts w:ascii="Book Antiqua" w:hAnsi="Book Antiqua"/>
          <w:i/>
        </w:rPr>
        <w:t xml:space="preserve"> </w:t>
      </w:r>
      <w:proofErr w:type="spellStart"/>
      <w:r w:rsidR="009A0EE2">
        <w:rPr>
          <w:rFonts w:ascii="Book Antiqua" w:hAnsi="Book Antiqua"/>
          <w:i/>
        </w:rPr>
        <w:t>Educationis</w:t>
      </w:r>
      <w:proofErr w:type="spellEnd"/>
      <w:r w:rsidR="009A0EE2">
        <w:rPr>
          <w:rFonts w:ascii="Book Antiqua" w:hAnsi="Book Antiqua"/>
        </w:rPr>
        <w:t xml:space="preserve"> to </w:t>
      </w:r>
      <w:proofErr w:type="spellStart"/>
      <w:r w:rsidR="009A0EE2">
        <w:rPr>
          <w:rFonts w:ascii="Book Antiqua" w:hAnsi="Book Antiqua"/>
          <w:i/>
        </w:rPr>
        <w:t>Veritatis</w:t>
      </w:r>
      <w:proofErr w:type="spellEnd"/>
      <w:r w:rsidR="009A0EE2">
        <w:rPr>
          <w:rFonts w:ascii="Book Antiqua" w:hAnsi="Book Antiqua"/>
          <w:i/>
        </w:rPr>
        <w:t xml:space="preserve"> </w:t>
      </w:r>
      <w:proofErr w:type="spellStart"/>
      <w:r w:rsidR="009A0EE2">
        <w:rPr>
          <w:rFonts w:ascii="Book Antiqua" w:hAnsi="Book Antiqua"/>
          <w:i/>
        </w:rPr>
        <w:t>Gaudium</w:t>
      </w:r>
      <w:proofErr w:type="spellEnd"/>
    </w:p>
    <w:p w14:paraId="766413EF" w14:textId="366D612E" w:rsidR="00664A98" w:rsidRDefault="00664A98" w:rsidP="00664A98">
      <w:pPr>
        <w:spacing w:after="80" w:line="240" w:lineRule="auto"/>
        <w:jc w:val="both"/>
        <w:rPr>
          <w:rFonts w:ascii="Book Antiqua" w:hAnsi="Book Antiqua"/>
          <w:i/>
        </w:rPr>
      </w:pPr>
      <w:r w:rsidRPr="006D4561">
        <w:rPr>
          <w:rFonts w:ascii="Book Antiqua" w:hAnsi="Book Antiqua"/>
        </w:rPr>
        <w:t xml:space="preserve">- </w:t>
      </w:r>
      <w:proofErr w:type="spellStart"/>
      <w:r w:rsidR="009A0EE2" w:rsidRPr="009A0EE2">
        <w:rPr>
          <w:rFonts w:ascii="Book Antiqua" w:hAnsi="Book Antiqua"/>
          <w:i/>
        </w:rPr>
        <w:t>Veritatis</w:t>
      </w:r>
      <w:proofErr w:type="spellEnd"/>
      <w:r w:rsidR="009A0EE2" w:rsidRPr="009A0EE2">
        <w:rPr>
          <w:rFonts w:ascii="Book Antiqua" w:hAnsi="Book Antiqua"/>
          <w:i/>
        </w:rPr>
        <w:t xml:space="preserve"> </w:t>
      </w:r>
      <w:proofErr w:type="spellStart"/>
      <w:r w:rsidR="009A0EE2" w:rsidRPr="009A0EE2">
        <w:rPr>
          <w:rFonts w:ascii="Book Antiqua" w:hAnsi="Book Antiqua"/>
          <w:i/>
        </w:rPr>
        <w:t>Gaudium</w:t>
      </w:r>
      <w:proofErr w:type="spellEnd"/>
    </w:p>
    <w:p w14:paraId="2A15466B" w14:textId="0D3B4447" w:rsidR="009A0EE2" w:rsidRPr="009A0EE2" w:rsidRDefault="009A0EE2" w:rsidP="00664A98">
      <w:pPr>
        <w:spacing w:after="80" w:line="240" w:lineRule="auto"/>
        <w:jc w:val="both"/>
        <w:rPr>
          <w:rFonts w:ascii="Book Antiqua" w:hAnsi="Book Antiqua"/>
        </w:rPr>
      </w:pPr>
      <w:r>
        <w:rPr>
          <w:rFonts w:ascii="Book Antiqua" w:hAnsi="Book Antiqua"/>
        </w:rPr>
        <w:t xml:space="preserve">- Renewal of Ecclesiastical Education according to </w:t>
      </w:r>
      <w:proofErr w:type="spellStart"/>
      <w:r w:rsidRPr="009A0EE2">
        <w:rPr>
          <w:rFonts w:ascii="Book Antiqua" w:hAnsi="Book Antiqua"/>
          <w:i/>
        </w:rPr>
        <w:t>Veritatis</w:t>
      </w:r>
      <w:proofErr w:type="spellEnd"/>
      <w:r w:rsidRPr="009A0EE2">
        <w:rPr>
          <w:rFonts w:ascii="Book Antiqua" w:hAnsi="Book Antiqua"/>
          <w:i/>
        </w:rPr>
        <w:t xml:space="preserve"> </w:t>
      </w:r>
      <w:proofErr w:type="spellStart"/>
      <w:r w:rsidRPr="009A0EE2">
        <w:rPr>
          <w:rFonts w:ascii="Book Antiqua" w:hAnsi="Book Antiqua"/>
          <w:i/>
        </w:rPr>
        <w:t>Gaudium</w:t>
      </w:r>
      <w:proofErr w:type="spellEnd"/>
    </w:p>
    <w:p w14:paraId="39A4273C" w14:textId="77777777" w:rsidR="0076597C" w:rsidRDefault="0076597C" w:rsidP="0076597C">
      <w:pPr>
        <w:spacing w:after="80" w:line="240" w:lineRule="auto"/>
        <w:jc w:val="both"/>
        <w:rPr>
          <w:rFonts w:ascii="Book Antiqua" w:hAnsi="Book Antiqua"/>
          <w:color w:val="000000" w:themeColor="text1"/>
        </w:rPr>
      </w:pPr>
      <w:r>
        <w:rPr>
          <w:rFonts w:ascii="Book Antiqua" w:hAnsi="Book Antiqua"/>
          <w:color w:val="000000" w:themeColor="text1"/>
        </w:rPr>
        <w:t>- Theological Education in Asia [can focus on a particular country as well]</w:t>
      </w:r>
    </w:p>
    <w:p w14:paraId="19C50C9F" w14:textId="31731CC4" w:rsidR="00664A98" w:rsidRDefault="009A0EE2" w:rsidP="00664A98">
      <w:pPr>
        <w:spacing w:after="80" w:line="240" w:lineRule="auto"/>
        <w:jc w:val="both"/>
        <w:rPr>
          <w:rFonts w:ascii="Book Antiqua" w:hAnsi="Book Antiqua"/>
          <w:color w:val="000000" w:themeColor="text1"/>
        </w:rPr>
      </w:pPr>
      <w:r>
        <w:rPr>
          <w:rFonts w:ascii="Book Antiqua" w:hAnsi="Book Antiqua"/>
          <w:color w:val="000000" w:themeColor="text1"/>
        </w:rPr>
        <w:t>- Theological Education in a Globalized World</w:t>
      </w:r>
    </w:p>
    <w:p w14:paraId="7D0E878D" w14:textId="0A7A1115" w:rsidR="009A0EE2" w:rsidRDefault="009A0EE2" w:rsidP="00664A98">
      <w:pPr>
        <w:spacing w:after="80" w:line="240" w:lineRule="auto"/>
        <w:jc w:val="both"/>
        <w:rPr>
          <w:rFonts w:ascii="Book Antiqua" w:hAnsi="Book Antiqua"/>
          <w:color w:val="000000" w:themeColor="text1"/>
        </w:rPr>
      </w:pPr>
      <w:r>
        <w:rPr>
          <w:rFonts w:ascii="Book Antiqua" w:hAnsi="Book Antiqua"/>
          <w:color w:val="000000" w:themeColor="text1"/>
        </w:rPr>
        <w:t>- The Importance of Networking</w:t>
      </w:r>
    </w:p>
    <w:p w14:paraId="6FA43B0B" w14:textId="504218EE" w:rsidR="009A0EE2" w:rsidRDefault="009A0EE2" w:rsidP="00664A98">
      <w:pPr>
        <w:spacing w:after="80" w:line="240" w:lineRule="auto"/>
        <w:jc w:val="both"/>
        <w:rPr>
          <w:rFonts w:ascii="Book Antiqua" w:hAnsi="Book Antiqua"/>
          <w:color w:val="000000" w:themeColor="text1"/>
        </w:rPr>
      </w:pPr>
      <w:r>
        <w:rPr>
          <w:rFonts w:ascii="Book Antiqua" w:hAnsi="Book Antiqua"/>
          <w:color w:val="000000" w:themeColor="text1"/>
        </w:rPr>
        <w:t>- Secular Sciences and Theological Education</w:t>
      </w:r>
    </w:p>
    <w:p w14:paraId="07EDFE51" w14:textId="67D8DD0A" w:rsidR="009A0EE2" w:rsidRDefault="009A0EE2" w:rsidP="00664A98">
      <w:pPr>
        <w:spacing w:after="80" w:line="240" w:lineRule="auto"/>
        <w:jc w:val="both"/>
        <w:rPr>
          <w:rFonts w:ascii="Book Antiqua" w:hAnsi="Book Antiqua"/>
          <w:color w:val="000000" w:themeColor="text1"/>
        </w:rPr>
      </w:pPr>
      <w:r>
        <w:rPr>
          <w:rFonts w:ascii="Book Antiqua" w:hAnsi="Book Antiqua"/>
          <w:color w:val="000000" w:themeColor="text1"/>
        </w:rPr>
        <w:lastRenderedPageBreak/>
        <w:t>- Creative Fidelity in Theological Education</w:t>
      </w:r>
    </w:p>
    <w:p w14:paraId="05A4A95E" w14:textId="567AC29E" w:rsidR="009A0EE2" w:rsidRDefault="009A0EE2" w:rsidP="00664A98">
      <w:pPr>
        <w:spacing w:after="80" w:line="240" w:lineRule="auto"/>
        <w:jc w:val="both"/>
        <w:rPr>
          <w:rFonts w:ascii="Book Antiqua" w:hAnsi="Book Antiqua"/>
          <w:color w:val="000000" w:themeColor="text1"/>
        </w:rPr>
      </w:pPr>
      <w:r>
        <w:rPr>
          <w:rFonts w:ascii="Book Antiqua" w:hAnsi="Book Antiqua"/>
          <w:color w:val="000000" w:themeColor="text1"/>
        </w:rPr>
        <w:t>- Theological Education of the Laity</w:t>
      </w:r>
    </w:p>
    <w:p w14:paraId="35B6FD42" w14:textId="1F0BC44D" w:rsidR="009A0EE2" w:rsidRDefault="009A0EE2" w:rsidP="00664A98">
      <w:pPr>
        <w:spacing w:after="80" w:line="240" w:lineRule="auto"/>
        <w:jc w:val="both"/>
        <w:rPr>
          <w:rFonts w:ascii="Book Antiqua" w:hAnsi="Book Antiqua"/>
          <w:color w:val="000000" w:themeColor="text1"/>
        </w:rPr>
      </w:pPr>
      <w:r>
        <w:rPr>
          <w:rFonts w:ascii="Book Antiqua" w:hAnsi="Book Antiqua"/>
          <w:color w:val="000000" w:themeColor="text1"/>
        </w:rPr>
        <w:t>- Importance of Dialogue</w:t>
      </w:r>
      <w:r w:rsidR="00E016FD">
        <w:rPr>
          <w:rFonts w:ascii="Book Antiqua" w:hAnsi="Book Antiqua"/>
          <w:color w:val="000000" w:themeColor="text1"/>
        </w:rPr>
        <w:t xml:space="preserve"> [with Cultures, Religions, Secular Sciences, etc.]</w:t>
      </w:r>
      <w:r>
        <w:rPr>
          <w:rFonts w:ascii="Book Antiqua" w:hAnsi="Book Antiqua"/>
          <w:color w:val="000000" w:themeColor="text1"/>
        </w:rPr>
        <w:t xml:space="preserve"> in Theological Education</w:t>
      </w:r>
    </w:p>
    <w:p w14:paraId="128BE091" w14:textId="09E17FE6" w:rsidR="009A0EE2" w:rsidRDefault="009A0EE2" w:rsidP="00664A98">
      <w:pPr>
        <w:spacing w:after="80" w:line="240" w:lineRule="auto"/>
        <w:jc w:val="both"/>
        <w:rPr>
          <w:rFonts w:ascii="Book Antiqua" w:hAnsi="Book Antiqua"/>
          <w:color w:val="000000" w:themeColor="text1"/>
        </w:rPr>
      </w:pPr>
      <w:r>
        <w:rPr>
          <w:rFonts w:ascii="Book Antiqua" w:hAnsi="Book Antiqua"/>
          <w:color w:val="000000" w:themeColor="text1"/>
        </w:rPr>
        <w:t>- Fundamentalist Tendencies in the Church and Theological Education</w:t>
      </w:r>
    </w:p>
    <w:p w14:paraId="1B32E0A9" w14:textId="2B5019AE" w:rsidR="009A0EE2" w:rsidRDefault="009A0EE2" w:rsidP="00664A98">
      <w:pPr>
        <w:spacing w:after="80" w:line="240" w:lineRule="auto"/>
        <w:jc w:val="both"/>
        <w:rPr>
          <w:rFonts w:ascii="Book Antiqua" w:hAnsi="Book Antiqua"/>
          <w:color w:val="000000" w:themeColor="text1"/>
        </w:rPr>
      </w:pPr>
      <w:r>
        <w:rPr>
          <w:rFonts w:ascii="Book Antiqua" w:hAnsi="Book Antiqua"/>
          <w:color w:val="000000" w:themeColor="text1"/>
        </w:rPr>
        <w:t>- Official Teaching Authority and Theological Education</w:t>
      </w:r>
    </w:p>
    <w:p w14:paraId="7C001C71" w14:textId="3AF60127" w:rsidR="009A0EE2" w:rsidRPr="006D4561" w:rsidRDefault="009A0EE2" w:rsidP="00664A98">
      <w:pPr>
        <w:spacing w:after="80" w:line="240" w:lineRule="auto"/>
        <w:jc w:val="both"/>
        <w:rPr>
          <w:rFonts w:ascii="Book Antiqua" w:hAnsi="Book Antiqua"/>
          <w:color w:val="000000" w:themeColor="text1"/>
        </w:rPr>
      </w:pPr>
      <w:r>
        <w:rPr>
          <w:rFonts w:ascii="Book Antiqua" w:hAnsi="Book Antiqua"/>
          <w:color w:val="000000" w:themeColor="text1"/>
        </w:rPr>
        <w:t>- Academic Freedom in Theological Education</w:t>
      </w:r>
    </w:p>
    <w:p w14:paraId="0D2B501A" w14:textId="00BEC6B4" w:rsidR="008D62C2" w:rsidRPr="000F7759" w:rsidRDefault="008D62C2" w:rsidP="00664A98">
      <w:pPr>
        <w:spacing w:before="240"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bCs/>
          <w:color w:val="000000" w:themeColor="text1"/>
          <w:lang w:eastAsia="it-IT"/>
        </w:rPr>
        <w:t>Please send your articles </w:t>
      </w:r>
      <w:r w:rsidRPr="000F7759">
        <w:rPr>
          <w:rFonts w:ascii="Book Antiqua" w:eastAsia="Times New Roman" w:hAnsi="Book Antiqua"/>
          <w:color w:val="000000" w:themeColor="text1"/>
          <w:lang w:eastAsia="it-IT"/>
        </w:rPr>
        <w:t>(4500-5000 words, including the footnotes)</w:t>
      </w:r>
      <w:r w:rsidRPr="000F7759">
        <w:rPr>
          <w:rFonts w:ascii="Book Antiqua" w:eastAsia="Times New Roman" w:hAnsi="Book Antiqua"/>
          <w:bCs/>
          <w:color w:val="000000" w:themeColor="text1"/>
          <w:lang w:eastAsia="it-IT"/>
        </w:rPr>
        <w:t xml:space="preserve"> at the latest by </w:t>
      </w:r>
      <w:r w:rsidR="004A3189" w:rsidRPr="004A3189">
        <w:rPr>
          <w:rFonts w:ascii="Book Antiqua" w:eastAsia="Times New Roman" w:hAnsi="Book Antiqua"/>
          <w:b/>
          <w:bCs/>
          <w:color w:val="000000" w:themeColor="text1"/>
          <w:lang w:eastAsia="it-IT"/>
        </w:rPr>
        <w:t>1</w:t>
      </w:r>
      <w:r w:rsidRPr="004A3189">
        <w:rPr>
          <w:rFonts w:ascii="Book Antiqua" w:eastAsia="Times New Roman" w:hAnsi="Book Antiqua"/>
          <w:b/>
          <w:bCs/>
          <w:color w:val="000000" w:themeColor="text1"/>
          <w:lang w:eastAsia="it-IT"/>
        </w:rPr>
        <w:t xml:space="preserve"> </w:t>
      </w:r>
      <w:r w:rsidR="004A3189">
        <w:rPr>
          <w:rFonts w:ascii="Book Antiqua" w:eastAsia="Times New Roman" w:hAnsi="Book Antiqua"/>
          <w:b/>
          <w:bCs/>
          <w:color w:val="000000" w:themeColor="text1"/>
          <w:lang w:eastAsia="it-IT"/>
        </w:rPr>
        <w:t>Dec</w:t>
      </w:r>
      <w:r w:rsidR="009A0EE2">
        <w:rPr>
          <w:rFonts w:ascii="Book Antiqua" w:eastAsia="Times New Roman" w:hAnsi="Book Antiqua"/>
          <w:b/>
          <w:bCs/>
          <w:color w:val="000000" w:themeColor="text1"/>
          <w:lang w:eastAsia="it-IT"/>
        </w:rPr>
        <w:t>ember</w:t>
      </w:r>
      <w:r w:rsidRPr="000F7759">
        <w:rPr>
          <w:rFonts w:ascii="Book Antiqua" w:eastAsia="Times New Roman" w:hAnsi="Book Antiqua"/>
          <w:b/>
          <w:bCs/>
          <w:color w:val="000000" w:themeColor="text1"/>
          <w:lang w:eastAsia="it-IT"/>
        </w:rPr>
        <w:t xml:space="preserve"> 201</w:t>
      </w:r>
      <w:r w:rsidR="0065582A">
        <w:rPr>
          <w:rFonts w:ascii="Book Antiqua" w:eastAsia="Times New Roman" w:hAnsi="Book Antiqua"/>
          <w:b/>
          <w:bCs/>
          <w:color w:val="000000" w:themeColor="text1"/>
          <w:lang w:eastAsia="it-IT"/>
        </w:rPr>
        <w:t>8</w:t>
      </w:r>
      <w:r w:rsidRPr="000F7759">
        <w:rPr>
          <w:rFonts w:ascii="Book Antiqua" w:eastAsia="Times New Roman" w:hAnsi="Book Antiqua"/>
          <w:bCs/>
          <w:color w:val="000000" w:themeColor="text1"/>
          <w:lang w:eastAsia="it-IT"/>
        </w:rPr>
        <w:t>. Kindly include the abstract of the article in 150-200 words, 5-7 Keywords and a summary of the CV of the author in 100-150 words.</w:t>
      </w:r>
    </w:p>
    <w:p w14:paraId="51AC9CC8" w14:textId="77777777" w:rsidR="008D62C2" w:rsidRPr="000F7759" w:rsidRDefault="008D62C2" w:rsidP="008D62C2">
      <w:pPr>
        <w:spacing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color w:val="000000" w:themeColor="text1"/>
          <w:lang w:eastAsia="it-IT"/>
        </w:rPr>
        <w:t>Other regular items: “New Scholars”: Abstract of doctoral theses (recently defended and not yet published)</w:t>
      </w:r>
      <w:proofErr w:type="gramStart"/>
      <w:r w:rsidRPr="000F7759">
        <w:rPr>
          <w:rFonts w:ascii="Book Antiqua" w:eastAsia="Times New Roman" w:hAnsi="Book Antiqua"/>
          <w:color w:val="000000" w:themeColor="text1"/>
          <w:lang w:eastAsia="it-IT"/>
        </w:rPr>
        <w:t>;</w:t>
      </w:r>
      <w:proofErr w:type="gramEnd"/>
      <w:r w:rsidRPr="000F7759">
        <w:rPr>
          <w:rFonts w:ascii="Book Antiqua" w:eastAsia="Times New Roman" w:hAnsi="Book Antiqua"/>
          <w:color w:val="000000" w:themeColor="text1"/>
          <w:lang w:eastAsia="it-IT"/>
        </w:rPr>
        <w:t xml:space="preserve"> Reports and Statements of important conferences, Book Reviews.</w:t>
      </w:r>
    </w:p>
    <w:p w14:paraId="66078C5B" w14:textId="29AC69C0" w:rsidR="008D62C2" w:rsidRDefault="008D62C2" w:rsidP="008D62C2">
      <w:pPr>
        <w:spacing w:after="80" w:line="240" w:lineRule="auto"/>
        <w:jc w:val="both"/>
        <w:rPr>
          <w:rFonts w:ascii="Book Antiqua" w:eastAsia="Times New Roman" w:hAnsi="Book Antiqua"/>
          <w:color w:val="000000" w:themeColor="text1"/>
          <w:lang w:eastAsia="it-IT"/>
        </w:rPr>
      </w:pPr>
      <w:r w:rsidRPr="000F7759">
        <w:rPr>
          <w:rFonts w:ascii="Book Antiqua" w:eastAsia="Times New Roman" w:hAnsi="Book Antiqua"/>
          <w:b/>
          <w:color w:val="000000" w:themeColor="text1"/>
          <w:lang w:eastAsia="it-IT"/>
        </w:rPr>
        <w:t>For submitting the articles and for more details:</w:t>
      </w:r>
      <w:r w:rsidRPr="000F7759">
        <w:rPr>
          <w:rFonts w:ascii="Book Antiqua" w:eastAsia="Times New Roman" w:hAnsi="Book Antiqua"/>
          <w:color w:val="000000" w:themeColor="text1"/>
          <w:lang w:eastAsia="it-IT"/>
        </w:rPr>
        <w:t xml:space="preserve"> Shaji George </w:t>
      </w:r>
      <w:proofErr w:type="spellStart"/>
      <w:r w:rsidRPr="000F7759">
        <w:rPr>
          <w:rFonts w:ascii="Book Antiqua" w:eastAsia="Times New Roman" w:hAnsi="Book Antiqua"/>
          <w:color w:val="000000" w:themeColor="text1"/>
          <w:lang w:eastAsia="it-IT"/>
        </w:rPr>
        <w:t>Kochuthara</w:t>
      </w:r>
      <w:proofErr w:type="spellEnd"/>
      <w:r w:rsidRPr="000F7759">
        <w:rPr>
          <w:rFonts w:ascii="Book Antiqua" w:eastAsia="Times New Roman" w:hAnsi="Book Antiqua"/>
          <w:color w:val="000000" w:themeColor="text1"/>
          <w:lang w:eastAsia="it-IT"/>
        </w:rPr>
        <w:t xml:space="preserve"> (editor-in-chief): </w:t>
      </w:r>
      <w:r w:rsidR="00506856" w:rsidRPr="00506856">
        <w:rPr>
          <w:rFonts w:ascii="Book Antiqua" w:eastAsia="Times New Roman" w:hAnsi="Book Antiqua"/>
          <w:color w:val="000000" w:themeColor="text1"/>
          <w:lang w:eastAsia="it-IT"/>
        </w:rPr>
        <w:t>kochuthshaji@gmail.com</w:t>
      </w:r>
    </w:p>
    <w:p w14:paraId="406CAA2C" w14:textId="77777777" w:rsidR="00506856" w:rsidRPr="00A132C5" w:rsidRDefault="00506856" w:rsidP="00506856">
      <w:pPr>
        <w:spacing w:after="120" w:line="240" w:lineRule="auto"/>
        <w:jc w:val="both"/>
        <w:rPr>
          <w:rFonts w:ascii="Book Antiqua" w:eastAsia="Times New Roman" w:hAnsi="Book Antiqua"/>
          <w:color w:val="FF0000"/>
          <w:lang w:eastAsia="it-IT"/>
        </w:rPr>
      </w:pPr>
      <w:r w:rsidRPr="00A132C5">
        <w:rPr>
          <w:rFonts w:ascii="Book Antiqua" w:eastAsia="Times New Roman" w:hAnsi="Book Antiqua"/>
          <w:color w:val="FF0000"/>
          <w:lang w:eastAsia="it-IT"/>
        </w:rPr>
        <w:t>N.B. Kindly forward this to your friends and colleagues.</w:t>
      </w:r>
    </w:p>
    <w:p w14:paraId="1818D90A" w14:textId="23C93C98" w:rsidR="00506856" w:rsidRPr="000F7759" w:rsidRDefault="00506856" w:rsidP="00506856">
      <w:pPr>
        <w:spacing w:after="80" w:line="240" w:lineRule="auto"/>
        <w:jc w:val="both"/>
        <w:rPr>
          <w:rFonts w:ascii="Book Antiqua" w:hAnsi="Book Antiqua"/>
          <w:color w:val="000000" w:themeColor="text1"/>
        </w:rPr>
      </w:pPr>
      <w:r w:rsidRPr="00A132C5">
        <w:rPr>
          <w:rFonts w:ascii="Book Antiqua" w:eastAsia="Times New Roman" w:hAnsi="Book Antiqua" w:cs="Arial"/>
          <w:iCs/>
          <w:lang w:eastAsia="en-GB"/>
        </w:rPr>
        <w:t>[</w:t>
      </w:r>
      <w:r w:rsidRPr="00A132C5">
        <w:rPr>
          <w:rFonts w:ascii="Book Antiqua" w:eastAsia="Times New Roman" w:hAnsi="Book Antiqua" w:cs="Arial"/>
          <w:i/>
          <w:iCs/>
          <w:lang w:eastAsia="en-GB"/>
        </w:rPr>
        <w:t>Asian Horizons</w:t>
      </w:r>
      <w:r w:rsidRPr="00A132C5">
        <w:rPr>
          <w:rFonts w:ascii="Book Antiqua" w:eastAsia="Times New Roman" w:hAnsi="Book Antiqua" w:cs="Arial"/>
          <w:lang w:eastAsia="en-GB"/>
        </w:rPr>
        <w:t xml:space="preserve">, published from DVK, is a forum for theological reflection in the Asian context marked by economic poverty, cultural diversity and religious plurality. Although the focus is on theological reflection in the context of Asia, we also address theological developments and concerns of the universal Church and try to dialogue with the Church in various contexts. Hence we welcome authors from all over the world. </w:t>
      </w:r>
      <w:r w:rsidRPr="00A132C5">
        <w:rPr>
          <w:rFonts w:ascii="Book Antiqua" w:eastAsia="Times New Roman" w:hAnsi="Book Antiqua" w:cs="Arial"/>
          <w:i/>
          <w:lang w:eastAsia="en-GB"/>
        </w:rPr>
        <w:t xml:space="preserve">Asian Horizons </w:t>
      </w:r>
      <w:r w:rsidRPr="00A132C5">
        <w:rPr>
          <w:rFonts w:ascii="Book Antiqua" w:eastAsia="Times New Roman" w:hAnsi="Book Antiqua" w:cs="Arial"/>
          <w:lang w:eastAsia="en-GB"/>
        </w:rPr>
        <w:t>was launched in 2007 as a biannual. From 2011 it is published</w:t>
      </w:r>
      <w:r w:rsidRPr="00A132C5">
        <w:rPr>
          <w:rFonts w:ascii="Book Antiqua" w:eastAsia="Times New Roman" w:hAnsi="Book Antiqua" w:cs="Arial"/>
          <w:i/>
          <w:iCs/>
          <w:lang w:eastAsia="en-GB"/>
        </w:rPr>
        <w:t> </w:t>
      </w:r>
      <w:r w:rsidRPr="00A132C5">
        <w:rPr>
          <w:rFonts w:ascii="Book Antiqua" w:eastAsia="Times New Roman" w:hAnsi="Book Antiqua" w:cs="Arial"/>
          <w:lang w:eastAsia="en-GB"/>
        </w:rPr>
        <w:t>as a quarterly. We have an editorial board consisting of members from India, other Asian countries and other continents.]</w:t>
      </w:r>
    </w:p>
    <w:p w14:paraId="4AA067E2" w14:textId="24575364" w:rsidR="008D62C2" w:rsidRPr="000F7759" w:rsidRDefault="0047705D" w:rsidP="008D62C2">
      <w:pPr>
        <w:spacing w:before="360" w:after="80" w:line="240" w:lineRule="auto"/>
        <w:jc w:val="center"/>
        <w:rPr>
          <w:rFonts w:ascii="Book Antiqua" w:hAnsi="Book Antiqua"/>
          <w:color w:val="000000" w:themeColor="text1"/>
          <w:sz w:val="32"/>
          <w:szCs w:val="32"/>
        </w:rPr>
      </w:pPr>
      <w:r>
        <w:rPr>
          <w:rFonts w:ascii="Book Antiqua" w:hAnsi="Book Antiqua"/>
          <w:b/>
          <w:color w:val="000000" w:themeColor="text1"/>
          <w:sz w:val="32"/>
          <w:szCs w:val="32"/>
        </w:rPr>
        <w:t>Themes: 2018</w:t>
      </w:r>
      <w:r w:rsidR="008D62C2" w:rsidRPr="000F7759">
        <w:rPr>
          <w:rFonts w:ascii="Book Antiqua" w:hAnsi="Book Antiqua"/>
          <w:b/>
          <w:color w:val="000000" w:themeColor="text1"/>
          <w:sz w:val="32"/>
          <w:szCs w:val="32"/>
        </w:rPr>
        <w:t>-2019</w:t>
      </w:r>
    </w:p>
    <w:p w14:paraId="5D6AB599" w14:textId="77777777" w:rsidR="008D62C2" w:rsidRPr="000F7759" w:rsidRDefault="008D62C2" w:rsidP="008D62C2">
      <w:pPr>
        <w:spacing w:after="80" w:line="240" w:lineRule="auto"/>
        <w:rPr>
          <w:rFonts w:ascii="Book Antiqua" w:hAnsi="Book Antiqua"/>
          <w:b/>
          <w:color w:val="000000" w:themeColor="text1"/>
        </w:rPr>
      </w:pPr>
      <w:r w:rsidRPr="000F7759">
        <w:rPr>
          <w:rFonts w:ascii="Book Antiqua" w:hAnsi="Book Antiqua"/>
          <w:b/>
          <w:color w:val="000000" w:themeColor="text1"/>
        </w:rPr>
        <w:t>2018: Vol. 12</w:t>
      </w:r>
    </w:p>
    <w:p w14:paraId="61C58AE4" w14:textId="166F0ACB" w:rsidR="008D62C2" w:rsidRPr="0065582A" w:rsidRDefault="008D62C2" w:rsidP="0065582A">
      <w:pPr>
        <w:spacing w:after="60" w:line="240" w:lineRule="auto"/>
        <w:jc w:val="both"/>
        <w:rPr>
          <w:rFonts w:ascii="Book Antiqua" w:hAnsi="Book Antiqua"/>
          <w:color w:val="000000" w:themeColor="text1"/>
          <w:sz w:val="18"/>
        </w:rPr>
      </w:pPr>
      <w:r w:rsidRPr="000F7759">
        <w:rPr>
          <w:rFonts w:ascii="Book Antiqua" w:hAnsi="Book Antiqua"/>
          <w:color w:val="000000" w:themeColor="text1"/>
          <w:sz w:val="20"/>
        </w:rPr>
        <w:t>March:</w:t>
      </w:r>
      <w:r w:rsidRPr="0065582A">
        <w:rPr>
          <w:rFonts w:ascii="Book Antiqua" w:hAnsi="Book Antiqua"/>
          <w:color w:val="000000" w:themeColor="text1"/>
          <w:sz w:val="18"/>
        </w:rPr>
        <w:t xml:space="preserve"> </w:t>
      </w:r>
      <w:r w:rsidR="0065582A" w:rsidRPr="0065582A">
        <w:rPr>
          <w:rFonts w:ascii="Book Antiqua" w:hAnsi="Book Antiqua"/>
          <w:sz w:val="20"/>
        </w:rPr>
        <w:t>A Moral Right for the Education of Religious Women: An Instrument for Global Evangelization</w:t>
      </w:r>
    </w:p>
    <w:p w14:paraId="726E44A3" w14:textId="77777777" w:rsidR="008D62C2" w:rsidRPr="000F7759" w:rsidRDefault="008D62C2" w:rsidP="008D62C2">
      <w:pPr>
        <w:spacing w:after="60" w:line="240" w:lineRule="auto"/>
        <w:jc w:val="both"/>
        <w:rPr>
          <w:rFonts w:ascii="Book Antiqua" w:hAnsi="Book Antiqua"/>
          <w:i/>
          <w:color w:val="000000" w:themeColor="text1"/>
          <w:sz w:val="20"/>
        </w:rPr>
      </w:pPr>
      <w:r w:rsidRPr="000F7759">
        <w:rPr>
          <w:rFonts w:ascii="Book Antiqua" w:hAnsi="Book Antiqua"/>
          <w:color w:val="000000" w:themeColor="text1"/>
          <w:sz w:val="20"/>
        </w:rPr>
        <w:t xml:space="preserve">June: Theology of Family, Sexuality, and Marriage: From </w:t>
      </w:r>
      <w:proofErr w:type="spellStart"/>
      <w:r w:rsidRPr="000F7759">
        <w:rPr>
          <w:rFonts w:ascii="Book Antiqua" w:hAnsi="Book Antiqua"/>
          <w:i/>
          <w:color w:val="000000" w:themeColor="text1"/>
          <w:sz w:val="20"/>
        </w:rPr>
        <w:t>Casti</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Connubii</w:t>
      </w:r>
      <w:proofErr w:type="spellEnd"/>
      <w:r w:rsidRPr="000F7759">
        <w:rPr>
          <w:rFonts w:ascii="Book Antiqua" w:hAnsi="Book Antiqua"/>
          <w:color w:val="000000" w:themeColor="text1"/>
          <w:sz w:val="20"/>
        </w:rPr>
        <w:t xml:space="preserve"> to </w:t>
      </w:r>
      <w:proofErr w:type="spellStart"/>
      <w:r w:rsidRPr="000F7759">
        <w:rPr>
          <w:rFonts w:ascii="Book Antiqua" w:hAnsi="Book Antiqua"/>
          <w:i/>
          <w:color w:val="000000" w:themeColor="text1"/>
          <w:sz w:val="20"/>
        </w:rPr>
        <w:t>Amoris</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Laetitia</w:t>
      </w:r>
      <w:proofErr w:type="spellEnd"/>
    </w:p>
    <w:p w14:paraId="0B4C0C11"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 xml:space="preserve">September: </w:t>
      </w:r>
      <w:proofErr w:type="spellStart"/>
      <w:r w:rsidRPr="000F7759">
        <w:rPr>
          <w:rFonts w:ascii="Book Antiqua" w:hAnsi="Book Antiqua"/>
          <w:i/>
          <w:color w:val="000000" w:themeColor="text1"/>
          <w:sz w:val="20"/>
        </w:rPr>
        <w:t>Sensus</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Fidei</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Sesus</w:t>
      </w:r>
      <w:proofErr w:type="spellEnd"/>
      <w:r w:rsidRPr="000F7759">
        <w:rPr>
          <w:rFonts w:ascii="Book Antiqua" w:hAnsi="Book Antiqua"/>
          <w:i/>
          <w:color w:val="000000" w:themeColor="text1"/>
          <w:sz w:val="20"/>
        </w:rPr>
        <w:t xml:space="preserve"> </w:t>
      </w:r>
      <w:proofErr w:type="spellStart"/>
      <w:r w:rsidRPr="000F7759">
        <w:rPr>
          <w:rFonts w:ascii="Book Antiqua" w:hAnsi="Book Antiqua"/>
          <w:i/>
          <w:color w:val="000000" w:themeColor="text1"/>
          <w:sz w:val="20"/>
        </w:rPr>
        <w:t>fidelium</w:t>
      </w:r>
      <w:proofErr w:type="spellEnd"/>
      <w:r w:rsidRPr="000F7759">
        <w:rPr>
          <w:rFonts w:ascii="Book Antiqua" w:hAnsi="Book Antiqua"/>
          <w:color w:val="000000" w:themeColor="text1"/>
          <w:sz w:val="20"/>
        </w:rPr>
        <w:t xml:space="preserve"> and the Magisterium</w:t>
      </w:r>
    </w:p>
    <w:p w14:paraId="7F779C8C" w14:textId="57DEEA5A" w:rsidR="008D62C2" w:rsidRPr="000F7759" w:rsidRDefault="008D62C2" w:rsidP="008D62C2">
      <w:pPr>
        <w:spacing w:after="120" w:line="240" w:lineRule="auto"/>
        <w:rPr>
          <w:rFonts w:ascii="Book Antiqua" w:hAnsi="Book Antiqua"/>
          <w:color w:val="000000" w:themeColor="text1"/>
          <w:sz w:val="20"/>
        </w:rPr>
      </w:pPr>
      <w:r w:rsidRPr="000F7759">
        <w:rPr>
          <w:rFonts w:ascii="Book Antiqua" w:hAnsi="Book Antiqua"/>
          <w:color w:val="000000" w:themeColor="text1"/>
          <w:sz w:val="20"/>
        </w:rPr>
        <w:t xml:space="preserve">December: </w:t>
      </w:r>
      <w:r w:rsidR="009A0EE2">
        <w:rPr>
          <w:rFonts w:ascii="Book Antiqua" w:hAnsi="Book Antiqua"/>
          <w:color w:val="000000" w:themeColor="text1"/>
          <w:sz w:val="20"/>
        </w:rPr>
        <w:t xml:space="preserve"> </w:t>
      </w:r>
      <w:r w:rsidRPr="000F7759">
        <w:rPr>
          <w:rFonts w:ascii="Book Antiqua" w:hAnsi="Book Antiqua"/>
          <w:color w:val="000000" w:themeColor="text1"/>
          <w:sz w:val="20"/>
        </w:rPr>
        <w:t>Theological Education: Challenges</w:t>
      </w:r>
      <w:bookmarkStart w:id="0" w:name="_GoBack"/>
      <w:bookmarkEnd w:id="0"/>
    </w:p>
    <w:p w14:paraId="2ABDA5CA" w14:textId="77777777" w:rsidR="008D62C2" w:rsidRPr="000F7759" w:rsidRDefault="008D62C2" w:rsidP="008D62C2">
      <w:pPr>
        <w:spacing w:after="80" w:line="240" w:lineRule="auto"/>
        <w:rPr>
          <w:rFonts w:ascii="Book Antiqua" w:hAnsi="Book Antiqua"/>
          <w:b/>
          <w:color w:val="000000" w:themeColor="text1"/>
        </w:rPr>
      </w:pPr>
      <w:r w:rsidRPr="000F7759">
        <w:rPr>
          <w:rFonts w:ascii="Book Antiqua" w:hAnsi="Book Antiqua"/>
          <w:b/>
          <w:color w:val="000000" w:themeColor="text1"/>
        </w:rPr>
        <w:t>2019: Vol. 13</w:t>
      </w:r>
    </w:p>
    <w:p w14:paraId="488E04D5"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March: Gender: Theology and Praxis</w:t>
      </w:r>
    </w:p>
    <w:p w14:paraId="0B5C400A"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June: The Theologian in the Local Church</w:t>
      </w:r>
    </w:p>
    <w:p w14:paraId="6D117F3F" w14:textId="77777777" w:rsidR="008D62C2" w:rsidRPr="000F7759" w:rsidRDefault="008D62C2" w:rsidP="008D62C2">
      <w:pPr>
        <w:spacing w:after="60" w:line="240" w:lineRule="auto"/>
        <w:rPr>
          <w:rFonts w:ascii="Book Antiqua" w:hAnsi="Book Antiqua"/>
          <w:color w:val="000000" w:themeColor="text1"/>
          <w:sz w:val="20"/>
        </w:rPr>
      </w:pPr>
      <w:r w:rsidRPr="000F7759">
        <w:rPr>
          <w:rFonts w:ascii="Book Antiqua" w:hAnsi="Book Antiqua"/>
          <w:color w:val="000000" w:themeColor="text1"/>
          <w:sz w:val="20"/>
        </w:rPr>
        <w:t>September: Biblical Theology: Asian Contribution</w:t>
      </w:r>
    </w:p>
    <w:p w14:paraId="10F69C26" w14:textId="2EE2CDD9" w:rsidR="004D0AF5" w:rsidRPr="0015636B" w:rsidRDefault="008D62C2" w:rsidP="0015636B">
      <w:pPr>
        <w:spacing w:line="240" w:lineRule="auto"/>
        <w:rPr>
          <w:rFonts w:ascii="Book Antiqua" w:hAnsi="Book Antiqua"/>
          <w:color w:val="000000" w:themeColor="text1"/>
          <w:sz w:val="20"/>
        </w:rPr>
      </w:pPr>
      <w:r w:rsidRPr="000F7759">
        <w:rPr>
          <w:rFonts w:ascii="Book Antiqua" w:hAnsi="Book Antiqua"/>
          <w:color w:val="000000" w:themeColor="text1"/>
          <w:sz w:val="20"/>
        </w:rPr>
        <w:t>December: Religious Pluralism: Changing Perspectives</w:t>
      </w:r>
    </w:p>
    <w:sectPr w:rsidR="004D0AF5" w:rsidRPr="0015636B" w:rsidSect="008D62C2">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1" w:h="16840" w:code="156"/>
      <w:pgMar w:top="1418" w:right="1418" w:bottom="1418" w:left="1418" w:header="737"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B03F" w14:textId="77777777" w:rsidR="00E016FD" w:rsidRDefault="00E016FD" w:rsidP="008D62C2">
      <w:pPr>
        <w:spacing w:after="0" w:line="240" w:lineRule="auto"/>
      </w:pPr>
      <w:r>
        <w:separator/>
      </w:r>
    </w:p>
  </w:endnote>
  <w:endnote w:type="continuationSeparator" w:id="0">
    <w:p w14:paraId="004799D5" w14:textId="77777777" w:rsidR="00E016FD" w:rsidRDefault="00E016FD" w:rsidP="008D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C498" w14:textId="77777777" w:rsidR="00E016FD" w:rsidRDefault="00E016FD" w:rsidP="009A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DFF60" w14:textId="77777777" w:rsidR="00E016FD" w:rsidRDefault="00E016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28C5" w14:textId="77777777" w:rsidR="00E016FD" w:rsidRDefault="00E016FD" w:rsidP="009A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97C">
      <w:rPr>
        <w:rStyle w:val="PageNumber"/>
        <w:noProof/>
      </w:rPr>
      <w:t>2</w:t>
    </w:r>
    <w:r>
      <w:rPr>
        <w:rStyle w:val="PageNumber"/>
      </w:rPr>
      <w:fldChar w:fldCharType="end"/>
    </w:r>
  </w:p>
  <w:p w14:paraId="612F9223" w14:textId="77777777" w:rsidR="00E016FD" w:rsidRDefault="00E016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11BFE" w14:textId="77777777" w:rsidR="00E016FD" w:rsidRDefault="00E016FD" w:rsidP="008D62C2">
      <w:pPr>
        <w:spacing w:after="0" w:line="240" w:lineRule="auto"/>
      </w:pPr>
      <w:r>
        <w:separator/>
      </w:r>
    </w:p>
  </w:footnote>
  <w:footnote w:type="continuationSeparator" w:id="0">
    <w:p w14:paraId="50CA6CC5" w14:textId="77777777" w:rsidR="00E016FD" w:rsidRDefault="00E016FD" w:rsidP="008D6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054" w:type="dxa"/>
      <w:tblInd w:w="-91" w:type="dxa"/>
      <w:tblBorders>
        <w:top w:val="none" w:sz="0" w:space="0" w:color="auto"/>
        <w:left w:val="none" w:sz="0" w:space="0" w:color="auto"/>
        <w:bottom w:val="none" w:sz="0" w:space="0" w:color="auto"/>
        <w:right w:val="none" w:sz="0" w:space="0" w:color="auto"/>
        <w:insideH w:val="single" w:sz="8" w:space="0" w:color="000000" w:themeColor="text1"/>
        <w:insideV w:val="single" w:sz="8" w:space="0" w:color="000000" w:themeColor="text1"/>
      </w:tblBorders>
      <w:tblLayout w:type="fixed"/>
      <w:tblLook w:val="04A0" w:firstRow="1" w:lastRow="0" w:firstColumn="1" w:lastColumn="0" w:noHBand="0" w:noVBand="1"/>
    </w:tblPr>
    <w:tblGrid>
      <w:gridCol w:w="709"/>
      <w:gridCol w:w="6345"/>
    </w:tblGrid>
    <w:tr w:rsidR="00E016FD" w14:paraId="13504BD8" w14:textId="77777777" w:rsidTr="000F3495">
      <w:trPr>
        <w:trHeight w:val="142"/>
      </w:trPr>
      <w:tc>
        <w:tcPr>
          <w:tcW w:w="709" w:type="dxa"/>
        </w:tcPr>
        <w:tbl>
          <w:tblPr>
            <w:tblStyle w:val="TableGrid"/>
            <w:tblW w:w="6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80"/>
          </w:tblGrid>
          <w:tr w:rsidR="00E016FD" w14:paraId="55F1BA39" w14:textId="77777777" w:rsidTr="000F3495">
            <w:trPr>
              <w:trHeight w:val="291"/>
            </w:trPr>
            <w:tc>
              <w:tcPr>
                <w:tcW w:w="757" w:type="dxa"/>
              </w:tcPr>
              <w:p w14:paraId="551D0911" w14:textId="77777777" w:rsidR="00E016FD" w:rsidRPr="00B77145" w:rsidRDefault="00E016FD" w:rsidP="000F3495">
                <w:pPr>
                  <w:pStyle w:val="Header"/>
                  <w:tabs>
                    <w:tab w:val="left" w:pos="4403"/>
                    <w:tab w:val="right" w:pos="6129"/>
                  </w:tabs>
                  <w:rPr>
                    <w:rFonts w:ascii="Book Antiqua" w:hAnsi="Book Antiqua"/>
                    <w:sz w:val="20"/>
                    <w:szCs w:val="20"/>
                  </w:rPr>
                </w:pPr>
                <w:r w:rsidRPr="00B77145">
                  <w:rPr>
                    <w:rFonts w:ascii="Book Antiqua" w:hAnsi="Book Antiqua"/>
                    <w:sz w:val="20"/>
                    <w:szCs w:val="20"/>
                  </w:rPr>
                  <w:fldChar w:fldCharType="begin"/>
                </w:r>
                <w:r w:rsidRPr="00B77145">
                  <w:rPr>
                    <w:rFonts w:ascii="Book Antiqua" w:hAnsi="Book Antiqua"/>
                    <w:sz w:val="20"/>
                    <w:szCs w:val="20"/>
                  </w:rPr>
                  <w:instrText xml:space="preserve"> PAGE   \* MERGEFORMAT </w:instrText>
                </w:r>
                <w:r w:rsidRPr="00B77145">
                  <w:rPr>
                    <w:rFonts w:ascii="Book Antiqua" w:hAnsi="Book Antiqua"/>
                    <w:sz w:val="20"/>
                    <w:szCs w:val="20"/>
                  </w:rPr>
                  <w:fldChar w:fldCharType="separate"/>
                </w:r>
                <w:r>
                  <w:rPr>
                    <w:rFonts w:ascii="Book Antiqua" w:hAnsi="Book Antiqua"/>
                    <w:noProof/>
                    <w:sz w:val="20"/>
                    <w:szCs w:val="20"/>
                  </w:rPr>
                  <w:t>424</w:t>
                </w:r>
                <w:r w:rsidRPr="00B77145">
                  <w:rPr>
                    <w:rFonts w:ascii="Book Antiqua" w:hAnsi="Book Antiqua"/>
                    <w:sz w:val="20"/>
                    <w:szCs w:val="20"/>
                  </w:rPr>
                  <w:fldChar w:fldCharType="end"/>
                </w:r>
              </w:p>
            </w:tc>
          </w:tr>
        </w:tbl>
        <w:p w14:paraId="35820FDF" w14:textId="77777777" w:rsidR="00E016FD" w:rsidRPr="00B77145" w:rsidRDefault="00E016FD" w:rsidP="000F3495">
          <w:pPr>
            <w:pStyle w:val="Header"/>
            <w:tabs>
              <w:tab w:val="left" w:pos="4403"/>
              <w:tab w:val="right" w:pos="6129"/>
            </w:tabs>
            <w:rPr>
              <w:i/>
              <w:sz w:val="20"/>
              <w:szCs w:val="20"/>
            </w:rPr>
          </w:pPr>
        </w:p>
      </w:tc>
      <w:tc>
        <w:tcPr>
          <w:tcW w:w="6345" w:type="dxa"/>
        </w:tcPr>
        <w:p w14:paraId="59A7BED1" w14:textId="77777777" w:rsidR="00E016FD" w:rsidRPr="00913CF4" w:rsidRDefault="00E016FD" w:rsidP="000F3495">
          <w:pPr>
            <w:pStyle w:val="Header"/>
            <w:rPr>
              <w:rFonts w:ascii="Book Antiqua" w:hAnsi="Book Antiqua"/>
              <w:i/>
              <w:color w:val="000000" w:themeColor="text1"/>
              <w:sz w:val="20"/>
              <w:szCs w:val="20"/>
            </w:rPr>
          </w:pPr>
          <w:r w:rsidRPr="00913CF4">
            <w:rPr>
              <w:rFonts w:ascii="Book Antiqua" w:hAnsi="Book Antiqua"/>
              <w:i/>
              <w:color w:val="000000" w:themeColor="text1"/>
              <w:sz w:val="20"/>
              <w:szCs w:val="20"/>
            </w:rPr>
            <w:t>Asian Horizons</w:t>
          </w:r>
        </w:p>
      </w:tc>
    </w:tr>
  </w:tbl>
  <w:p w14:paraId="0A7A50E0" w14:textId="77777777" w:rsidR="00E016FD" w:rsidRPr="003B5450" w:rsidRDefault="00E016FD" w:rsidP="000F3495">
    <w:pPr>
      <w:pStyle w:val="Header"/>
      <w:rPr>
        <w:rFonts w:ascii="Book Antiqua" w:hAnsi="Book Antiqua"/>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59" w:type="dxa"/>
      <w:tblBorders>
        <w:top w:val="none" w:sz="0" w:space="0" w:color="auto"/>
        <w:left w:val="none" w:sz="0" w:space="0" w:color="auto"/>
        <w:bottom w:val="none" w:sz="0" w:space="0" w:color="auto"/>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459"/>
    </w:tblGrid>
    <w:tr w:rsidR="00E016FD" w14:paraId="2560EAE7" w14:textId="77777777" w:rsidTr="00EE032B">
      <w:tc>
        <w:tcPr>
          <w:tcW w:w="459" w:type="dxa"/>
        </w:tcPr>
        <w:p w14:paraId="25F79020" w14:textId="77777777" w:rsidR="00E016FD" w:rsidRDefault="00E016FD" w:rsidP="000F3495">
          <w:pPr>
            <w:pStyle w:val="Header"/>
            <w:jc w:val="center"/>
            <w:rPr>
              <w:i/>
              <w:sz w:val="20"/>
              <w:szCs w:val="20"/>
            </w:rPr>
          </w:pPr>
        </w:p>
      </w:tc>
    </w:tr>
  </w:tbl>
  <w:p w14:paraId="12205A24" w14:textId="77777777" w:rsidR="00E016FD" w:rsidRPr="003B5450" w:rsidRDefault="00E016FD" w:rsidP="000F3495">
    <w:pPr>
      <w:pStyle w:val="Heade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D255" w14:textId="77777777" w:rsidR="00E016FD" w:rsidRPr="00913CF4" w:rsidRDefault="00E016FD" w:rsidP="008D62C2">
    <w:pPr>
      <w:pStyle w:val="Header"/>
      <w:spacing w:before="360"/>
      <w:rPr>
        <w:rFonts w:ascii="Book Antiqua" w:hAnsi="Book Antiqua"/>
        <w:color w:val="000000" w:themeColor="text1"/>
      </w:rPr>
    </w:pPr>
  </w:p>
  <w:p w14:paraId="1308F6E6" w14:textId="77777777" w:rsidR="00E016FD" w:rsidRPr="00913CF4" w:rsidRDefault="00E016FD" w:rsidP="000F3495">
    <w:pPr>
      <w:pStyle w:val="Header"/>
      <w:rPr>
        <w:rFonts w:ascii="Book Antiqua" w:hAnsi="Book Antiqua"/>
        <w:color w:val="000000" w:themeColor="tex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A34"/>
    <w:multiLevelType w:val="hybridMultilevel"/>
    <w:tmpl w:val="7D2EF17E"/>
    <w:lvl w:ilvl="0" w:tplc="370081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1"/>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C2"/>
    <w:rsid w:val="000040B7"/>
    <w:rsid w:val="000A273F"/>
    <w:rsid w:val="000F3495"/>
    <w:rsid w:val="00114C09"/>
    <w:rsid w:val="00135AB3"/>
    <w:rsid w:val="0015257B"/>
    <w:rsid w:val="0015636B"/>
    <w:rsid w:val="001656DB"/>
    <w:rsid w:val="002675D3"/>
    <w:rsid w:val="00395A22"/>
    <w:rsid w:val="00457154"/>
    <w:rsid w:val="0047705D"/>
    <w:rsid w:val="004A3189"/>
    <w:rsid w:val="004D0AF5"/>
    <w:rsid w:val="00506856"/>
    <w:rsid w:val="005B0235"/>
    <w:rsid w:val="0065582A"/>
    <w:rsid w:val="00664A98"/>
    <w:rsid w:val="00695FCA"/>
    <w:rsid w:val="006A288D"/>
    <w:rsid w:val="006D4561"/>
    <w:rsid w:val="0076597C"/>
    <w:rsid w:val="00791CDF"/>
    <w:rsid w:val="007C3370"/>
    <w:rsid w:val="008529B8"/>
    <w:rsid w:val="008C635E"/>
    <w:rsid w:val="008D62C2"/>
    <w:rsid w:val="009A0EE2"/>
    <w:rsid w:val="00B1714A"/>
    <w:rsid w:val="00B851BF"/>
    <w:rsid w:val="00E016FD"/>
    <w:rsid w:val="00EC576F"/>
    <w:rsid w:val="00EE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EEDB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C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C2"/>
    <w:rPr>
      <w:rFonts w:ascii="Calibri" w:eastAsia="Calibri" w:hAnsi="Calibri" w:cs="Times New Roman"/>
      <w:sz w:val="22"/>
      <w:szCs w:val="22"/>
      <w:lang w:val="en-GB"/>
    </w:rPr>
  </w:style>
  <w:style w:type="table" w:styleId="TableGrid">
    <w:name w:val="Table Grid"/>
    <w:basedOn w:val="TableNormal"/>
    <w:uiPriority w:val="59"/>
    <w:rsid w:val="008D62C2"/>
    <w:rPr>
      <w:rFonts w:ascii="Book Antiqua" w:eastAsiaTheme="minorHAnsi" w:hAnsi="Book Antiqua"/>
      <w:sz w:val="18"/>
      <w:szCs w:val="18"/>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D6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2C2"/>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EE032B"/>
  </w:style>
  <w:style w:type="character" w:styleId="Hyperlink">
    <w:name w:val="Hyperlink"/>
    <w:basedOn w:val="DefaultParagraphFont"/>
    <w:uiPriority w:val="99"/>
    <w:unhideWhenUsed/>
    <w:rsid w:val="00506856"/>
    <w:rPr>
      <w:color w:val="0000FF" w:themeColor="hyperlink"/>
      <w:u w:val="single"/>
    </w:rPr>
  </w:style>
  <w:style w:type="paragraph" w:styleId="ListParagraph">
    <w:name w:val="List Paragraph"/>
    <w:basedOn w:val="Normal"/>
    <w:uiPriority w:val="34"/>
    <w:qFormat/>
    <w:rsid w:val="00664A98"/>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C2"/>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C2"/>
    <w:rPr>
      <w:rFonts w:ascii="Calibri" w:eastAsia="Calibri" w:hAnsi="Calibri" w:cs="Times New Roman"/>
      <w:sz w:val="22"/>
      <w:szCs w:val="22"/>
      <w:lang w:val="en-GB"/>
    </w:rPr>
  </w:style>
  <w:style w:type="table" w:styleId="TableGrid">
    <w:name w:val="Table Grid"/>
    <w:basedOn w:val="TableNormal"/>
    <w:uiPriority w:val="59"/>
    <w:rsid w:val="008D62C2"/>
    <w:rPr>
      <w:rFonts w:ascii="Book Antiqua" w:eastAsiaTheme="minorHAnsi" w:hAnsi="Book Antiqua"/>
      <w:sz w:val="18"/>
      <w:szCs w:val="18"/>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D6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2C2"/>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EE032B"/>
  </w:style>
  <w:style w:type="character" w:styleId="Hyperlink">
    <w:name w:val="Hyperlink"/>
    <w:basedOn w:val="DefaultParagraphFont"/>
    <w:uiPriority w:val="99"/>
    <w:unhideWhenUsed/>
    <w:rsid w:val="00506856"/>
    <w:rPr>
      <w:color w:val="0000FF" w:themeColor="hyperlink"/>
      <w:u w:val="single"/>
    </w:rPr>
  </w:style>
  <w:style w:type="paragraph" w:styleId="ListParagraph">
    <w:name w:val="List Paragraph"/>
    <w:basedOn w:val="Normal"/>
    <w:uiPriority w:val="34"/>
    <w:qFormat/>
    <w:rsid w:val="00664A98"/>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665</Words>
  <Characters>3791</Characters>
  <Application>Microsoft Macintosh Word</Application>
  <DocSecurity>0</DocSecurity>
  <Lines>31</Lines>
  <Paragraphs>8</Paragraphs>
  <ScaleCrop>false</ScaleCrop>
  <Company>CMI</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Shaji George</dc:creator>
  <cp:keywords/>
  <dc:description/>
  <cp:lastModifiedBy>Shaji George</cp:lastModifiedBy>
  <cp:revision>23</cp:revision>
  <dcterms:created xsi:type="dcterms:W3CDTF">2017-09-28T06:35:00Z</dcterms:created>
  <dcterms:modified xsi:type="dcterms:W3CDTF">2018-09-30T15:24:00Z</dcterms:modified>
</cp:coreProperties>
</file>