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5AF04" w14:textId="77777777" w:rsidR="008D62C2" w:rsidRPr="001656DB" w:rsidRDefault="001656DB" w:rsidP="00EE032B">
      <w:pPr>
        <w:spacing w:after="80" w:line="240" w:lineRule="auto"/>
        <w:jc w:val="center"/>
        <w:rPr>
          <w:rFonts w:ascii="Book Antiqua" w:hAnsi="Book Antiqua"/>
          <w:b/>
          <w:i/>
          <w:color w:val="0000FF"/>
          <w:sz w:val="32"/>
          <w:szCs w:val="32"/>
        </w:rPr>
      </w:pPr>
      <w:r w:rsidRPr="001656DB">
        <w:rPr>
          <w:rFonts w:ascii="Book Antiqua" w:hAnsi="Book Antiqua"/>
          <w:b/>
          <w:i/>
          <w:color w:val="0000FF"/>
          <w:sz w:val="32"/>
          <w:szCs w:val="32"/>
        </w:rPr>
        <w:t>Asian Horizons, Dharmaram Journal of Theology</w:t>
      </w:r>
    </w:p>
    <w:p w14:paraId="74AC892B" w14:textId="3072096A" w:rsidR="0015636B" w:rsidRPr="0015636B" w:rsidRDefault="0015636B" w:rsidP="008D62C2">
      <w:pPr>
        <w:spacing w:after="120" w:line="240" w:lineRule="auto"/>
        <w:jc w:val="center"/>
        <w:rPr>
          <w:rFonts w:ascii="Book Antiqua" w:hAnsi="Book Antiqua"/>
          <w:b/>
          <w:color w:val="0000FF"/>
          <w:sz w:val="32"/>
          <w:szCs w:val="32"/>
        </w:rPr>
      </w:pPr>
      <w:r w:rsidRPr="0015636B">
        <w:rPr>
          <w:rFonts w:ascii="Book Antiqua" w:hAnsi="Book Antiqua"/>
          <w:b/>
          <w:color w:val="0000FF"/>
          <w:sz w:val="32"/>
          <w:szCs w:val="32"/>
        </w:rPr>
        <w:t xml:space="preserve">Vol. 12, No. </w:t>
      </w:r>
      <w:r w:rsidR="00135AB3">
        <w:rPr>
          <w:rFonts w:ascii="Book Antiqua" w:hAnsi="Book Antiqua"/>
          <w:b/>
          <w:color w:val="0000FF"/>
          <w:sz w:val="32"/>
          <w:szCs w:val="32"/>
        </w:rPr>
        <w:t>3</w:t>
      </w:r>
      <w:r w:rsidRPr="0015636B">
        <w:rPr>
          <w:rFonts w:ascii="Book Antiqua" w:hAnsi="Book Antiqua"/>
          <w:b/>
          <w:color w:val="0000FF"/>
          <w:sz w:val="32"/>
          <w:szCs w:val="32"/>
        </w:rPr>
        <w:t xml:space="preserve">, </w:t>
      </w:r>
      <w:r w:rsidR="00135AB3">
        <w:rPr>
          <w:rFonts w:ascii="Book Antiqua" w:hAnsi="Book Antiqua"/>
          <w:b/>
          <w:color w:val="0000FF"/>
          <w:sz w:val="32"/>
          <w:szCs w:val="32"/>
        </w:rPr>
        <w:t>September</w:t>
      </w:r>
      <w:r w:rsidR="0065582A" w:rsidRPr="0015636B">
        <w:rPr>
          <w:rFonts w:ascii="Book Antiqua" w:hAnsi="Book Antiqua"/>
          <w:b/>
          <w:color w:val="0000FF"/>
          <w:sz w:val="32"/>
          <w:szCs w:val="32"/>
        </w:rPr>
        <w:t xml:space="preserve"> 2018</w:t>
      </w:r>
      <w:r w:rsidR="008D62C2" w:rsidRPr="0015636B">
        <w:rPr>
          <w:rFonts w:ascii="Book Antiqua" w:hAnsi="Book Antiqua"/>
          <w:b/>
          <w:color w:val="0000FF"/>
          <w:sz w:val="32"/>
          <w:szCs w:val="32"/>
        </w:rPr>
        <w:t xml:space="preserve"> </w:t>
      </w:r>
    </w:p>
    <w:p w14:paraId="35A7DBCF" w14:textId="7C897971" w:rsidR="008D62C2" w:rsidRPr="00135AB3" w:rsidRDefault="005B0235" w:rsidP="008D62C2">
      <w:pPr>
        <w:spacing w:after="120" w:line="240" w:lineRule="auto"/>
        <w:jc w:val="center"/>
        <w:rPr>
          <w:rFonts w:ascii="Book Antiqua" w:hAnsi="Book Antiqua"/>
          <w:b/>
          <w:color w:val="FF6600"/>
          <w:sz w:val="40"/>
          <w:szCs w:val="40"/>
        </w:rPr>
      </w:pPr>
      <w:r>
        <w:rPr>
          <w:rFonts w:ascii="Book Antiqua" w:hAnsi="Book Antiqua"/>
          <w:b/>
          <w:i/>
          <w:color w:val="FF6600"/>
          <w:sz w:val="40"/>
          <w:szCs w:val="40"/>
        </w:rPr>
        <w:t>Sensus Fidei, Sesus F</w:t>
      </w:r>
      <w:r w:rsidR="00135AB3" w:rsidRPr="00135AB3">
        <w:rPr>
          <w:rFonts w:ascii="Book Antiqua" w:hAnsi="Book Antiqua"/>
          <w:b/>
          <w:i/>
          <w:color w:val="FF6600"/>
          <w:sz w:val="40"/>
          <w:szCs w:val="40"/>
        </w:rPr>
        <w:t>idelium</w:t>
      </w:r>
      <w:r w:rsidR="00135AB3" w:rsidRPr="00135AB3">
        <w:rPr>
          <w:rFonts w:ascii="Book Antiqua" w:hAnsi="Book Antiqua"/>
          <w:b/>
          <w:color w:val="FF6600"/>
          <w:sz w:val="40"/>
          <w:szCs w:val="40"/>
        </w:rPr>
        <w:t xml:space="preserve"> and the Magisterium</w:t>
      </w:r>
    </w:p>
    <w:p w14:paraId="03A86640" w14:textId="1E3F2F95" w:rsidR="008D62C2" w:rsidRPr="008D62C2" w:rsidRDefault="000F3495" w:rsidP="008D62C2">
      <w:pPr>
        <w:spacing w:after="80" w:line="240" w:lineRule="auto"/>
        <w:jc w:val="center"/>
        <w:rPr>
          <w:rFonts w:ascii="Book Antiqua" w:hAnsi="Book Antiqua"/>
          <w:b/>
          <w:color w:val="008000"/>
          <w:sz w:val="32"/>
        </w:rPr>
      </w:pPr>
      <w:r>
        <w:rPr>
          <w:rFonts w:ascii="Book Antiqua" w:hAnsi="Book Antiqua"/>
          <w:b/>
          <w:color w:val="008000"/>
          <w:sz w:val="32"/>
        </w:rPr>
        <w:t>Call f</w:t>
      </w:r>
      <w:r w:rsidRPr="008D62C2">
        <w:rPr>
          <w:rFonts w:ascii="Book Antiqua" w:hAnsi="Book Antiqua"/>
          <w:b/>
          <w:color w:val="008000"/>
          <w:sz w:val="32"/>
        </w:rPr>
        <w:t>or Papers</w:t>
      </w:r>
    </w:p>
    <w:p w14:paraId="13760E2C" w14:textId="3000AA8E" w:rsidR="002675D3" w:rsidRPr="00664A98" w:rsidRDefault="00664A98" w:rsidP="00664A98">
      <w:pPr>
        <w:spacing w:before="240" w:after="80" w:line="240" w:lineRule="auto"/>
        <w:jc w:val="both"/>
        <w:rPr>
          <w:rFonts w:ascii="Book Antiqua" w:hAnsi="Book Antiqua"/>
          <w:color w:val="000000" w:themeColor="text1"/>
          <w:sz w:val="24"/>
          <w:szCs w:val="24"/>
        </w:rPr>
      </w:pPr>
      <w:r w:rsidRPr="00664A98">
        <w:rPr>
          <w:rFonts w:ascii="Book Antiqua" w:hAnsi="Book Antiqua"/>
          <w:sz w:val="24"/>
          <w:szCs w:val="24"/>
        </w:rPr>
        <w:t>Fifty years ago the Second Vatican Council affirmed that the bo</w:t>
      </w:r>
      <w:r>
        <w:rPr>
          <w:rFonts w:ascii="Book Antiqua" w:hAnsi="Book Antiqua"/>
          <w:sz w:val="24"/>
          <w:szCs w:val="24"/>
        </w:rPr>
        <w:t xml:space="preserve">dy of the faithful as a whole, </w:t>
      </w:r>
      <w:r w:rsidRPr="00664A98">
        <w:rPr>
          <w:rFonts w:ascii="Book Antiqua" w:hAnsi="Book Antiqua"/>
          <w:sz w:val="24"/>
          <w:szCs w:val="24"/>
        </w:rPr>
        <w:t xml:space="preserve">as they are anointed by the Holy Spirit, have a supernatural sense of faith ( </w:t>
      </w:r>
      <w:r w:rsidRPr="00664A98">
        <w:rPr>
          <w:rFonts w:ascii="Book Antiqua" w:hAnsi="Book Antiqua"/>
          <w:i/>
          <w:sz w:val="24"/>
          <w:szCs w:val="24"/>
        </w:rPr>
        <w:t>sensus fidei</w:t>
      </w:r>
      <w:r w:rsidRPr="00664A98">
        <w:rPr>
          <w:rFonts w:ascii="Book Antiqua" w:hAnsi="Book Antiqua"/>
          <w:sz w:val="24"/>
          <w:szCs w:val="24"/>
        </w:rPr>
        <w:t xml:space="preserve"> ) which has an unerring quality, when there is a universal agreement among them in matters of ‘faith and morals’. This sense of faith of the community is discerned and articulated by the official teaching authority of the Church whenever it is called for (LG</w:t>
      </w:r>
      <w:r>
        <w:rPr>
          <w:rFonts w:ascii="Book Antiqua" w:hAnsi="Book Antiqua"/>
          <w:sz w:val="24"/>
          <w:szCs w:val="24"/>
        </w:rPr>
        <w:t>,</w:t>
      </w:r>
      <w:r w:rsidRPr="00664A98">
        <w:rPr>
          <w:rFonts w:ascii="Book Antiqua" w:hAnsi="Book Antiqua"/>
          <w:sz w:val="24"/>
          <w:szCs w:val="24"/>
        </w:rPr>
        <w:t xml:space="preserve"> 12, DV</w:t>
      </w:r>
      <w:r>
        <w:rPr>
          <w:rFonts w:ascii="Book Antiqua" w:hAnsi="Book Antiqua"/>
          <w:sz w:val="24"/>
          <w:szCs w:val="24"/>
        </w:rPr>
        <w:t>,</w:t>
      </w:r>
      <w:r w:rsidRPr="00664A98">
        <w:rPr>
          <w:rFonts w:ascii="Book Antiqua" w:hAnsi="Book Antiqua"/>
          <w:sz w:val="24"/>
          <w:szCs w:val="24"/>
        </w:rPr>
        <w:t xml:space="preserve"> 10). Today fifty years after the Council when we talk about a Participatory Church and Peoples Churches, several legitimate questions arise: Which body is the </w:t>
      </w:r>
      <w:r w:rsidRPr="00664A98">
        <w:rPr>
          <w:rFonts w:ascii="Book Antiqua" w:hAnsi="Book Antiqua"/>
          <w:i/>
          <w:sz w:val="24"/>
          <w:szCs w:val="24"/>
        </w:rPr>
        <w:t xml:space="preserve">magisterium? </w:t>
      </w:r>
      <w:r w:rsidRPr="00664A98">
        <w:rPr>
          <w:rFonts w:ascii="Book Antiqua" w:hAnsi="Book Antiqua"/>
          <w:sz w:val="24"/>
          <w:szCs w:val="24"/>
        </w:rPr>
        <w:t xml:space="preserve">Is it exclusively the body of Bishops? Or could it be a representative body consisting of bishops, clergy and members of the laity both men and women? In our situation of divided Churches, which is the authoritative teaching body? What are the place, role and value of a universal agreement and their ‘unerring quality’ today in a post-modern and ‘post-truth’ age? How can we live in a world with provisional faith statements, but always searching for the meanings of the Word of God for us today? Revelation, Deposit of Faith, Apostolic faith, interpretation of faith-statements, diversity of faith-statements, role of theologians as ‘avant-garde’, role of local Churches/communities etc. need to be further explored. It is a project for study and deeper investigation. We do not propose ready-made formulations and answers. The following areas are suggested for investigation. </w:t>
      </w:r>
    </w:p>
    <w:p w14:paraId="476EB0FC" w14:textId="77777777" w:rsidR="00664A98" w:rsidRPr="00664A98" w:rsidRDefault="002675D3" w:rsidP="00664A98">
      <w:pPr>
        <w:spacing w:before="240" w:after="80" w:line="240" w:lineRule="auto"/>
        <w:jc w:val="both"/>
        <w:rPr>
          <w:rFonts w:ascii="Book Antiqua" w:hAnsi="Book Antiqua"/>
          <w:color w:val="000000" w:themeColor="text1"/>
          <w:sz w:val="24"/>
          <w:szCs w:val="24"/>
        </w:rPr>
      </w:pPr>
      <w:r w:rsidRPr="00664A98">
        <w:rPr>
          <w:rFonts w:ascii="Book Antiqua" w:hAnsi="Book Antiqua"/>
          <w:b/>
          <w:color w:val="FF0000"/>
          <w:sz w:val="24"/>
          <w:szCs w:val="24"/>
        </w:rPr>
        <w:t>Suggested Topics</w:t>
      </w:r>
      <w:r w:rsidRPr="00664A98">
        <w:rPr>
          <w:rFonts w:ascii="Book Antiqua" w:hAnsi="Book Antiqua"/>
          <w:color w:val="000000" w:themeColor="text1"/>
          <w:sz w:val="24"/>
          <w:szCs w:val="24"/>
        </w:rPr>
        <w:t xml:space="preserve"> [only suggestions, not exhaustive]:</w:t>
      </w:r>
    </w:p>
    <w:p w14:paraId="656EADA0" w14:textId="7DB84008" w:rsidR="00664A98" w:rsidRPr="006D4561" w:rsidRDefault="00664A98" w:rsidP="00664A98">
      <w:pPr>
        <w:spacing w:after="80" w:line="240" w:lineRule="auto"/>
        <w:jc w:val="both"/>
        <w:rPr>
          <w:rFonts w:ascii="Book Antiqua" w:hAnsi="Book Antiqua"/>
        </w:rPr>
      </w:pPr>
      <w:r w:rsidRPr="006D4561">
        <w:rPr>
          <w:rFonts w:ascii="Book Antiqua" w:hAnsi="Book Antiqua"/>
        </w:rPr>
        <w:t>- Different Concepts and Models of Revelation and Faith</w:t>
      </w:r>
    </w:p>
    <w:p w14:paraId="766413EF" w14:textId="05E6FFD2" w:rsidR="00664A98" w:rsidRPr="006D4561" w:rsidRDefault="00664A98" w:rsidP="00664A98">
      <w:pPr>
        <w:spacing w:after="80" w:line="240" w:lineRule="auto"/>
        <w:jc w:val="both"/>
        <w:rPr>
          <w:rFonts w:ascii="Book Antiqua" w:hAnsi="Book Antiqua"/>
        </w:rPr>
      </w:pPr>
      <w:r w:rsidRPr="006D4561">
        <w:rPr>
          <w:rFonts w:ascii="Book Antiqua" w:hAnsi="Book Antiqua"/>
        </w:rPr>
        <w:t>- Task of Interpretation of Revelation and Scripture</w:t>
      </w:r>
    </w:p>
    <w:p w14:paraId="0C80E6D0" w14:textId="7430BE48" w:rsidR="00664A98" w:rsidRPr="006D4561" w:rsidRDefault="00664A98" w:rsidP="00664A98">
      <w:pPr>
        <w:spacing w:after="80" w:line="240" w:lineRule="auto"/>
        <w:jc w:val="both"/>
        <w:rPr>
          <w:rFonts w:ascii="Book Antiqua" w:hAnsi="Book Antiqua"/>
        </w:rPr>
      </w:pPr>
      <w:r w:rsidRPr="006D4561">
        <w:rPr>
          <w:rFonts w:ascii="Book Antiqua" w:hAnsi="Book Antiqua"/>
        </w:rPr>
        <w:t>- Role of Scriptures and Traditions in Religions</w:t>
      </w:r>
    </w:p>
    <w:p w14:paraId="4509CE07" w14:textId="0AF73030" w:rsidR="00664A98" w:rsidRPr="006D4561" w:rsidRDefault="00664A98" w:rsidP="00664A98">
      <w:pPr>
        <w:spacing w:after="80" w:line="240" w:lineRule="auto"/>
        <w:jc w:val="both"/>
        <w:rPr>
          <w:rFonts w:ascii="Book Antiqua" w:hAnsi="Book Antiqua"/>
        </w:rPr>
      </w:pPr>
      <w:r w:rsidRPr="006D4561">
        <w:rPr>
          <w:rFonts w:ascii="Book Antiqua" w:hAnsi="Book Antiqua"/>
        </w:rPr>
        <w:t>- Community and Need of Teaching Authority</w:t>
      </w:r>
    </w:p>
    <w:p w14:paraId="13C53641" w14:textId="69FF33B3" w:rsidR="00664A98" w:rsidRPr="006D4561" w:rsidRDefault="00664A98" w:rsidP="00664A98">
      <w:pPr>
        <w:spacing w:after="80" w:line="240" w:lineRule="auto"/>
        <w:jc w:val="both"/>
        <w:rPr>
          <w:rFonts w:ascii="Book Antiqua" w:hAnsi="Book Antiqua"/>
        </w:rPr>
      </w:pPr>
      <w:r w:rsidRPr="006D4561">
        <w:rPr>
          <w:rFonts w:ascii="Book Antiqua" w:hAnsi="Book Antiqua"/>
        </w:rPr>
        <w:t>- Conflict between Hierarchical Structures and Democratic  Movements</w:t>
      </w:r>
    </w:p>
    <w:p w14:paraId="7DA0D414" w14:textId="4F14230A" w:rsidR="00664A98" w:rsidRPr="006D4561" w:rsidRDefault="00664A98" w:rsidP="00664A98">
      <w:pPr>
        <w:spacing w:after="80" w:line="240" w:lineRule="auto"/>
        <w:jc w:val="both"/>
        <w:rPr>
          <w:rFonts w:ascii="Book Antiqua" w:hAnsi="Book Antiqua"/>
        </w:rPr>
      </w:pPr>
      <w:r w:rsidRPr="006D4561">
        <w:rPr>
          <w:rFonts w:ascii="Book Antiqua" w:hAnsi="Book Antiqua"/>
        </w:rPr>
        <w:t xml:space="preserve">- Are Absolute Truths Given once for all? </w:t>
      </w:r>
    </w:p>
    <w:p w14:paraId="7473509D" w14:textId="05C432A2" w:rsidR="00664A98" w:rsidRPr="006D4561" w:rsidRDefault="00664A98" w:rsidP="00664A98">
      <w:pPr>
        <w:spacing w:after="80" w:line="240" w:lineRule="auto"/>
        <w:jc w:val="both"/>
        <w:rPr>
          <w:rFonts w:ascii="Book Antiqua" w:hAnsi="Book Antiqua"/>
        </w:rPr>
      </w:pPr>
      <w:r w:rsidRPr="006D4561">
        <w:rPr>
          <w:rFonts w:ascii="Book Antiqua" w:hAnsi="Book Antiqua"/>
        </w:rPr>
        <w:t xml:space="preserve">- Vatican II on Revelation and its Interpretation, </w:t>
      </w:r>
      <w:r w:rsidRPr="006D4561">
        <w:rPr>
          <w:rFonts w:ascii="Book Antiqua" w:hAnsi="Book Antiqua"/>
          <w:i/>
        </w:rPr>
        <w:t>Sensus Fidei</w:t>
      </w:r>
      <w:r w:rsidRPr="006D4561">
        <w:rPr>
          <w:rFonts w:ascii="Book Antiqua" w:hAnsi="Book Antiqua"/>
        </w:rPr>
        <w:t xml:space="preserve"> and </w:t>
      </w:r>
      <w:r w:rsidRPr="006D4561">
        <w:rPr>
          <w:rFonts w:ascii="Book Antiqua" w:hAnsi="Book Antiqua"/>
          <w:i/>
        </w:rPr>
        <w:t>Sensus Fidelium</w:t>
      </w:r>
    </w:p>
    <w:p w14:paraId="7C68FCDF" w14:textId="62F0F197" w:rsidR="00664A98" w:rsidRPr="006D4561" w:rsidRDefault="00664A98" w:rsidP="00664A98">
      <w:pPr>
        <w:spacing w:after="80" w:line="240" w:lineRule="auto"/>
        <w:jc w:val="both"/>
        <w:rPr>
          <w:rFonts w:ascii="Book Antiqua" w:hAnsi="Book Antiqua"/>
        </w:rPr>
      </w:pPr>
      <w:r w:rsidRPr="006D4561">
        <w:rPr>
          <w:rFonts w:ascii="Book Antiqua" w:hAnsi="Book Antiqua"/>
        </w:rPr>
        <w:t>- Role of the Laity in the Teaching Authority of the Church</w:t>
      </w:r>
    </w:p>
    <w:p w14:paraId="4DDA4E25" w14:textId="76943DF8" w:rsidR="00664A98" w:rsidRPr="006D4561" w:rsidRDefault="00664A98" w:rsidP="00664A98">
      <w:pPr>
        <w:spacing w:after="80" w:line="240" w:lineRule="auto"/>
        <w:jc w:val="both"/>
        <w:rPr>
          <w:rFonts w:ascii="Book Antiqua" w:hAnsi="Book Antiqua"/>
        </w:rPr>
      </w:pPr>
      <w:r w:rsidRPr="006D4561">
        <w:rPr>
          <w:rFonts w:ascii="Book Antiqua" w:hAnsi="Book Antiqua"/>
        </w:rPr>
        <w:t>- Ecumenical Councils and Reception: A Historical Investigation</w:t>
      </w:r>
    </w:p>
    <w:p w14:paraId="4948887A" w14:textId="790689E0" w:rsidR="00664A98" w:rsidRPr="006D4561" w:rsidRDefault="00664A98" w:rsidP="00664A98">
      <w:pPr>
        <w:spacing w:after="80" w:line="240" w:lineRule="auto"/>
        <w:jc w:val="both"/>
        <w:rPr>
          <w:rFonts w:ascii="Book Antiqua" w:hAnsi="Book Antiqua"/>
        </w:rPr>
      </w:pPr>
      <w:r w:rsidRPr="006D4561">
        <w:rPr>
          <w:rFonts w:ascii="Book Antiqua" w:hAnsi="Book Antiqua"/>
        </w:rPr>
        <w:t>- The Process of Reception in the Church</w:t>
      </w:r>
    </w:p>
    <w:p w14:paraId="230A876B" w14:textId="12FFD1CE" w:rsidR="00664A98" w:rsidRPr="006D4561" w:rsidRDefault="00664A98" w:rsidP="00664A98">
      <w:pPr>
        <w:spacing w:after="80" w:line="240" w:lineRule="auto"/>
        <w:jc w:val="both"/>
        <w:rPr>
          <w:rFonts w:ascii="Book Antiqua" w:hAnsi="Book Antiqua"/>
        </w:rPr>
      </w:pPr>
      <w:r w:rsidRPr="006D4561">
        <w:rPr>
          <w:rFonts w:ascii="Book Antiqua" w:hAnsi="Book Antiqua"/>
        </w:rPr>
        <w:t xml:space="preserve">- Teachings of the Church: Definitive or Provisional? </w:t>
      </w:r>
    </w:p>
    <w:p w14:paraId="71DDF1FD" w14:textId="7C5AF907" w:rsidR="00664A98" w:rsidRPr="006D4561" w:rsidRDefault="00664A98" w:rsidP="00664A98">
      <w:pPr>
        <w:spacing w:after="80" w:line="240" w:lineRule="auto"/>
        <w:jc w:val="both"/>
        <w:rPr>
          <w:rFonts w:ascii="Book Antiqua" w:hAnsi="Book Antiqua"/>
          <w:color w:val="000000" w:themeColor="text1"/>
        </w:rPr>
      </w:pPr>
      <w:r w:rsidRPr="006D4561">
        <w:rPr>
          <w:rFonts w:ascii="Book Antiqua" w:hAnsi="Book Antiqua"/>
        </w:rPr>
        <w:t>- Teachings of the Church: Dogmatic or Pastoral?</w:t>
      </w:r>
    </w:p>
    <w:p w14:paraId="27C1DFDE" w14:textId="37701215" w:rsidR="00EE032B" w:rsidRPr="006D4561" w:rsidRDefault="00664A98" w:rsidP="00664A98">
      <w:pPr>
        <w:spacing w:after="80" w:line="240" w:lineRule="auto"/>
        <w:jc w:val="both"/>
        <w:rPr>
          <w:rFonts w:ascii="Book Antiqua" w:hAnsi="Book Antiqua"/>
        </w:rPr>
      </w:pPr>
      <w:r w:rsidRPr="006D4561">
        <w:rPr>
          <w:rFonts w:ascii="Book Antiqua" w:hAnsi="Book Antiqua"/>
        </w:rPr>
        <w:t>- Pope Francis and his Teachings</w:t>
      </w:r>
    </w:p>
    <w:p w14:paraId="49108B43" w14:textId="0CB299DE" w:rsidR="00664A98" w:rsidRPr="006D4561" w:rsidRDefault="00664A98" w:rsidP="00664A98">
      <w:pPr>
        <w:spacing w:after="80" w:line="240" w:lineRule="auto"/>
        <w:jc w:val="both"/>
        <w:rPr>
          <w:rFonts w:ascii="Book Antiqua" w:hAnsi="Book Antiqua"/>
        </w:rPr>
      </w:pPr>
      <w:r w:rsidRPr="006D4561">
        <w:rPr>
          <w:rFonts w:ascii="Book Antiqua" w:hAnsi="Book Antiqua"/>
        </w:rPr>
        <w:t>- Magisterium and Conscience</w:t>
      </w:r>
    </w:p>
    <w:p w14:paraId="2109B6B2" w14:textId="742DBD53" w:rsidR="00664A98" w:rsidRPr="006D4561" w:rsidRDefault="00664A98" w:rsidP="00664A98">
      <w:pPr>
        <w:spacing w:after="80" w:line="240" w:lineRule="auto"/>
        <w:jc w:val="both"/>
        <w:rPr>
          <w:rFonts w:ascii="Book Antiqua" w:hAnsi="Book Antiqua"/>
        </w:rPr>
      </w:pPr>
      <w:r w:rsidRPr="006D4561">
        <w:rPr>
          <w:rFonts w:ascii="Book Antiqua" w:hAnsi="Book Antiqua"/>
        </w:rPr>
        <w:t xml:space="preserve">- </w:t>
      </w:r>
      <w:r w:rsidRPr="006D4561">
        <w:rPr>
          <w:rFonts w:ascii="Book Antiqua" w:hAnsi="Book Antiqua"/>
          <w:i/>
        </w:rPr>
        <w:t>Sensus Fidelium</w:t>
      </w:r>
      <w:r w:rsidRPr="006D4561">
        <w:rPr>
          <w:rFonts w:ascii="Book Antiqua" w:hAnsi="Book Antiqua"/>
        </w:rPr>
        <w:t>, Magisterium and Moral Implications</w:t>
      </w:r>
    </w:p>
    <w:p w14:paraId="19C50C9F" w14:textId="2D1D21F8" w:rsidR="00664A98" w:rsidRPr="006D4561" w:rsidRDefault="00664A98" w:rsidP="00664A98">
      <w:pPr>
        <w:spacing w:after="80" w:line="240" w:lineRule="auto"/>
        <w:jc w:val="both"/>
        <w:rPr>
          <w:rFonts w:ascii="Book Antiqua" w:hAnsi="Book Antiqua"/>
          <w:color w:val="000000" w:themeColor="text1"/>
        </w:rPr>
      </w:pPr>
      <w:r w:rsidRPr="006D4561">
        <w:rPr>
          <w:rFonts w:ascii="Book Antiqua" w:hAnsi="Book Antiqua"/>
        </w:rPr>
        <w:t xml:space="preserve">- </w:t>
      </w:r>
      <w:r w:rsidRPr="006D4561">
        <w:rPr>
          <w:rFonts w:ascii="Book Antiqua" w:hAnsi="Book Antiqua"/>
          <w:i/>
        </w:rPr>
        <w:t>Sensus Fidelium</w:t>
      </w:r>
      <w:r w:rsidRPr="006D4561">
        <w:rPr>
          <w:rFonts w:ascii="Book Antiqua" w:hAnsi="Book Antiqua"/>
        </w:rPr>
        <w:t>, Magisterium and the ‘Synodal Church’</w:t>
      </w:r>
    </w:p>
    <w:p w14:paraId="0D2B501A" w14:textId="6868FA58" w:rsidR="008D62C2" w:rsidRPr="000F7759" w:rsidRDefault="008D62C2" w:rsidP="00664A98">
      <w:pPr>
        <w:spacing w:before="240" w:after="80" w:line="240" w:lineRule="auto"/>
        <w:jc w:val="both"/>
        <w:rPr>
          <w:rFonts w:ascii="Book Antiqua" w:eastAsia="Times New Roman" w:hAnsi="Book Antiqua"/>
          <w:color w:val="000000" w:themeColor="text1"/>
          <w:lang w:eastAsia="it-IT"/>
        </w:rPr>
      </w:pPr>
      <w:r w:rsidRPr="000F7759">
        <w:rPr>
          <w:rFonts w:ascii="Book Antiqua" w:eastAsia="Times New Roman" w:hAnsi="Book Antiqua"/>
          <w:bCs/>
          <w:color w:val="000000" w:themeColor="text1"/>
          <w:lang w:eastAsia="it-IT"/>
        </w:rPr>
        <w:lastRenderedPageBreak/>
        <w:t>Please send your articles </w:t>
      </w:r>
      <w:r w:rsidRPr="000F7759">
        <w:rPr>
          <w:rFonts w:ascii="Book Antiqua" w:eastAsia="Times New Roman" w:hAnsi="Book Antiqua"/>
          <w:color w:val="000000" w:themeColor="text1"/>
          <w:lang w:eastAsia="it-IT"/>
        </w:rPr>
        <w:t>(4500-5000 words, including the footnotes)</w:t>
      </w:r>
      <w:r w:rsidRPr="000F7759">
        <w:rPr>
          <w:rFonts w:ascii="Book Antiqua" w:eastAsia="Times New Roman" w:hAnsi="Book Antiqua"/>
          <w:bCs/>
          <w:color w:val="000000" w:themeColor="text1"/>
          <w:lang w:eastAsia="it-IT"/>
        </w:rPr>
        <w:t xml:space="preserve"> at the latest by </w:t>
      </w:r>
      <w:r w:rsidR="00695FCA">
        <w:rPr>
          <w:rFonts w:ascii="Book Antiqua" w:eastAsia="Times New Roman" w:hAnsi="Book Antiqua"/>
          <w:b/>
          <w:bCs/>
          <w:color w:val="000000" w:themeColor="text1"/>
          <w:lang w:eastAsia="it-IT"/>
        </w:rPr>
        <w:t>2</w:t>
      </w:r>
      <w:bookmarkStart w:id="0" w:name="_GoBack"/>
      <w:bookmarkEnd w:id="0"/>
      <w:r w:rsidR="0015257B">
        <w:rPr>
          <w:rFonts w:ascii="Book Antiqua" w:eastAsia="Times New Roman" w:hAnsi="Book Antiqua"/>
          <w:b/>
          <w:bCs/>
          <w:color w:val="000000" w:themeColor="text1"/>
          <w:lang w:eastAsia="it-IT"/>
        </w:rPr>
        <w:t>0</w:t>
      </w:r>
      <w:r w:rsidRPr="000F7759">
        <w:rPr>
          <w:rFonts w:ascii="Book Antiqua" w:eastAsia="Times New Roman" w:hAnsi="Book Antiqua"/>
          <w:b/>
          <w:bCs/>
          <w:color w:val="000000" w:themeColor="text1"/>
          <w:lang w:eastAsia="it-IT"/>
        </w:rPr>
        <w:t xml:space="preserve"> </w:t>
      </w:r>
      <w:r w:rsidR="00135AB3">
        <w:rPr>
          <w:rFonts w:ascii="Book Antiqua" w:eastAsia="Times New Roman" w:hAnsi="Book Antiqua"/>
          <w:b/>
          <w:bCs/>
          <w:color w:val="000000" w:themeColor="text1"/>
          <w:lang w:eastAsia="it-IT"/>
        </w:rPr>
        <w:t>September</w:t>
      </w:r>
      <w:r w:rsidRPr="000F7759">
        <w:rPr>
          <w:rFonts w:ascii="Book Antiqua" w:eastAsia="Times New Roman" w:hAnsi="Book Antiqua"/>
          <w:b/>
          <w:bCs/>
          <w:color w:val="000000" w:themeColor="text1"/>
          <w:lang w:eastAsia="it-IT"/>
        </w:rPr>
        <w:t xml:space="preserve"> 201</w:t>
      </w:r>
      <w:r w:rsidR="0065582A">
        <w:rPr>
          <w:rFonts w:ascii="Book Antiqua" w:eastAsia="Times New Roman" w:hAnsi="Book Antiqua"/>
          <w:b/>
          <w:bCs/>
          <w:color w:val="000000" w:themeColor="text1"/>
          <w:lang w:eastAsia="it-IT"/>
        </w:rPr>
        <w:t>8</w:t>
      </w:r>
      <w:r w:rsidRPr="000F7759">
        <w:rPr>
          <w:rFonts w:ascii="Book Antiqua" w:eastAsia="Times New Roman" w:hAnsi="Book Antiqua"/>
          <w:bCs/>
          <w:color w:val="000000" w:themeColor="text1"/>
          <w:lang w:eastAsia="it-IT"/>
        </w:rPr>
        <w:t>. Kindly include the abstract of the article in 150-200 words, 5-7 Keywords and a summary of the CV of the author in 100-150 words.</w:t>
      </w:r>
    </w:p>
    <w:p w14:paraId="51AC9CC8" w14:textId="77777777" w:rsidR="008D62C2" w:rsidRPr="000F7759" w:rsidRDefault="008D62C2" w:rsidP="008D62C2">
      <w:pPr>
        <w:spacing w:after="80" w:line="240" w:lineRule="auto"/>
        <w:jc w:val="both"/>
        <w:rPr>
          <w:rFonts w:ascii="Book Antiqua" w:eastAsia="Times New Roman" w:hAnsi="Book Antiqua"/>
          <w:color w:val="000000" w:themeColor="text1"/>
          <w:lang w:eastAsia="it-IT"/>
        </w:rPr>
      </w:pPr>
      <w:r w:rsidRPr="000F7759">
        <w:rPr>
          <w:rFonts w:ascii="Book Antiqua" w:eastAsia="Times New Roman" w:hAnsi="Book Antiqua"/>
          <w:color w:val="000000" w:themeColor="text1"/>
          <w:lang w:eastAsia="it-IT"/>
        </w:rPr>
        <w:t>Other regular items: “New Scholars”: Abstract of doctoral theses (recently defended and not yet published); Reports and Statements of important conferences, Book Reviews.</w:t>
      </w:r>
    </w:p>
    <w:p w14:paraId="66078C5B" w14:textId="29AC69C0" w:rsidR="008D62C2" w:rsidRDefault="008D62C2" w:rsidP="008D62C2">
      <w:pPr>
        <w:spacing w:after="80" w:line="240" w:lineRule="auto"/>
        <w:jc w:val="both"/>
        <w:rPr>
          <w:rFonts w:ascii="Book Antiqua" w:eastAsia="Times New Roman" w:hAnsi="Book Antiqua"/>
          <w:color w:val="000000" w:themeColor="text1"/>
          <w:lang w:eastAsia="it-IT"/>
        </w:rPr>
      </w:pPr>
      <w:r w:rsidRPr="000F7759">
        <w:rPr>
          <w:rFonts w:ascii="Book Antiqua" w:eastAsia="Times New Roman" w:hAnsi="Book Antiqua"/>
          <w:b/>
          <w:color w:val="000000" w:themeColor="text1"/>
          <w:lang w:eastAsia="it-IT"/>
        </w:rPr>
        <w:t>For submitting the articles and for more details:</w:t>
      </w:r>
      <w:r w:rsidRPr="000F7759">
        <w:rPr>
          <w:rFonts w:ascii="Book Antiqua" w:eastAsia="Times New Roman" w:hAnsi="Book Antiqua"/>
          <w:color w:val="000000" w:themeColor="text1"/>
          <w:lang w:eastAsia="it-IT"/>
        </w:rPr>
        <w:t xml:space="preserve"> Shaji George Kochuthara (editor-in-chief): </w:t>
      </w:r>
      <w:r w:rsidR="00506856" w:rsidRPr="00506856">
        <w:rPr>
          <w:rFonts w:ascii="Book Antiqua" w:eastAsia="Times New Roman" w:hAnsi="Book Antiqua"/>
          <w:color w:val="000000" w:themeColor="text1"/>
          <w:lang w:eastAsia="it-IT"/>
        </w:rPr>
        <w:t>kochuthshaji@gmail.com</w:t>
      </w:r>
    </w:p>
    <w:p w14:paraId="406CAA2C" w14:textId="77777777" w:rsidR="00506856" w:rsidRPr="00A132C5" w:rsidRDefault="00506856" w:rsidP="00506856">
      <w:pPr>
        <w:spacing w:after="120" w:line="240" w:lineRule="auto"/>
        <w:jc w:val="both"/>
        <w:rPr>
          <w:rFonts w:ascii="Book Antiqua" w:eastAsia="Times New Roman" w:hAnsi="Book Antiqua"/>
          <w:color w:val="FF0000"/>
          <w:lang w:eastAsia="it-IT"/>
        </w:rPr>
      </w:pPr>
      <w:r w:rsidRPr="00A132C5">
        <w:rPr>
          <w:rFonts w:ascii="Book Antiqua" w:eastAsia="Times New Roman" w:hAnsi="Book Antiqua"/>
          <w:color w:val="FF0000"/>
          <w:lang w:eastAsia="it-IT"/>
        </w:rPr>
        <w:t>N.B. Kindly forward this to your friends and colleagues.</w:t>
      </w:r>
    </w:p>
    <w:p w14:paraId="1818D90A" w14:textId="23C93C98" w:rsidR="00506856" w:rsidRPr="000F7759" w:rsidRDefault="00506856" w:rsidP="00506856">
      <w:pPr>
        <w:spacing w:after="80" w:line="240" w:lineRule="auto"/>
        <w:jc w:val="both"/>
        <w:rPr>
          <w:rFonts w:ascii="Book Antiqua" w:hAnsi="Book Antiqua"/>
          <w:color w:val="000000" w:themeColor="text1"/>
        </w:rPr>
      </w:pPr>
      <w:r w:rsidRPr="00A132C5">
        <w:rPr>
          <w:rFonts w:ascii="Book Antiqua" w:eastAsia="Times New Roman" w:hAnsi="Book Antiqua" w:cs="Arial"/>
          <w:iCs/>
          <w:lang w:eastAsia="en-GB"/>
        </w:rPr>
        <w:t>[</w:t>
      </w:r>
      <w:r w:rsidRPr="00A132C5">
        <w:rPr>
          <w:rFonts w:ascii="Book Antiqua" w:eastAsia="Times New Roman" w:hAnsi="Book Antiqua" w:cs="Arial"/>
          <w:i/>
          <w:iCs/>
          <w:lang w:eastAsia="en-GB"/>
        </w:rPr>
        <w:t>Asian Horizons</w:t>
      </w:r>
      <w:r w:rsidRPr="00A132C5">
        <w:rPr>
          <w:rFonts w:ascii="Book Antiqua" w:eastAsia="Times New Roman" w:hAnsi="Book Antiqua" w:cs="Arial"/>
          <w:lang w:eastAsia="en-GB"/>
        </w:rPr>
        <w:t xml:space="preserve">, published from DVK, is a forum for theological reflection in the Asian context marked by economic poverty, cultural diversity and religious plurality. Although the focus is on theological reflection in the context of Asia, we also address theological developments and concerns of the universal Church and try to dialogue with the Church in various contexts. Hence we welcome authors from all over the world. </w:t>
      </w:r>
      <w:r w:rsidRPr="00A132C5">
        <w:rPr>
          <w:rFonts w:ascii="Book Antiqua" w:eastAsia="Times New Roman" w:hAnsi="Book Antiqua" w:cs="Arial"/>
          <w:i/>
          <w:lang w:eastAsia="en-GB"/>
        </w:rPr>
        <w:t xml:space="preserve">Asian Horizons </w:t>
      </w:r>
      <w:r w:rsidRPr="00A132C5">
        <w:rPr>
          <w:rFonts w:ascii="Book Antiqua" w:eastAsia="Times New Roman" w:hAnsi="Book Antiqua" w:cs="Arial"/>
          <w:lang w:eastAsia="en-GB"/>
        </w:rPr>
        <w:t>was launched in 2007 as a biannual. From 2011 it is published</w:t>
      </w:r>
      <w:r w:rsidRPr="00A132C5">
        <w:rPr>
          <w:rFonts w:ascii="Book Antiqua" w:eastAsia="Times New Roman" w:hAnsi="Book Antiqua" w:cs="Arial"/>
          <w:i/>
          <w:iCs/>
          <w:lang w:eastAsia="en-GB"/>
        </w:rPr>
        <w:t> </w:t>
      </w:r>
      <w:r w:rsidRPr="00A132C5">
        <w:rPr>
          <w:rFonts w:ascii="Book Antiqua" w:eastAsia="Times New Roman" w:hAnsi="Book Antiqua" w:cs="Arial"/>
          <w:lang w:eastAsia="en-GB"/>
        </w:rPr>
        <w:t>as a quarterly. We have an editorial board consisting of members from India, other Asian countries and other continents.]</w:t>
      </w:r>
    </w:p>
    <w:p w14:paraId="4AA067E2" w14:textId="24575364" w:rsidR="008D62C2" w:rsidRPr="000F7759" w:rsidRDefault="0047705D" w:rsidP="008D62C2">
      <w:pPr>
        <w:spacing w:before="360" w:after="80" w:line="240" w:lineRule="auto"/>
        <w:jc w:val="center"/>
        <w:rPr>
          <w:rFonts w:ascii="Book Antiqua" w:hAnsi="Book Antiqua"/>
          <w:color w:val="000000" w:themeColor="text1"/>
          <w:sz w:val="32"/>
          <w:szCs w:val="32"/>
        </w:rPr>
      </w:pPr>
      <w:r>
        <w:rPr>
          <w:rFonts w:ascii="Book Antiqua" w:hAnsi="Book Antiqua"/>
          <w:b/>
          <w:color w:val="000000" w:themeColor="text1"/>
          <w:sz w:val="32"/>
          <w:szCs w:val="32"/>
        </w:rPr>
        <w:t>Themes: 2018</w:t>
      </w:r>
      <w:r w:rsidR="008D62C2" w:rsidRPr="000F7759">
        <w:rPr>
          <w:rFonts w:ascii="Book Antiqua" w:hAnsi="Book Antiqua"/>
          <w:b/>
          <w:color w:val="000000" w:themeColor="text1"/>
          <w:sz w:val="32"/>
          <w:szCs w:val="32"/>
        </w:rPr>
        <w:t>-2019</w:t>
      </w:r>
    </w:p>
    <w:p w14:paraId="5D6AB599" w14:textId="77777777" w:rsidR="008D62C2" w:rsidRPr="000F7759" w:rsidRDefault="008D62C2" w:rsidP="008D62C2">
      <w:pPr>
        <w:spacing w:after="80" w:line="240" w:lineRule="auto"/>
        <w:rPr>
          <w:rFonts w:ascii="Book Antiqua" w:hAnsi="Book Antiqua"/>
          <w:b/>
          <w:color w:val="000000" w:themeColor="text1"/>
        </w:rPr>
      </w:pPr>
      <w:r w:rsidRPr="000F7759">
        <w:rPr>
          <w:rFonts w:ascii="Book Antiqua" w:hAnsi="Book Antiqua"/>
          <w:b/>
          <w:color w:val="000000" w:themeColor="text1"/>
        </w:rPr>
        <w:t>2018: Vol. 12</w:t>
      </w:r>
    </w:p>
    <w:p w14:paraId="61C58AE4" w14:textId="166F0ACB" w:rsidR="008D62C2" w:rsidRPr="0065582A" w:rsidRDefault="008D62C2" w:rsidP="0065582A">
      <w:pPr>
        <w:spacing w:after="60" w:line="240" w:lineRule="auto"/>
        <w:jc w:val="both"/>
        <w:rPr>
          <w:rFonts w:ascii="Book Antiqua" w:hAnsi="Book Antiqua"/>
          <w:color w:val="000000" w:themeColor="text1"/>
          <w:sz w:val="18"/>
        </w:rPr>
      </w:pPr>
      <w:r w:rsidRPr="000F7759">
        <w:rPr>
          <w:rFonts w:ascii="Book Antiqua" w:hAnsi="Book Antiqua"/>
          <w:color w:val="000000" w:themeColor="text1"/>
          <w:sz w:val="20"/>
        </w:rPr>
        <w:t>March:</w:t>
      </w:r>
      <w:r w:rsidRPr="0065582A">
        <w:rPr>
          <w:rFonts w:ascii="Book Antiqua" w:hAnsi="Book Antiqua"/>
          <w:color w:val="000000" w:themeColor="text1"/>
          <w:sz w:val="18"/>
        </w:rPr>
        <w:t xml:space="preserve"> </w:t>
      </w:r>
      <w:r w:rsidR="0065582A" w:rsidRPr="0065582A">
        <w:rPr>
          <w:rFonts w:ascii="Book Antiqua" w:hAnsi="Book Antiqua"/>
          <w:sz w:val="20"/>
        </w:rPr>
        <w:t>A Moral Right for the Education of Religious Women: An Instrument for Global Evangelization</w:t>
      </w:r>
    </w:p>
    <w:p w14:paraId="726E44A3" w14:textId="77777777" w:rsidR="008D62C2" w:rsidRPr="000F7759" w:rsidRDefault="008D62C2" w:rsidP="008D62C2">
      <w:pPr>
        <w:spacing w:after="60" w:line="240" w:lineRule="auto"/>
        <w:jc w:val="both"/>
        <w:rPr>
          <w:rFonts w:ascii="Book Antiqua" w:hAnsi="Book Antiqua"/>
          <w:i/>
          <w:color w:val="000000" w:themeColor="text1"/>
          <w:sz w:val="20"/>
        </w:rPr>
      </w:pPr>
      <w:r w:rsidRPr="000F7759">
        <w:rPr>
          <w:rFonts w:ascii="Book Antiqua" w:hAnsi="Book Antiqua"/>
          <w:color w:val="000000" w:themeColor="text1"/>
          <w:sz w:val="20"/>
        </w:rPr>
        <w:t xml:space="preserve">June: Theology of Family, Sexuality, and Marriage: From </w:t>
      </w:r>
      <w:r w:rsidRPr="000F7759">
        <w:rPr>
          <w:rFonts w:ascii="Book Antiqua" w:hAnsi="Book Antiqua"/>
          <w:i/>
          <w:color w:val="000000" w:themeColor="text1"/>
          <w:sz w:val="20"/>
        </w:rPr>
        <w:t>Casti Connubii</w:t>
      </w:r>
      <w:r w:rsidRPr="000F7759">
        <w:rPr>
          <w:rFonts w:ascii="Book Antiqua" w:hAnsi="Book Antiqua"/>
          <w:color w:val="000000" w:themeColor="text1"/>
          <w:sz w:val="20"/>
        </w:rPr>
        <w:t xml:space="preserve"> to </w:t>
      </w:r>
      <w:r w:rsidRPr="000F7759">
        <w:rPr>
          <w:rFonts w:ascii="Book Antiqua" w:hAnsi="Book Antiqua"/>
          <w:i/>
          <w:color w:val="000000" w:themeColor="text1"/>
          <w:sz w:val="20"/>
        </w:rPr>
        <w:t>Amoris Laetitia</w:t>
      </w:r>
    </w:p>
    <w:p w14:paraId="0B4C0C11"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 xml:space="preserve">September: </w:t>
      </w:r>
      <w:r w:rsidRPr="000F7759">
        <w:rPr>
          <w:rFonts w:ascii="Book Antiqua" w:hAnsi="Book Antiqua"/>
          <w:i/>
          <w:color w:val="000000" w:themeColor="text1"/>
          <w:sz w:val="20"/>
        </w:rPr>
        <w:t>Sensus Fidei, Sesus fidelium</w:t>
      </w:r>
      <w:r w:rsidRPr="000F7759">
        <w:rPr>
          <w:rFonts w:ascii="Book Antiqua" w:hAnsi="Book Antiqua"/>
          <w:color w:val="000000" w:themeColor="text1"/>
          <w:sz w:val="20"/>
        </w:rPr>
        <w:t xml:space="preserve"> and the Magisterium</w:t>
      </w:r>
    </w:p>
    <w:p w14:paraId="7F779C8C" w14:textId="77777777" w:rsidR="008D62C2" w:rsidRPr="000F7759" w:rsidRDefault="008D62C2" w:rsidP="008D62C2">
      <w:pPr>
        <w:spacing w:after="120" w:line="240" w:lineRule="auto"/>
        <w:rPr>
          <w:rFonts w:ascii="Book Antiqua" w:hAnsi="Book Antiqua"/>
          <w:color w:val="000000" w:themeColor="text1"/>
          <w:sz w:val="20"/>
        </w:rPr>
      </w:pPr>
      <w:r w:rsidRPr="000F7759">
        <w:rPr>
          <w:rFonts w:ascii="Book Antiqua" w:hAnsi="Book Antiqua"/>
          <w:color w:val="000000" w:themeColor="text1"/>
          <w:sz w:val="20"/>
        </w:rPr>
        <w:t xml:space="preserve">December: </w:t>
      </w:r>
      <w:r w:rsidRPr="000F7759">
        <w:rPr>
          <w:rFonts w:ascii="Book Antiqua" w:hAnsi="Book Antiqua"/>
          <w:i/>
          <w:color w:val="000000" w:themeColor="text1"/>
          <w:sz w:val="20"/>
        </w:rPr>
        <w:t xml:space="preserve"> </w:t>
      </w:r>
      <w:r w:rsidRPr="000F7759">
        <w:rPr>
          <w:rFonts w:ascii="Book Antiqua" w:hAnsi="Book Antiqua"/>
          <w:color w:val="000000" w:themeColor="text1"/>
          <w:sz w:val="20"/>
        </w:rPr>
        <w:t>Theological Education: Challenges</w:t>
      </w:r>
    </w:p>
    <w:p w14:paraId="2ABDA5CA" w14:textId="77777777" w:rsidR="008D62C2" w:rsidRPr="000F7759" w:rsidRDefault="008D62C2" w:rsidP="008D62C2">
      <w:pPr>
        <w:spacing w:after="80" w:line="240" w:lineRule="auto"/>
        <w:rPr>
          <w:rFonts w:ascii="Book Antiqua" w:hAnsi="Book Antiqua"/>
          <w:b/>
          <w:color w:val="000000" w:themeColor="text1"/>
        </w:rPr>
      </w:pPr>
      <w:r w:rsidRPr="000F7759">
        <w:rPr>
          <w:rFonts w:ascii="Book Antiqua" w:hAnsi="Book Antiqua"/>
          <w:b/>
          <w:color w:val="000000" w:themeColor="text1"/>
        </w:rPr>
        <w:t>2019: Vol. 13</w:t>
      </w:r>
    </w:p>
    <w:p w14:paraId="488E04D5"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March: Gender: Theology and Praxis</w:t>
      </w:r>
    </w:p>
    <w:p w14:paraId="0B5C400A"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June: The Theologian in the Local Church</w:t>
      </w:r>
    </w:p>
    <w:p w14:paraId="6D117F3F"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September: Biblical Theology: Asian Contribution</w:t>
      </w:r>
    </w:p>
    <w:p w14:paraId="10F69C26" w14:textId="2EE2CDD9" w:rsidR="004D0AF5" w:rsidRPr="0015636B" w:rsidRDefault="008D62C2" w:rsidP="0015636B">
      <w:pPr>
        <w:spacing w:line="240" w:lineRule="auto"/>
        <w:rPr>
          <w:rFonts w:ascii="Book Antiqua" w:hAnsi="Book Antiqua"/>
          <w:color w:val="000000" w:themeColor="text1"/>
          <w:sz w:val="20"/>
        </w:rPr>
      </w:pPr>
      <w:r w:rsidRPr="000F7759">
        <w:rPr>
          <w:rFonts w:ascii="Book Antiqua" w:hAnsi="Book Antiqua"/>
          <w:color w:val="000000" w:themeColor="text1"/>
          <w:sz w:val="20"/>
        </w:rPr>
        <w:t>December: Religious Pluralism: Changing Perspectives</w:t>
      </w:r>
    </w:p>
    <w:sectPr w:rsidR="004D0AF5" w:rsidRPr="0015636B" w:rsidSect="008D62C2">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1901" w:h="16840" w:code="156"/>
      <w:pgMar w:top="1418" w:right="1418" w:bottom="1418" w:left="1418" w:header="737"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FB03F" w14:textId="77777777" w:rsidR="002675D3" w:rsidRDefault="002675D3" w:rsidP="008D62C2">
      <w:pPr>
        <w:spacing w:after="0" w:line="240" w:lineRule="auto"/>
      </w:pPr>
      <w:r>
        <w:separator/>
      </w:r>
    </w:p>
  </w:endnote>
  <w:endnote w:type="continuationSeparator" w:id="0">
    <w:p w14:paraId="004799D5" w14:textId="77777777" w:rsidR="002675D3" w:rsidRDefault="002675D3" w:rsidP="008D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C498" w14:textId="77777777" w:rsidR="00EE032B" w:rsidRDefault="00EE032B" w:rsidP="002E60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DFF60" w14:textId="77777777" w:rsidR="00EE032B" w:rsidRDefault="00EE03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628C5" w14:textId="77777777" w:rsidR="00EE032B" w:rsidRDefault="00EE032B" w:rsidP="002E60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5FCA">
      <w:rPr>
        <w:rStyle w:val="PageNumber"/>
        <w:noProof/>
      </w:rPr>
      <w:t>2</w:t>
    </w:r>
    <w:r>
      <w:rPr>
        <w:rStyle w:val="PageNumber"/>
      </w:rPr>
      <w:fldChar w:fldCharType="end"/>
    </w:r>
  </w:p>
  <w:p w14:paraId="612F9223" w14:textId="77777777" w:rsidR="00EE032B" w:rsidRDefault="00EE03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11BFE" w14:textId="77777777" w:rsidR="002675D3" w:rsidRDefault="002675D3" w:rsidP="008D62C2">
      <w:pPr>
        <w:spacing w:after="0" w:line="240" w:lineRule="auto"/>
      </w:pPr>
      <w:r>
        <w:separator/>
      </w:r>
    </w:p>
  </w:footnote>
  <w:footnote w:type="continuationSeparator" w:id="0">
    <w:p w14:paraId="50CA6CC5" w14:textId="77777777" w:rsidR="002675D3" w:rsidRDefault="002675D3" w:rsidP="008D62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054" w:type="dxa"/>
      <w:tblInd w:w="-91" w:type="dxa"/>
      <w:tblBorders>
        <w:top w:val="none" w:sz="0" w:space="0" w:color="auto"/>
        <w:left w:val="none" w:sz="0" w:space="0" w:color="auto"/>
        <w:bottom w:val="none" w:sz="0" w:space="0" w:color="auto"/>
        <w:right w:val="none" w:sz="0" w:space="0" w:color="auto"/>
        <w:insideH w:val="single" w:sz="8" w:space="0" w:color="000000" w:themeColor="text1"/>
        <w:insideV w:val="single" w:sz="8" w:space="0" w:color="000000" w:themeColor="text1"/>
      </w:tblBorders>
      <w:tblLayout w:type="fixed"/>
      <w:tblLook w:val="04A0" w:firstRow="1" w:lastRow="0" w:firstColumn="1" w:lastColumn="0" w:noHBand="0" w:noVBand="1"/>
    </w:tblPr>
    <w:tblGrid>
      <w:gridCol w:w="709"/>
      <w:gridCol w:w="6345"/>
    </w:tblGrid>
    <w:tr w:rsidR="002675D3" w14:paraId="13504BD8" w14:textId="77777777" w:rsidTr="000F3495">
      <w:trPr>
        <w:trHeight w:val="142"/>
      </w:trPr>
      <w:tc>
        <w:tcPr>
          <w:tcW w:w="709" w:type="dxa"/>
        </w:tcPr>
        <w:tbl>
          <w:tblPr>
            <w:tblStyle w:val="TableGrid"/>
            <w:tblW w:w="6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80"/>
          </w:tblGrid>
          <w:tr w:rsidR="002675D3" w14:paraId="55F1BA39" w14:textId="77777777" w:rsidTr="000F3495">
            <w:trPr>
              <w:trHeight w:val="291"/>
            </w:trPr>
            <w:tc>
              <w:tcPr>
                <w:tcW w:w="757" w:type="dxa"/>
              </w:tcPr>
              <w:p w14:paraId="551D0911" w14:textId="77777777" w:rsidR="002675D3" w:rsidRPr="00B77145" w:rsidRDefault="002675D3" w:rsidP="000F3495">
                <w:pPr>
                  <w:pStyle w:val="Header"/>
                  <w:tabs>
                    <w:tab w:val="left" w:pos="4403"/>
                    <w:tab w:val="right" w:pos="6129"/>
                  </w:tabs>
                  <w:rPr>
                    <w:rFonts w:ascii="Book Antiqua" w:hAnsi="Book Antiqua"/>
                    <w:sz w:val="20"/>
                    <w:szCs w:val="20"/>
                  </w:rPr>
                </w:pPr>
                <w:r w:rsidRPr="00B77145">
                  <w:rPr>
                    <w:rFonts w:ascii="Book Antiqua" w:hAnsi="Book Antiqua"/>
                    <w:sz w:val="20"/>
                    <w:szCs w:val="20"/>
                  </w:rPr>
                  <w:fldChar w:fldCharType="begin"/>
                </w:r>
                <w:r w:rsidRPr="00B77145">
                  <w:rPr>
                    <w:rFonts w:ascii="Book Antiqua" w:hAnsi="Book Antiqua"/>
                    <w:sz w:val="20"/>
                    <w:szCs w:val="20"/>
                  </w:rPr>
                  <w:instrText xml:space="preserve"> PAGE   \* MERGEFORMAT </w:instrText>
                </w:r>
                <w:r w:rsidRPr="00B77145">
                  <w:rPr>
                    <w:rFonts w:ascii="Book Antiqua" w:hAnsi="Book Antiqua"/>
                    <w:sz w:val="20"/>
                    <w:szCs w:val="20"/>
                  </w:rPr>
                  <w:fldChar w:fldCharType="separate"/>
                </w:r>
                <w:r>
                  <w:rPr>
                    <w:rFonts w:ascii="Book Antiqua" w:hAnsi="Book Antiqua"/>
                    <w:noProof/>
                    <w:sz w:val="20"/>
                    <w:szCs w:val="20"/>
                  </w:rPr>
                  <w:t>424</w:t>
                </w:r>
                <w:r w:rsidRPr="00B77145">
                  <w:rPr>
                    <w:rFonts w:ascii="Book Antiqua" w:hAnsi="Book Antiqua"/>
                    <w:sz w:val="20"/>
                    <w:szCs w:val="20"/>
                  </w:rPr>
                  <w:fldChar w:fldCharType="end"/>
                </w:r>
              </w:p>
            </w:tc>
          </w:tr>
        </w:tbl>
        <w:p w14:paraId="35820FDF" w14:textId="77777777" w:rsidR="002675D3" w:rsidRPr="00B77145" w:rsidRDefault="002675D3" w:rsidP="000F3495">
          <w:pPr>
            <w:pStyle w:val="Header"/>
            <w:tabs>
              <w:tab w:val="left" w:pos="4403"/>
              <w:tab w:val="right" w:pos="6129"/>
            </w:tabs>
            <w:rPr>
              <w:i/>
              <w:sz w:val="20"/>
              <w:szCs w:val="20"/>
            </w:rPr>
          </w:pPr>
        </w:p>
      </w:tc>
      <w:tc>
        <w:tcPr>
          <w:tcW w:w="6345" w:type="dxa"/>
        </w:tcPr>
        <w:p w14:paraId="59A7BED1" w14:textId="77777777" w:rsidR="002675D3" w:rsidRPr="00913CF4" w:rsidRDefault="002675D3" w:rsidP="000F3495">
          <w:pPr>
            <w:pStyle w:val="Header"/>
            <w:rPr>
              <w:rFonts w:ascii="Book Antiqua" w:hAnsi="Book Antiqua"/>
              <w:i/>
              <w:color w:val="000000" w:themeColor="text1"/>
              <w:sz w:val="20"/>
              <w:szCs w:val="20"/>
            </w:rPr>
          </w:pPr>
          <w:r w:rsidRPr="00913CF4">
            <w:rPr>
              <w:rFonts w:ascii="Book Antiqua" w:hAnsi="Book Antiqua"/>
              <w:i/>
              <w:color w:val="000000" w:themeColor="text1"/>
              <w:sz w:val="20"/>
              <w:szCs w:val="20"/>
            </w:rPr>
            <w:t>Asian Horizons</w:t>
          </w:r>
        </w:p>
      </w:tc>
    </w:tr>
  </w:tbl>
  <w:p w14:paraId="0A7A50E0" w14:textId="77777777" w:rsidR="002675D3" w:rsidRPr="003B5450" w:rsidRDefault="002675D3" w:rsidP="000F3495">
    <w:pPr>
      <w:pStyle w:val="Header"/>
      <w:rPr>
        <w:rFonts w:ascii="Book Antiqua" w:hAnsi="Book Antiqua"/>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59" w:type="dxa"/>
      <w:tblBorders>
        <w:top w:val="none" w:sz="0" w:space="0" w:color="auto"/>
        <w:left w:val="none" w:sz="0" w:space="0" w:color="auto"/>
        <w:bottom w:val="none" w:sz="0" w:space="0" w:color="auto"/>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459"/>
    </w:tblGrid>
    <w:tr w:rsidR="00EE032B" w14:paraId="2560EAE7" w14:textId="77777777" w:rsidTr="00EE032B">
      <w:tc>
        <w:tcPr>
          <w:tcW w:w="459" w:type="dxa"/>
        </w:tcPr>
        <w:p w14:paraId="25F79020" w14:textId="77777777" w:rsidR="00EE032B" w:rsidRDefault="00EE032B" w:rsidP="000F3495">
          <w:pPr>
            <w:pStyle w:val="Header"/>
            <w:jc w:val="center"/>
            <w:rPr>
              <w:i/>
              <w:sz w:val="20"/>
              <w:szCs w:val="20"/>
            </w:rPr>
          </w:pPr>
        </w:p>
      </w:tc>
    </w:tr>
  </w:tbl>
  <w:p w14:paraId="12205A24" w14:textId="77777777" w:rsidR="002675D3" w:rsidRPr="003B5450" w:rsidRDefault="002675D3" w:rsidP="000F3495">
    <w:pPr>
      <w:pStyle w:val="Heade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3D255" w14:textId="77777777" w:rsidR="002675D3" w:rsidRPr="00913CF4" w:rsidRDefault="002675D3" w:rsidP="008D62C2">
    <w:pPr>
      <w:pStyle w:val="Header"/>
      <w:spacing w:before="360"/>
      <w:rPr>
        <w:rFonts w:ascii="Book Antiqua" w:hAnsi="Book Antiqua"/>
        <w:color w:val="000000" w:themeColor="text1"/>
      </w:rPr>
    </w:pPr>
  </w:p>
  <w:p w14:paraId="1308F6E6" w14:textId="77777777" w:rsidR="002675D3" w:rsidRPr="00913CF4" w:rsidRDefault="002675D3" w:rsidP="000F3495">
    <w:pPr>
      <w:pStyle w:val="Header"/>
      <w:rPr>
        <w:rFonts w:ascii="Book Antiqua" w:hAnsi="Book Antiqua"/>
        <w:color w:val="000000" w:themeColor="text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A34"/>
    <w:multiLevelType w:val="hybridMultilevel"/>
    <w:tmpl w:val="7D2EF17E"/>
    <w:lvl w:ilvl="0" w:tplc="370081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hdrShapeDefaults>
    <o:shapedefaults v:ext="edit" spidmax="2051"/>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C2"/>
    <w:rsid w:val="000040B7"/>
    <w:rsid w:val="000F3495"/>
    <w:rsid w:val="00114C09"/>
    <w:rsid w:val="00135AB3"/>
    <w:rsid w:val="0015257B"/>
    <w:rsid w:val="0015636B"/>
    <w:rsid w:val="001656DB"/>
    <w:rsid w:val="002675D3"/>
    <w:rsid w:val="00395A22"/>
    <w:rsid w:val="0047705D"/>
    <w:rsid w:val="004D0AF5"/>
    <w:rsid w:val="00506856"/>
    <w:rsid w:val="005B0235"/>
    <w:rsid w:val="0065582A"/>
    <w:rsid w:val="00664A98"/>
    <w:rsid w:val="00695FCA"/>
    <w:rsid w:val="006D4561"/>
    <w:rsid w:val="00791CDF"/>
    <w:rsid w:val="008C635E"/>
    <w:rsid w:val="008D62C2"/>
    <w:rsid w:val="00B1714A"/>
    <w:rsid w:val="00B851BF"/>
    <w:rsid w:val="00EC576F"/>
    <w:rsid w:val="00EE0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EEDB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C2"/>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C2"/>
    <w:rPr>
      <w:rFonts w:ascii="Calibri" w:eastAsia="Calibri" w:hAnsi="Calibri" w:cs="Times New Roman"/>
      <w:sz w:val="22"/>
      <w:szCs w:val="22"/>
      <w:lang w:val="en-GB"/>
    </w:rPr>
  </w:style>
  <w:style w:type="table" w:styleId="TableGrid">
    <w:name w:val="Table Grid"/>
    <w:basedOn w:val="TableNormal"/>
    <w:uiPriority w:val="59"/>
    <w:rsid w:val="008D62C2"/>
    <w:rPr>
      <w:rFonts w:ascii="Book Antiqua" w:eastAsiaTheme="minorHAnsi" w:hAnsi="Book Antiqua"/>
      <w:sz w:val="18"/>
      <w:szCs w:val="18"/>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D6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2C2"/>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EE032B"/>
  </w:style>
  <w:style w:type="character" w:styleId="Hyperlink">
    <w:name w:val="Hyperlink"/>
    <w:basedOn w:val="DefaultParagraphFont"/>
    <w:uiPriority w:val="99"/>
    <w:unhideWhenUsed/>
    <w:rsid w:val="00506856"/>
    <w:rPr>
      <w:color w:val="0000FF" w:themeColor="hyperlink"/>
      <w:u w:val="single"/>
    </w:rPr>
  </w:style>
  <w:style w:type="paragraph" w:styleId="ListParagraph">
    <w:name w:val="List Paragraph"/>
    <w:basedOn w:val="Normal"/>
    <w:uiPriority w:val="34"/>
    <w:qFormat/>
    <w:rsid w:val="00664A98"/>
    <w:pPr>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C2"/>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C2"/>
    <w:rPr>
      <w:rFonts w:ascii="Calibri" w:eastAsia="Calibri" w:hAnsi="Calibri" w:cs="Times New Roman"/>
      <w:sz w:val="22"/>
      <w:szCs w:val="22"/>
      <w:lang w:val="en-GB"/>
    </w:rPr>
  </w:style>
  <w:style w:type="table" w:styleId="TableGrid">
    <w:name w:val="Table Grid"/>
    <w:basedOn w:val="TableNormal"/>
    <w:uiPriority w:val="59"/>
    <w:rsid w:val="008D62C2"/>
    <w:rPr>
      <w:rFonts w:ascii="Book Antiqua" w:eastAsiaTheme="minorHAnsi" w:hAnsi="Book Antiqua"/>
      <w:sz w:val="18"/>
      <w:szCs w:val="18"/>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D6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2C2"/>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EE032B"/>
  </w:style>
  <w:style w:type="character" w:styleId="Hyperlink">
    <w:name w:val="Hyperlink"/>
    <w:basedOn w:val="DefaultParagraphFont"/>
    <w:uiPriority w:val="99"/>
    <w:unhideWhenUsed/>
    <w:rsid w:val="00506856"/>
    <w:rPr>
      <w:color w:val="0000FF" w:themeColor="hyperlink"/>
      <w:u w:val="single"/>
    </w:rPr>
  </w:style>
  <w:style w:type="paragraph" w:styleId="ListParagraph">
    <w:name w:val="List Paragraph"/>
    <w:basedOn w:val="Normal"/>
    <w:uiPriority w:val="34"/>
    <w:qFormat/>
    <w:rsid w:val="00664A98"/>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635</Words>
  <Characters>3625</Characters>
  <Application>Microsoft Macintosh Word</Application>
  <DocSecurity>0</DocSecurity>
  <Lines>30</Lines>
  <Paragraphs>8</Paragraphs>
  <ScaleCrop>false</ScaleCrop>
  <Company>CMI</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Shaji George</dc:creator>
  <cp:keywords/>
  <dc:description/>
  <cp:lastModifiedBy>Shaji George</cp:lastModifiedBy>
  <cp:revision>18</cp:revision>
  <dcterms:created xsi:type="dcterms:W3CDTF">2017-09-28T06:35:00Z</dcterms:created>
  <dcterms:modified xsi:type="dcterms:W3CDTF">2018-08-30T04:25:00Z</dcterms:modified>
</cp:coreProperties>
</file>