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6B" w:rsidRDefault="0033106B">
      <w:pPr>
        <w:pStyle w:val="BodyText"/>
        <w:spacing w:before="9"/>
        <w:rPr>
          <w:rFonts w:ascii="Times New Roman"/>
          <w:sz w:val="26"/>
        </w:rPr>
      </w:pPr>
    </w:p>
    <w:p w:rsidR="0033106B" w:rsidRDefault="004C3DCB">
      <w:pPr>
        <w:pStyle w:val="BodyText"/>
        <w:ind w:left="632"/>
        <w:rPr>
          <w:rFonts w:ascii="Times New Roman"/>
          <w:sz w:val="20"/>
        </w:rPr>
      </w:pPr>
      <w:r>
        <w:rPr>
          <w:rFonts w:ascii="Times New Roman"/>
          <w:noProof/>
          <w:sz w:val="20"/>
        </w:rPr>
        <w:drawing>
          <wp:inline distT="0" distB="0" distL="0" distR="0">
            <wp:extent cx="5327176" cy="8343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27176" cy="834390"/>
                    </a:xfrm>
                    <a:prstGeom prst="rect">
                      <a:avLst/>
                    </a:prstGeom>
                  </pic:spPr>
                </pic:pic>
              </a:graphicData>
            </a:graphic>
          </wp:inline>
        </w:drawing>
      </w:r>
    </w:p>
    <w:p w:rsidR="0033106B" w:rsidRDefault="0033106B">
      <w:pPr>
        <w:pStyle w:val="BodyText"/>
        <w:spacing w:before="9"/>
        <w:rPr>
          <w:rFonts w:ascii="Times New Roman"/>
          <w:sz w:val="16"/>
        </w:rPr>
      </w:pPr>
    </w:p>
    <w:p w:rsidR="0033106B" w:rsidRDefault="004C3DCB">
      <w:pPr>
        <w:spacing w:before="69"/>
        <w:ind w:left="2359" w:right="1453" w:hanging="867"/>
        <w:rPr>
          <w:b/>
          <w:i/>
          <w:sz w:val="24"/>
        </w:rPr>
      </w:pPr>
      <w:r>
        <w:rPr>
          <w:b/>
          <w:i/>
          <w:sz w:val="24"/>
        </w:rPr>
        <w:t>Tobacco-Free/Nicotine-Free Policy guidelines for use with Preschools and Child Care Centers/Homes</w:t>
      </w:r>
    </w:p>
    <w:p w:rsidR="0033106B" w:rsidRDefault="0033106B">
      <w:pPr>
        <w:pStyle w:val="BodyText"/>
        <w:spacing w:before="1"/>
        <w:rPr>
          <w:b/>
          <w:i/>
        </w:rPr>
      </w:pPr>
    </w:p>
    <w:p w:rsidR="0033106B" w:rsidRDefault="004C3DCB">
      <w:pPr>
        <w:pStyle w:val="Heading1"/>
      </w:pPr>
      <w:r>
        <w:t>Fact and Purpose:</w:t>
      </w:r>
    </w:p>
    <w:p w:rsidR="0033106B" w:rsidRDefault="00A113A0">
      <w:pPr>
        <w:spacing w:before="1" w:line="250" w:lineRule="exact"/>
        <w:ind w:left="120" w:right="1453"/>
      </w:pPr>
      <w:r>
        <w:rPr>
          <w:i/>
          <w:shd w:val="clear" w:color="auto" w:fill="FFFF00"/>
        </w:rPr>
        <w:t>ORGANIZATION</w:t>
      </w:r>
      <w:r w:rsidR="004C3DCB">
        <w:rPr>
          <w:i/>
          <w:shd w:val="clear" w:color="auto" w:fill="FFFF00"/>
        </w:rPr>
        <w:t xml:space="preserve"> </w:t>
      </w:r>
      <w:r w:rsidR="004C3DCB">
        <w:t>finds that:</w:t>
      </w:r>
    </w:p>
    <w:p w:rsidR="0033106B" w:rsidRDefault="004C3DCB">
      <w:pPr>
        <w:pStyle w:val="ListParagraph"/>
        <w:numPr>
          <w:ilvl w:val="0"/>
          <w:numId w:val="2"/>
        </w:numPr>
        <w:tabs>
          <w:tab w:val="left" w:pos="841"/>
        </w:tabs>
        <w:spacing w:line="255" w:lineRule="exact"/>
      </w:pPr>
      <w:r>
        <w:t>Tobacco use is the single most preventable cause of death in the United States</w:t>
      </w:r>
      <w:r>
        <w:rPr>
          <w:position w:val="8"/>
          <w:sz w:val="14"/>
        </w:rPr>
        <w:t>1</w:t>
      </w:r>
      <w:r>
        <w:t>;</w:t>
      </w:r>
      <w:r>
        <w:rPr>
          <w:spacing w:val="-19"/>
        </w:rPr>
        <w:t xml:space="preserve"> </w:t>
      </w:r>
      <w:r>
        <w:t>and</w:t>
      </w:r>
    </w:p>
    <w:p w:rsidR="0033106B" w:rsidRDefault="004C3DCB">
      <w:pPr>
        <w:pStyle w:val="ListParagraph"/>
        <w:numPr>
          <w:ilvl w:val="0"/>
          <w:numId w:val="2"/>
        </w:numPr>
        <w:tabs>
          <w:tab w:val="left" w:pos="841"/>
        </w:tabs>
        <w:spacing w:before="3" w:line="237" w:lineRule="auto"/>
        <w:ind w:right="521"/>
      </w:pPr>
      <w:r>
        <w:t>Children are exposed to tobacco advertising that leads to favorable beliefs about tobacco use, plays a role in leading young people to overestimate the prevalence of tobacco use, and increases the number of young people who begin to use tobacco</w:t>
      </w:r>
      <w:r>
        <w:rPr>
          <w:position w:val="8"/>
          <w:sz w:val="14"/>
        </w:rPr>
        <w:t xml:space="preserve">2 </w:t>
      </w:r>
      <w:r>
        <w:t>; and</w:t>
      </w:r>
    </w:p>
    <w:p w:rsidR="0033106B" w:rsidRDefault="004C3DCB">
      <w:pPr>
        <w:pStyle w:val="ListParagraph"/>
        <w:numPr>
          <w:ilvl w:val="0"/>
          <w:numId w:val="2"/>
        </w:numPr>
        <w:tabs>
          <w:tab w:val="left" w:pos="841"/>
        </w:tabs>
        <w:spacing w:before="1" w:line="237" w:lineRule="auto"/>
        <w:ind w:right="187"/>
      </w:pPr>
      <w:r>
        <w:t>Electronic cigarettes can increase nicotine addiction among young people and may lead children to try other tobacco products that are known to cause disease and lead to premature death</w:t>
      </w:r>
      <w:r>
        <w:rPr>
          <w:position w:val="8"/>
          <w:sz w:val="14"/>
        </w:rPr>
        <w:t>3</w:t>
      </w:r>
      <w:r>
        <w:t>;</w:t>
      </w:r>
      <w:r>
        <w:rPr>
          <w:spacing w:val="-3"/>
        </w:rPr>
        <w:t xml:space="preserve"> </w:t>
      </w:r>
      <w:r>
        <w:t>and</w:t>
      </w:r>
    </w:p>
    <w:p w:rsidR="0033106B" w:rsidRDefault="004C3DCB">
      <w:pPr>
        <w:pStyle w:val="ListParagraph"/>
        <w:numPr>
          <w:ilvl w:val="0"/>
          <w:numId w:val="2"/>
        </w:numPr>
        <w:tabs>
          <w:tab w:val="left" w:pos="841"/>
        </w:tabs>
        <w:spacing w:before="6" w:line="252" w:lineRule="exact"/>
        <w:ind w:right="98"/>
      </w:pPr>
      <w:r>
        <w:t>Imitation tobacco products may lead children to use tobacco by desensitizing them to the dangers of tobacco and advancing the false idea of tobacco use as socially acceptable</w:t>
      </w:r>
      <w:r>
        <w:rPr>
          <w:position w:val="8"/>
          <w:sz w:val="14"/>
        </w:rPr>
        <w:t>4</w:t>
      </w:r>
      <w:r>
        <w:t>; and</w:t>
      </w:r>
    </w:p>
    <w:p w:rsidR="0033106B" w:rsidRDefault="004C3DCB">
      <w:pPr>
        <w:pStyle w:val="ListParagraph"/>
        <w:numPr>
          <w:ilvl w:val="0"/>
          <w:numId w:val="2"/>
        </w:numPr>
        <w:tabs>
          <w:tab w:val="left" w:pos="841"/>
        </w:tabs>
        <w:ind w:right="477"/>
      </w:pPr>
      <w:r>
        <w:t>Tobacco products (extends to all types of tobacco, nicotine and electronic smoking device (ESD) products), once consumed in public spaces, are often discarded on the ground requiring additional maintenance expenses, diminish the beauty of outdoor grounds, and pose a risk to toddlers due to ingestion;</w:t>
      </w:r>
      <w:r>
        <w:rPr>
          <w:spacing w:val="-16"/>
        </w:rPr>
        <w:t xml:space="preserve"> </w:t>
      </w:r>
      <w:r>
        <w:t>and</w:t>
      </w:r>
    </w:p>
    <w:p w:rsidR="0033106B" w:rsidRDefault="004C3DCB">
      <w:pPr>
        <w:pStyle w:val="ListParagraph"/>
        <w:numPr>
          <w:ilvl w:val="0"/>
          <w:numId w:val="2"/>
        </w:numPr>
        <w:tabs>
          <w:tab w:val="left" w:pos="840"/>
          <w:tab w:val="left" w:pos="841"/>
        </w:tabs>
        <w:ind w:right="393"/>
      </w:pPr>
      <w:r>
        <w:t>The prohibition of tobacco and nicotine use at all times will serve to protect the health, safety and welfare of staff, students and</w:t>
      </w:r>
      <w:r>
        <w:rPr>
          <w:spacing w:val="-13"/>
        </w:rPr>
        <w:t xml:space="preserve"> </w:t>
      </w:r>
      <w:r>
        <w:t>visitors.</w:t>
      </w:r>
    </w:p>
    <w:p w:rsidR="0033106B" w:rsidRDefault="0033106B">
      <w:pPr>
        <w:pStyle w:val="BodyText"/>
      </w:pPr>
    </w:p>
    <w:p w:rsidR="0033106B" w:rsidRDefault="0033106B">
      <w:pPr>
        <w:pStyle w:val="BodyText"/>
        <w:spacing w:before="10"/>
        <w:rPr>
          <w:sz w:val="25"/>
        </w:rPr>
      </w:pPr>
    </w:p>
    <w:p w:rsidR="0033106B" w:rsidRDefault="004C3DCB">
      <w:pPr>
        <w:pStyle w:val="Heading1"/>
      </w:pPr>
      <w:r>
        <w:t>Policy</w:t>
      </w:r>
    </w:p>
    <w:p w:rsidR="0033106B" w:rsidRDefault="00A113A0">
      <w:pPr>
        <w:pStyle w:val="BodyText"/>
        <w:spacing w:before="112"/>
        <w:ind w:left="120" w:right="289"/>
        <w:rPr>
          <w:b/>
        </w:rPr>
      </w:pPr>
      <w:r>
        <w:rPr>
          <w:i/>
          <w:shd w:val="clear" w:color="auto" w:fill="FFFF00"/>
        </w:rPr>
        <w:t>ORGANIZATION</w:t>
      </w:r>
      <w:r w:rsidR="004C3DCB">
        <w:rPr>
          <w:color w:val="221F1F"/>
        </w:rPr>
        <w:t xml:space="preserve"> fac</w:t>
      </w:r>
      <w:r w:rsidR="00A32CE0">
        <w:rPr>
          <w:color w:val="221F1F"/>
        </w:rPr>
        <w:t xml:space="preserve">ilities and grounds, including </w:t>
      </w:r>
      <w:r>
        <w:rPr>
          <w:i/>
          <w:shd w:val="clear" w:color="auto" w:fill="FFFF00"/>
        </w:rPr>
        <w:t>ORGANIZATION</w:t>
      </w:r>
      <w:r w:rsidR="00A32CE0">
        <w:rPr>
          <w:color w:val="221F1F"/>
        </w:rPr>
        <w:t xml:space="preserve"> transportation </w:t>
      </w:r>
      <w:r w:rsidR="004C3DCB">
        <w:rPr>
          <w:color w:val="221F1F"/>
        </w:rPr>
        <w:t>vehicles, are off limits for tobacco and nicotine use including but not limited to cigarettes, cigars, chewing tobacco, snuff, pipes, snus, Electronic Smoking Devices (ESD) and nicotine products that are not Food and Drug Administration (FDA) approved for tobacco cessation. This requirement extends to students, employees and visitors. This policy a</w:t>
      </w:r>
      <w:r w:rsidR="00A32CE0">
        <w:rPr>
          <w:color w:val="221F1F"/>
        </w:rPr>
        <w:t xml:space="preserve">pplies at all times, including </w:t>
      </w:r>
      <w:r>
        <w:rPr>
          <w:i/>
          <w:shd w:val="clear" w:color="auto" w:fill="FFFF00"/>
        </w:rPr>
        <w:t>ORGANIZATION</w:t>
      </w:r>
      <w:r>
        <w:rPr>
          <w:color w:val="221F1F"/>
        </w:rPr>
        <w:t xml:space="preserve"> </w:t>
      </w:r>
      <w:r w:rsidR="00A32CE0">
        <w:rPr>
          <w:color w:val="221F1F"/>
        </w:rPr>
        <w:t>-sponsored and non-</w:t>
      </w:r>
      <w:r w:rsidRPr="00A113A0">
        <w:rPr>
          <w:i/>
          <w:shd w:val="clear" w:color="auto" w:fill="FFFF00"/>
        </w:rPr>
        <w:t xml:space="preserve"> </w:t>
      </w:r>
      <w:r>
        <w:rPr>
          <w:i/>
          <w:shd w:val="clear" w:color="auto" w:fill="FFFF00"/>
        </w:rPr>
        <w:t>ORGANIZATION</w:t>
      </w:r>
      <w:r w:rsidR="004C3DCB">
        <w:rPr>
          <w:color w:val="221F1F"/>
        </w:rPr>
        <w:t xml:space="preserve"> sponsored events. Persons failing  to  abide  by  this  policy  are  required  to  extinguish  their smoking material, dispose of the tobacco/</w:t>
      </w:r>
      <w:r w:rsidR="00A32CE0">
        <w:rPr>
          <w:color w:val="221F1F"/>
        </w:rPr>
        <w:t>nicotine product or leave the preschool</w:t>
      </w:r>
      <w:r>
        <w:rPr>
          <w:color w:val="221F1F"/>
        </w:rPr>
        <w:t>/childcare</w:t>
      </w:r>
      <w:r w:rsidR="004C3DCB">
        <w:rPr>
          <w:color w:val="221F1F"/>
        </w:rPr>
        <w:t xml:space="preserve"> premises immediately. It is the responsibility of the administration/upper management to enforce this policy</w:t>
      </w:r>
      <w:r w:rsidR="004C3DCB">
        <w:rPr>
          <w:b/>
          <w:color w:val="221F1F"/>
        </w:rPr>
        <w:t>.</w:t>
      </w:r>
    </w:p>
    <w:p w:rsidR="0033106B" w:rsidRDefault="0033106B">
      <w:pPr>
        <w:pStyle w:val="BodyText"/>
        <w:rPr>
          <w:b/>
        </w:rPr>
      </w:pPr>
    </w:p>
    <w:p w:rsidR="0033106B" w:rsidRDefault="0033106B">
      <w:pPr>
        <w:pStyle w:val="BodyText"/>
        <w:spacing w:before="10"/>
        <w:rPr>
          <w:b/>
          <w:sz w:val="21"/>
        </w:rPr>
      </w:pPr>
    </w:p>
    <w:p w:rsidR="0033106B" w:rsidRDefault="004C3DCB">
      <w:pPr>
        <w:pStyle w:val="Heading1"/>
        <w:spacing w:before="1"/>
      </w:pPr>
      <w:r>
        <w:t>Effective Date:</w:t>
      </w:r>
    </w:p>
    <w:p w:rsidR="0033106B" w:rsidRDefault="004C3DCB">
      <w:pPr>
        <w:pStyle w:val="BodyText"/>
        <w:spacing w:before="4"/>
        <w:ind w:left="120" w:right="1453"/>
      </w:pPr>
      <w:r>
        <w:t>This policy statement is effective immediately upon the date of adoption.</w:t>
      </w:r>
    </w:p>
    <w:p w:rsidR="0033106B" w:rsidRDefault="0033106B">
      <w:pPr>
        <w:pStyle w:val="BodyText"/>
        <w:rPr>
          <w:sz w:val="20"/>
        </w:rPr>
      </w:pPr>
    </w:p>
    <w:p w:rsidR="0033106B" w:rsidRDefault="004A15CC" w:rsidP="00A32CE0">
      <w:pPr>
        <w:pStyle w:val="BodyText"/>
        <w:tabs>
          <w:tab w:val="center" w:pos="4790"/>
        </w:tabs>
        <w:spacing w:before="4"/>
        <w:rPr>
          <w:sz w:val="15"/>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140335</wp:posOffset>
                </wp:positionV>
                <wp:extent cx="1398905" cy="0"/>
                <wp:effectExtent l="9525" t="9525" r="1079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A38F"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18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dL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" strokeweight=".20003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3429635</wp:posOffset>
                </wp:positionH>
                <wp:positionV relativeFrom="paragraph">
                  <wp:posOffset>140335</wp:posOffset>
                </wp:positionV>
                <wp:extent cx="1270635" cy="0"/>
                <wp:effectExtent l="10160" t="9525" r="508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B21F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05pt,11.05pt" to="370.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RMEg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" strokeweight=".20003mm">
                <w10:wrap type="topAndBottom" anchorx="page"/>
              </v:line>
            </w:pict>
          </mc:Fallback>
        </mc:AlternateContent>
      </w:r>
      <w:r w:rsidR="00A32CE0">
        <w:rPr>
          <w:sz w:val="15"/>
        </w:rPr>
        <w:tab/>
      </w:r>
    </w:p>
    <w:p w:rsidR="0033106B" w:rsidRDefault="00BF5381" w:rsidP="00BF5381">
      <w:pPr>
        <w:tabs>
          <w:tab w:val="left" w:pos="5881"/>
        </w:tabs>
        <w:spacing w:line="182" w:lineRule="exact"/>
        <w:ind w:right="1453"/>
        <w:rPr>
          <w:sz w:val="18"/>
        </w:rPr>
      </w:pPr>
      <w:r>
        <w:rPr>
          <w:sz w:val="18"/>
        </w:rPr>
        <w:t xml:space="preserve">          </w:t>
      </w:r>
      <w:r w:rsidR="004C3DCB">
        <w:rPr>
          <w:sz w:val="18"/>
        </w:rPr>
        <w:t>Appropriate</w:t>
      </w:r>
      <w:r w:rsidR="004C3DCB">
        <w:rPr>
          <w:spacing w:val="-2"/>
          <w:sz w:val="18"/>
        </w:rPr>
        <w:t xml:space="preserve"> </w:t>
      </w:r>
      <w:r w:rsidR="004C3DCB">
        <w:rPr>
          <w:sz w:val="18"/>
        </w:rPr>
        <w:t>Official</w:t>
      </w:r>
      <w:r w:rsidR="004C3DCB">
        <w:rPr>
          <w:sz w:val="18"/>
        </w:rPr>
        <w:tab/>
      </w:r>
      <w:bookmarkStart w:id="0" w:name="_GoBack"/>
      <w:bookmarkEnd w:id="0"/>
      <w:r w:rsidR="004C3DCB">
        <w:rPr>
          <w:sz w:val="18"/>
        </w:rPr>
        <w:t>Date</w:t>
      </w:r>
    </w:p>
    <w:p w:rsidR="0033106B" w:rsidRDefault="0033106B">
      <w:pPr>
        <w:spacing w:line="182" w:lineRule="exact"/>
        <w:rPr>
          <w:sz w:val="18"/>
        </w:rPr>
        <w:sectPr w:rsidR="0033106B">
          <w:type w:val="continuous"/>
          <w:pgSz w:w="12240" w:h="15840"/>
          <w:pgMar w:top="1500" w:right="1340" w:bottom="280" w:left="1320" w:header="720" w:footer="720" w:gutter="0"/>
          <w:cols w:space="720"/>
        </w:sectPr>
      </w:pPr>
    </w:p>
    <w:p w:rsidR="0033106B" w:rsidRDefault="004C3DCB">
      <w:pPr>
        <w:pStyle w:val="BodyText"/>
        <w:spacing w:before="57"/>
        <w:ind w:left="100" w:right="243"/>
      </w:pPr>
      <w:r>
        <w:rPr>
          <w:color w:val="221F1F"/>
        </w:rPr>
        <w:lastRenderedPageBreak/>
        <w:t xml:space="preserve">………………………………………………………………………………………………………… To ensure the preschool/child care has a strong tobacco-free/nicotine-free policy, </w:t>
      </w:r>
      <w:r>
        <w:rPr>
          <w:color w:val="221F1F"/>
          <w:u w:val="single" w:color="221F1F"/>
        </w:rPr>
        <w:t>and to</w:t>
      </w:r>
    </w:p>
    <w:p w:rsidR="0033106B" w:rsidRDefault="004C3DCB">
      <w:pPr>
        <w:pStyle w:val="BodyText"/>
        <w:spacing w:before="1"/>
        <w:ind w:left="100"/>
      </w:pPr>
      <w:proofErr w:type="gramStart"/>
      <w:r>
        <w:rPr>
          <w:color w:val="221F1F"/>
          <w:u w:val="single" w:color="221F1F"/>
        </w:rPr>
        <w:t>qualify</w:t>
      </w:r>
      <w:proofErr w:type="gramEnd"/>
      <w:r>
        <w:rPr>
          <w:color w:val="221F1F"/>
          <w:u w:val="single" w:color="221F1F"/>
        </w:rPr>
        <w:t xml:space="preserve"> for free window clings and outdoor signage</w:t>
      </w:r>
      <w:r>
        <w:rPr>
          <w:color w:val="221F1F"/>
        </w:rPr>
        <w:t>, the policy must explicitly include all of the following:</w:t>
      </w:r>
    </w:p>
    <w:p w:rsidR="0033106B" w:rsidRDefault="004C3DCB">
      <w:pPr>
        <w:pStyle w:val="ListParagraph"/>
        <w:numPr>
          <w:ilvl w:val="1"/>
          <w:numId w:val="2"/>
        </w:numPr>
        <w:tabs>
          <w:tab w:val="left" w:pos="1452"/>
        </w:tabs>
        <w:spacing w:before="140" w:line="235" w:lineRule="auto"/>
        <w:ind w:right="130"/>
        <w:jc w:val="both"/>
      </w:pPr>
      <w:r>
        <w:rPr>
          <w:color w:val="221F1F"/>
        </w:rPr>
        <w:t xml:space="preserve">Policy must extend to all types of tobacco, nicotine and ESD products (i.e. </w:t>
      </w:r>
      <w:r>
        <w:rPr>
          <w:color w:val="221F1F"/>
          <w:spacing w:val="-3"/>
        </w:rPr>
        <w:t xml:space="preserve">not </w:t>
      </w:r>
      <w:r>
        <w:rPr>
          <w:color w:val="221F1F"/>
        </w:rPr>
        <w:t xml:space="preserve">only cigarettes; include all tobacco, ESDs and nicotine products not </w:t>
      </w:r>
      <w:proofErr w:type="gramStart"/>
      <w:r>
        <w:rPr>
          <w:color w:val="221F1F"/>
        </w:rPr>
        <w:t>approved  by</w:t>
      </w:r>
      <w:proofErr w:type="gramEnd"/>
      <w:r>
        <w:rPr>
          <w:color w:val="221F1F"/>
        </w:rPr>
        <w:t xml:space="preserve"> the FDA for</w:t>
      </w:r>
      <w:r>
        <w:rPr>
          <w:color w:val="221F1F"/>
          <w:spacing w:val="-4"/>
        </w:rPr>
        <w:t xml:space="preserve"> </w:t>
      </w:r>
      <w:r>
        <w:rPr>
          <w:color w:val="221F1F"/>
        </w:rPr>
        <w:t>cessation.)</w:t>
      </w:r>
    </w:p>
    <w:p w:rsidR="0033106B" w:rsidRDefault="0033106B">
      <w:pPr>
        <w:pStyle w:val="BodyText"/>
        <w:spacing w:before="9"/>
        <w:rPr>
          <w:sz w:val="23"/>
        </w:rPr>
      </w:pPr>
    </w:p>
    <w:p w:rsidR="0033106B" w:rsidRDefault="004C3DCB">
      <w:pPr>
        <w:pStyle w:val="ListParagraph"/>
        <w:numPr>
          <w:ilvl w:val="1"/>
          <w:numId w:val="2"/>
        </w:numPr>
        <w:tabs>
          <w:tab w:val="left" w:pos="1452"/>
        </w:tabs>
      </w:pPr>
      <w:r>
        <w:rPr>
          <w:color w:val="221F1F"/>
        </w:rPr>
        <w:t>Policy must extend to employees, students &amp;</w:t>
      </w:r>
      <w:r>
        <w:rPr>
          <w:color w:val="221F1F"/>
          <w:spacing w:val="-38"/>
        </w:rPr>
        <w:t xml:space="preserve"> </w:t>
      </w:r>
      <w:r>
        <w:rPr>
          <w:color w:val="221F1F"/>
        </w:rPr>
        <w:t>visitors</w:t>
      </w:r>
    </w:p>
    <w:p w:rsidR="0033106B" w:rsidRDefault="0033106B">
      <w:pPr>
        <w:pStyle w:val="BodyText"/>
        <w:spacing w:before="1"/>
        <w:rPr>
          <w:sz w:val="25"/>
        </w:rPr>
      </w:pPr>
    </w:p>
    <w:p w:rsidR="0033106B" w:rsidRDefault="004C3DCB">
      <w:pPr>
        <w:pStyle w:val="ListParagraph"/>
        <w:numPr>
          <w:ilvl w:val="1"/>
          <w:numId w:val="2"/>
        </w:numPr>
        <w:tabs>
          <w:tab w:val="left" w:pos="1452"/>
        </w:tabs>
        <w:spacing w:before="1" w:line="261" w:lineRule="auto"/>
        <w:ind w:right="132"/>
      </w:pPr>
      <w:r>
        <w:rPr>
          <w:color w:val="221F1F"/>
        </w:rPr>
        <w:t>Policy must apply at all times, including school-sponsored &amp; non- school- sponsored</w:t>
      </w:r>
      <w:r>
        <w:rPr>
          <w:color w:val="221F1F"/>
          <w:spacing w:val="-8"/>
        </w:rPr>
        <w:t xml:space="preserve"> </w:t>
      </w:r>
      <w:r>
        <w:rPr>
          <w:color w:val="221F1F"/>
        </w:rPr>
        <w:t>events</w:t>
      </w:r>
    </w:p>
    <w:p w:rsidR="0033106B" w:rsidRDefault="0033106B">
      <w:pPr>
        <w:pStyle w:val="BodyText"/>
        <w:spacing w:before="9"/>
        <w:rPr>
          <w:sz w:val="21"/>
        </w:rPr>
      </w:pPr>
    </w:p>
    <w:p w:rsidR="0033106B" w:rsidRDefault="004C3DCB">
      <w:pPr>
        <w:pStyle w:val="ListParagraph"/>
        <w:numPr>
          <w:ilvl w:val="1"/>
          <w:numId w:val="2"/>
        </w:numPr>
        <w:tabs>
          <w:tab w:val="left" w:pos="1452"/>
        </w:tabs>
      </w:pPr>
      <w:r>
        <w:rPr>
          <w:color w:val="221F1F"/>
        </w:rPr>
        <w:t>Policy must extend to school</w:t>
      </w:r>
      <w:r>
        <w:rPr>
          <w:color w:val="221F1F"/>
          <w:spacing w:val="-23"/>
        </w:rPr>
        <w:t xml:space="preserve"> </w:t>
      </w:r>
      <w:r>
        <w:rPr>
          <w:color w:val="221F1F"/>
        </w:rPr>
        <w:t>vehicles</w:t>
      </w:r>
    </w:p>
    <w:p w:rsidR="0033106B" w:rsidRDefault="0033106B">
      <w:pPr>
        <w:pStyle w:val="BodyText"/>
        <w:spacing w:before="4"/>
        <w:rPr>
          <w:sz w:val="25"/>
        </w:rPr>
      </w:pPr>
    </w:p>
    <w:p w:rsidR="0033106B" w:rsidRDefault="004C3DCB">
      <w:pPr>
        <w:pStyle w:val="ListParagraph"/>
        <w:numPr>
          <w:ilvl w:val="1"/>
          <w:numId w:val="2"/>
        </w:numPr>
        <w:tabs>
          <w:tab w:val="left" w:pos="1452"/>
        </w:tabs>
        <w:spacing w:before="1"/>
        <w:ind w:right="720"/>
      </w:pPr>
      <w:r>
        <w:t>Policy must extend to entire preschool/child care property to receive metal signage</w:t>
      </w:r>
    </w:p>
    <w:p w:rsidR="0033106B" w:rsidRDefault="004C3DCB">
      <w:pPr>
        <w:pStyle w:val="BodyText"/>
        <w:spacing w:before="1" w:line="252" w:lineRule="exact"/>
        <w:ind w:left="100" w:right="243"/>
      </w:pPr>
      <w:r>
        <w:rPr>
          <w:color w:val="221F1F"/>
        </w:rPr>
        <w:t>…………………………………………………………………………………………………………</w:t>
      </w:r>
    </w:p>
    <w:p w:rsidR="0033106B" w:rsidRDefault="004C3DCB">
      <w:pPr>
        <w:pStyle w:val="ListParagraph"/>
        <w:numPr>
          <w:ilvl w:val="0"/>
          <w:numId w:val="1"/>
        </w:numPr>
        <w:tabs>
          <w:tab w:val="left" w:pos="820"/>
          <w:tab w:val="left" w:pos="821"/>
        </w:tabs>
        <w:ind w:right="1355"/>
        <w:rPr>
          <w:sz w:val="18"/>
        </w:rPr>
      </w:pPr>
      <w:r>
        <w:rPr>
          <w:sz w:val="18"/>
        </w:rPr>
        <w:t xml:space="preserve">Campaign for Tobacco-Free Kids. </w:t>
      </w:r>
      <w:r>
        <w:rPr>
          <w:i/>
          <w:sz w:val="18"/>
        </w:rPr>
        <w:t xml:space="preserve">Tobacco Overview. </w:t>
      </w:r>
      <w:r>
        <w:rPr>
          <w:sz w:val="18"/>
        </w:rPr>
        <w:t>Retrieved November 10, 2015,</w:t>
      </w:r>
      <w:r>
        <w:rPr>
          <w:spacing w:val="-29"/>
          <w:sz w:val="18"/>
        </w:rPr>
        <w:t xml:space="preserve"> </w:t>
      </w:r>
      <w:r>
        <w:rPr>
          <w:sz w:val="18"/>
        </w:rPr>
        <w:t xml:space="preserve">from </w:t>
      </w:r>
      <w:hyperlink r:id="rId6">
        <w:r>
          <w:rPr>
            <w:color w:val="0000FF"/>
            <w:sz w:val="18"/>
            <w:u w:val="single" w:color="0000FF"/>
          </w:rPr>
          <w:t>http://www.tobaccofreekids.org/facts_issues/tobacco_101/</w:t>
        </w:r>
      </w:hyperlink>
    </w:p>
    <w:p w:rsidR="0033106B" w:rsidRDefault="004C3DCB">
      <w:pPr>
        <w:pStyle w:val="ListParagraph"/>
        <w:numPr>
          <w:ilvl w:val="0"/>
          <w:numId w:val="1"/>
        </w:numPr>
        <w:tabs>
          <w:tab w:val="left" w:pos="820"/>
          <w:tab w:val="left" w:pos="821"/>
        </w:tabs>
        <w:ind w:right="105"/>
        <w:rPr>
          <w:sz w:val="18"/>
        </w:rPr>
      </w:pPr>
      <w:r>
        <w:rPr>
          <w:sz w:val="18"/>
        </w:rPr>
        <w:t xml:space="preserve">U.S. Department of Health and Human Services. </w:t>
      </w:r>
      <w:r>
        <w:rPr>
          <w:i/>
          <w:sz w:val="18"/>
        </w:rPr>
        <w:t xml:space="preserve">The Health Consequences of Smoking—50 Years of Progress: A Report of the Surgeon General. </w:t>
      </w:r>
      <w:r>
        <w:rPr>
          <w:sz w:val="18"/>
        </w:rPr>
        <w:t>Atlanta, GA: U.S. Department of Health and Human</w:t>
      </w:r>
      <w:r>
        <w:rPr>
          <w:spacing w:val="-34"/>
          <w:sz w:val="18"/>
        </w:rPr>
        <w:t xml:space="preserve"> </w:t>
      </w:r>
      <w:r>
        <w:rPr>
          <w:sz w:val="18"/>
        </w:rPr>
        <w:t>Services, Centers for Disease Control and Prevention, National Center for Chronic Disease Prevention and Health Promotion, Office on Smoking and Health,</w:t>
      </w:r>
      <w:r>
        <w:rPr>
          <w:spacing w:val="-19"/>
          <w:sz w:val="18"/>
        </w:rPr>
        <w:t xml:space="preserve"> </w:t>
      </w:r>
      <w:r>
        <w:rPr>
          <w:sz w:val="18"/>
        </w:rPr>
        <w:t>2014.</w:t>
      </w:r>
    </w:p>
    <w:p w:rsidR="0033106B" w:rsidRDefault="004C3DCB">
      <w:pPr>
        <w:pStyle w:val="ListParagraph"/>
        <w:numPr>
          <w:ilvl w:val="0"/>
          <w:numId w:val="1"/>
        </w:numPr>
        <w:tabs>
          <w:tab w:val="left" w:pos="820"/>
          <w:tab w:val="left" w:pos="821"/>
        </w:tabs>
        <w:spacing w:before="2"/>
        <w:ind w:right="265"/>
        <w:rPr>
          <w:sz w:val="18"/>
        </w:rPr>
      </w:pPr>
      <w:r>
        <w:rPr>
          <w:sz w:val="18"/>
        </w:rPr>
        <w:t>U.S.</w:t>
      </w:r>
      <w:r>
        <w:rPr>
          <w:spacing w:val="-2"/>
          <w:sz w:val="18"/>
        </w:rPr>
        <w:t xml:space="preserve"> </w:t>
      </w:r>
      <w:r>
        <w:rPr>
          <w:sz w:val="18"/>
        </w:rPr>
        <w:t>Food</w:t>
      </w:r>
      <w:r>
        <w:rPr>
          <w:spacing w:val="-4"/>
          <w:sz w:val="18"/>
        </w:rPr>
        <w:t xml:space="preserve"> </w:t>
      </w:r>
      <w:r>
        <w:rPr>
          <w:sz w:val="18"/>
        </w:rPr>
        <w:t>and</w:t>
      </w:r>
      <w:r>
        <w:rPr>
          <w:spacing w:val="-4"/>
          <w:sz w:val="18"/>
        </w:rPr>
        <w:t xml:space="preserve"> </w:t>
      </w:r>
      <w:r>
        <w:rPr>
          <w:sz w:val="18"/>
        </w:rPr>
        <w:t>Drug</w:t>
      </w:r>
      <w:r>
        <w:rPr>
          <w:spacing w:val="-2"/>
          <w:sz w:val="18"/>
        </w:rPr>
        <w:t xml:space="preserve"> </w:t>
      </w:r>
      <w:r>
        <w:rPr>
          <w:sz w:val="18"/>
        </w:rPr>
        <w:t>Administration,</w:t>
      </w:r>
      <w:r>
        <w:rPr>
          <w:spacing w:val="-2"/>
          <w:sz w:val="18"/>
        </w:rPr>
        <w:t xml:space="preserve"> </w:t>
      </w:r>
      <w:r>
        <w:rPr>
          <w:sz w:val="18"/>
        </w:rPr>
        <w:t>FDA</w:t>
      </w:r>
      <w:r>
        <w:rPr>
          <w:spacing w:val="-2"/>
          <w:sz w:val="18"/>
        </w:rPr>
        <w:t xml:space="preserve"> </w:t>
      </w:r>
      <w:r>
        <w:rPr>
          <w:sz w:val="18"/>
        </w:rPr>
        <w:t>warns</w:t>
      </w:r>
      <w:r>
        <w:rPr>
          <w:spacing w:val="-1"/>
          <w:sz w:val="18"/>
        </w:rPr>
        <w:t xml:space="preserve"> </w:t>
      </w:r>
      <w:r>
        <w:rPr>
          <w:sz w:val="18"/>
        </w:rPr>
        <w:t>of</w:t>
      </w:r>
      <w:r>
        <w:rPr>
          <w:spacing w:val="-4"/>
          <w:sz w:val="18"/>
        </w:rPr>
        <w:t xml:space="preserve"> </w:t>
      </w:r>
      <w:r>
        <w:rPr>
          <w:sz w:val="18"/>
        </w:rPr>
        <w:t>health</w:t>
      </w:r>
      <w:r>
        <w:rPr>
          <w:spacing w:val="-2"/>
          <w:sz w:val="18"/>
        </w:rPr>
        <w:t xml:space="preserve"> </w:t>
      </w:r>
      <w:r>
        <w:rPr>
          <w:sz w:val="18"/>
        </w:rPr>
        <w:t>risks</w:t>
      </w:r>
      <w:r>
        <w:rPr>
          <w:spacing w:val="-1"/>
          <w:sz w:val="18"/>
        </w:rPr>
        <w:t xml:space="preserve"> </w:t>
      </w:r>
      <w:r>
        <w:rPr>
          <w:sz w:val="18"/>
        </w:rPr>
        <w:t>posed</w:t>
      </w:r>
      <w:r>
        <w:rPr>
          <w:spacing w:val="-4"/>
          <w:sz w:val="18"/>
        </w:rPr>
        <w:t xml:space="preserve"> </w:t>
      </w:r>
      <w:r>
        <w:rPr>
          <w:sz w:val="18"/>
        </w:rPr>
        <w:t>by</w:t>
      </w:r>
      <w:r>
        <w:rPr>
          <w:spacing w:val="-4"/>
          <w:sz w:val="18"/>
        </w:rPr>
        <w:t xml:space="preserve"> </w:t>
      </w:r>
      <w:r>
        <w:rPr>
          <w:sz w:val="18"/>
        </w:rPr>
        <w:t>e-cigarettes</w:t>
      </w:r>
      <w:r>
        <w:rPr>
          <w:spacing w:val="-1"/>
          <w:sz w:val="18"/>
        </w:rPr>
        <w:t xml:space="preserve"> </w:t>
      </w:r>
      <w:r>
        <w:rPr>
          <w:sz w:val="18"/>
        </w:rPr>
        <w:t>(2009),</w:t>
      </w:r>
      <w:r>
        <w:rPr>
          <w:spacing w:val="-2"/>
          <w:sz w:val="18"/>
        </w:rPr>
        <w:t xml:space="preserve"> </w:t>
      </w:r>
      <w:r>
        <w:rPr>
          <w:sz w:val="18"/>
        </w:rPr>
        <w:t>available</w:t>
      </w:r>
      <w:r>
        <w:rPr>
          <w:spacing w:val="-4"/>
          <w:sz w:val="18"/>
        </w:rPr>
        <w:t xml:space="preserve"> </w:t>
      </w:r>
      <w:r>
        <w:rPr>
          <w:sz w:val="18"/>
        </w:rPr>
        <w:t xml:space="preserve">at </w:t>
      </w:r>
      <w:hyperlink r:id="rId7">
        <w:r>
          <w:rPr>
            <w:color w:val="0000FF"/>
            <w:sz w:val="18"/>
            <w:u w:val="single" w:color="0000FF"/>
          </w:rPr>
          <w:t>http://www.fda.gov/ForConsumers/ConsumerUpdates/ucm173401.htm</w:t>
        </w:r>
        <w:r>
          <w:rPr>
            <w:sz w:val="18"/>
          </w:rPr>
          <w:t>.</w:t>
        </w:r>
      </w:hyperlink>
    </w:p>
    <w:p w:rsidR="0033106B" w:rsidRDefault="004C3DCB">
      <w:pPr>
        <w:pStyle w:val="ListParagraph"/>
        <w:numPr>
          <w:ilvl w:val="0"/>
          <w:numId w:val="1"/>
        </w:numPr>
        <w:tabs>
          <w:tab w:val="left" w:pos="820"/>
          <w:tab w:val="left" w:pos="821"/>
        </w:tabs>
        <w:spacing w:before="1" w:line="206" w:lineRule="exact"/>
        <w:ind w:right="118"/>
        <w:rPr>
          <w:sz w:val="18"/>
        </w:rPr>
      </w:pPr>
      <w:r>
        <w:rPr>
          <w:sz w:val="18"/>
        </w:rPr>
        <w:t xml:space="preserve">Jonathan D. Klein &amp; Steve St. Clair, </w:t>
      </w:r>
      <w:r>
        <w:rPr>
          <w:i/>
          <w:sz w:val="18"/>
        </w:rPr>
        <w:t>Do Candy Cigarettes Encourage Young People to Smoke?</w:t>
      </w:r>
      <w:proofErr w:type="gramStart"/>
      <w:r>
        <w:rPr>
          <w:sz w:val="18"/>
        </w:rPr>
        <w:t>,321</w:t>
      </w:r>
      <w:proofErr w:type="gramEnd"/>
      <w:r>
        <w:rPr>
          <w:sz w:val="18"/>
        </w:rPr>
        <w:t xml:space="preserve"> BRIT. MED. J. 362 (2000), </w:t>
      </w:r>
      <w:r>
        <w:rPr>
          <w:i/>
          <w:sz w:val="18"/>
        </w:rPr>
        <w:t>available at</w:t>
      </w:r>
      <w:r>
        <w:rPr>
          <w:i/>
          <w:spacing w:val="-27"/>
          <w:sz w:val="18"/>
        </w:rPr>
        <w:t xml:space="preserve"> </w:t>
      </w:r>
      <w:hyperlink r:id="rId8">
        <w:r>
          <w:rPr>
            <w:color w:val="0000FF"/>
            <w:sz w:val="18"/>
            <w:u w:val="single" w:color="0000FF"/>
          </w:rPr>
          <w:t>http://www.bmj.com/cgi/content/full/321/7257/362</w:t>
        </w:r>
        <w:r>
          <w:rPr>
            <w:sz w:val="18"/>
          </w:rPr>
          <w:t>.</w:t>
        </w:r>
      </w:hyperlink>
    </w:p>
    <w:sectPr w:rsidR="0033106B">
      <w:pgSz w:w="12240" w:h="15840"/>
      <w:pgMar w:top="138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02D0"/>
    <w:multiLevelType w:val="hybridMultilevel"/>
    <w:tmpl w:val="1C125F6A"/>
    <w:lvl w:ilvl="0" w:tplc="CE4E0440">
      <w:start w:val="1"/>
      <w:numFmt w:val="lowerLetter"/>
      <w:lvlText w:val="%1)"/>
      <w:lvlJc w:val="left"/>
      <w:pPr>
        <w:ind w:left="840" w:hanging="360"/>
        <w:jc w:val="left"/>
      </w:pPr>
      <w:rPr>
        <w:rFonts w:ascii="Arial" w:eastAsia="Arial" w:hAnsi="Arial" w:cs="Arial" w:hint="default"/>
        <w:b/>
        <w:bCs/>
        <w:spacing w:val="-1"/>
        <w:w w:val="100"/>
        <w:sz w:val="22"/>
        <w:szCs w:val="22"/>
      </w:rPr>
    </w:lvl>
    <w:lvl w:ilvl="1" w:tplc="725A62BA">
      <w:numFmt w:val="bullet"/>
      <w:lvlText w:val=""/>
      <w:lvlJc w:val="left"/>
      <w:pPr>
        <w:ind w:left="1451" w:hanging="360"/>
      </w:pPr>
      <w:rPr>
        <w:rFonts w:ascii="Wingdings" w:eastAsia="Wingdings" w:hAnsi="Wingdings" w:cs="Wingdings" w:hint="default"/>
        <w:w w:val="100"/>
        <w:sz w:val="22"/>
        <w:szCs w:val="22"/>
      </w:rPr>
    </w:lvl>
    <w:lvl w:ilvl="2" w:tplc="FA3EAA2A">
      <w:numFmt w:val="bullet"/>
      <w:lvlText w:val="•"/>
      <w:lvlJc w:val="left"/>
      <w:pPr>
        <w:ind w:left="2340" w:hanging="360"/>
      </w:pPr>
      <w:rPr>
        <w:rFonts w:hint="default"/>
      </w:rPr>
    </w:lvl>
    <w:lvl w:ilvl="3" w:tplc="7E4CA390">
      <w:numFmt w:val="bullet"/>
      <w:lvlText w:val="•"/>
      <w:lvlJc w:val="left"/>
      <w:pPr>
        <w:ind w:left="3220" w:hanging="360"/>
      </w:pPr>
      <w:rPr>
        <w:rFonts w:hint="default"/>
      </w:rPr>
    </w:lvl>
    <w:lvl w:ilvl="4" w:tplc="356A7086">
      <w:numFmt w:val="bullet"/>
      <w:lvlText w:val="•"/>
      <w:lvlJc w:val="left"/>
      <w:pPr>
        <w:ind w:left="4100" w:hanging="360"/>
      </w:pPr>
      <w:rPr>
        <w:rFonts w:hint="default"/>
      </w:rPr>
    </w:lvl>
    <w:lvl w:ilvl="5" w:tplc="50E4CD7A">
      <w:numFmt w:val="bullet"/>
      <w:lvlText w:val="•"/>
      <w:lvlJc w:val="left"/>
      <w:pPr>
        <w:ind w:left="4980" w:hanging="360"/>
      </w:pPr>
      <w:rPr>
        <w:rFonts w:hint="default"/>
      </w:rPr>
    </w:lvl>
    <w:lvl w:ilvl="6" w:tplc="72F82F50">
      <w:numFmt w:val="bullet"/>
      <w:lvlText w:val="•"/>
      <w:lvlJc w:val="left"/>
      <w:pPr>
        <w:ind w:left="5860" w:hanging="360"/>
      </w:pPr>
      <w:rPr>
        <w:rFonts w:hint="default"/>
      </w:rPr>
    </w:lvl>
    <w:lvl w:ilvl="7" w:tplc="555E80BE">
      <w:numFmt w:val="bullet"/>
      <w:lvlText w:val="•"/>
      <w:lvlJc w:val="left"/>
      <w:pPr>
        <w:ind w:left="6740" w:hanging="360"/>
      </w:pPr>
      <w:rPr>
        <w:rFonts w:hint="default"/>
      </w:rPr>
    </w:lvl>
    <w:lvl w:ilvl="8" w:tplc="9E2EF600">
      <w:numFmt w:val="bullet"/>
      <w:lvlText w:val="•"/>
      <w:lvlJc w:val="left"/>
      <w:pPr>
        <w:ind w:left="7620" w:hanging="360"/>
      </w:pPr>
      <w:rPr>
        <w:rFonts w:hint="default"/>
      </w:rPr>
    </w:lvl>
  </w:abstractNum>
  <w:abstractNum w:abstractNumId="1" w15:restartNumberingAfterBreak="0">
    <w:nsid w:val="7CAE03DF"/>
    <w:multiLevelType w:val="hybridMultilevel"/>
    <w:tmpl w:val="56126FC8"/>
    <w:lvl w:ilvl="0" w:tplc="C19AA326">
      <w:start w:val="1"/>
      <w:numFmt w:val="decimal"/>
      <w:lvlText w:val="%1."/>
      <w:lvlJc w:val="left"/>
      <w:pPr>
        <w:ind w:left="820" w:hanging="360"/>
        <w:jc w:val="left"/>
      </w:pPr>
      <w:rPr>
        <w:rFonts w:ascii="Arial" w:eastAsia="Arial" w:hAnsi="Arial" w:cs="Arial" w:hint="default"/>
        <w:spacing w:val="-4"/>
        <w:w w:val="99"/>
        <w:sz w:val="18"/>
        <w:szCs w:val="18"/>
      </w:rPr>
    </w:lvl>
    <w:lvl w:ilvl="1" w:tplc="66067B4A">
      <w:numFmt w:val="bullet"/>
      <w:lvlText w:val="•"/>
      <w:lvlJc w:val="left"/>
      <w:pPr>
        <w:ind w:left="1676" w:hanging="360"/>
      </w:pPr>
      <w:rPr>
        <w:rFonts w:hint="default"/>
      </w:rPr>
    </w:lvl>
    <w:lvl w:ilvl="2" w:tplc="601C6632">
      <w:numFmt w:val="bullet"/>
      <w:lvlText w:val="•"/>
      <w:lvlJc w:val="left"/>
      <w:pPr>
        <w:ind w:left="2532" w:hanging="360"/>
      </w:pPr>
      <w:rPr>
        <w:rFonts w:hint="default"/>
      </w:rPr>
    </w:lvl>
    <w:lvl w:ilvl="3" w:tplc="EF0A08BC">
      <w:numFmt w:val="bullet"/>
      <w:lvlText w:val="•"/>
      <w:lvlJc w:val="left"/>
      <w:pPr>
        <w:ind w:left="3388" w:hanging="360"/>
      </w:pPr>
      <w:rPr>
        <w:rFonts w:hint="default"/>
      </w:rPr>
    </w:lvl>
    <w:lvl w:ilvl="4" w:tplc="88187B4C">
      <w:numFmt w:val="bullet"/>
      <w:lvlText w:val="•"/>
      <w:lvlJc w:val="left"/>
      <w:pPr>
        <w:ind w:left="4244" w:hanging="360"/>
      </w:pPr>
      <w:rPr>
        <w:rFonts w:hint="default"/>
      </w:rPr>
    </w:lvl>
    <w:lvl w:ilvl="5" w:tplc="B324EE7A">
      <w:numFmt w:val="bullet"/>
      <w:lvlText w:val="•"/>
      <w:lvlJc w:val="left"/>
      <w:pPr>
        <w:ind w:left="5100" w:hanging="360"/>
      </w:pPr>
      <w:rPr>
        <w:rFonts w:hint="default"/>
      </w:rPr>
    </w:lvl>
    <w:lvl w:ilvl="6" w:tplc="871E15BC">
      <w:numFmt w:val="bullet"/>
      <w:lvlText w:val="•"/>
      <w:lvlJc w:val="left"/>
      <w:pPr>
        <w:ind w:left="5956" w:hanging="360"/>
      </w:pPr>
      <w:rPr>
        <w:rFonts w:hint="default"/>
      </w:rPr>
    </w:lvl>
    <w:lvl w:ilvl="7" w:tplc="36D4DCE0">
      <w:numFmt w:val="bullet"/>
      <w:lvlText w:val="•"/>
      <w:lvlJc w:val="left"/>
      <w:pPr>
        <w:ind w:left="6812" w:hanging="360"/>
      </w:pPr>
      <w:rPr>
        <w:rFonts w:hint="default"/>
      </w:rPr>
    </w:lvl>
    <w:lvl w:ilvl="8" w:tplc="FF24B92C">
      <w:numFmt w:val="bullet"/>
      <w:lvlText w:val="•"/>
      <w:lvlJc w:val="left"/>
      <w:pPr>
        <w:ind w:left="76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6B"/>
    <w:rsid w:val="0033106B"/>
    <w:rsid w:val="004466A2"/>
    <w:rsid w:val="004A15CC"/>
    <w:rsid w:val="004C3DCB"/>
    <w:rsid w:val="007B2DD4"/>
    <w:rsid w:val="00A113A0"/>
    <w:rsid w:val="00A32CE0"/>
    <w:rsid w:val="00B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4139"/>
  <w15:docId w15:val="{7809F557-9F81-4758-B159-4856D06D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145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3DCB"/>
    <w:rPr>
      <w:rFonts w:ascii="Tahoma" w:hAnsi="Tahoma" w:cs="Tahoma"/>
      <w:sz w:val="16"/>
      <w:szCs w:val="16"/>
    </w:rPr>
  </w:style>
  <w:style w:type="character" w:customStyle="1" w:styleId="BalloonTextChar">
    <w:name w:val="Balloon Text Char"/>
    <w:basedOn w:val="DefaultParagraphFont"/>
    <w:link w:val="BalloonText"/>
    <w:uiPriority w:val="99"/>
    <w:semiHidden/>
    <w:rsid w:val="004C3DC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mj.com/cgi/content/full/321/7257/362" TargetMode="External"/><Relationship Id="rId3" Type="http://schemas.openxmlformats.org/officeDocument/2006/relationships/settings" Target="settings.xml"/><Relationship Id="rId7" Type="http://schemas.openxmlformats.org/officeDocument/2006/relationships/hyperlink" Target="http://www.fda.gov/ForConsumers/ConsumerUpdates/ucm1734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baccofreekids.org/facts_issues/tobacco_1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Outdoor Event</vt:lpstr>
    </vt:vector>
  </TitlesOfParts>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Event</dc:title>
  <dc:creator>David C Johnson</dc:creator>
  <cp:lastModifiedBy>Teri Bos</cp:lastModifiedBy>
  <cp:revision>3</cp:revision>
  <dcterms:created xsi:type="dcterms:W3CDTF">2018-02-09T14:30:00Z</dcterms:created>
  <dcterms:modified xsi:type="dcterms:W3CDTF">2018-10-05T14:50:00Z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2016</vt:lpwstr>
  </property>
  <property fmtid="{D5CDD505-2E9C-101B-9397-08002B2CF9AE}" pid="4" name="LastSaved">
    <vt:filetime>2016-12-02T00:00:00Z</vt:filetime>
  </property>
</Properties>
</file>