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066B0" w14:textId="77777777" w:rsidR="00735B57" w:rsidRPr="004A198E" w:rsidRDefault="00735B57" w:rsidP="00735B57">
      <w:pPr>
        <w:rPr>
          <w:rFonts w:ascii="Arial" w:hAnsi="Arial" w:cs="Arial"/>
          <w:bCs/>
        </w:rPr>
      </w:pPr>
      <w:r w:rsidRPr="004A198E">
        <w:rPr>
          <w:rFonts w:ascii="Arial" w:hAnsi="Arial" w:cs="Arial"/>
          <w:bCs/>
        </w:rPr>
        <w:t>PRESS RELEASE – FOR IMMEDIATE RELEASE</w:t>
      </w:r>
    </w:p>
    <w:p w14:paraId="35805723" w14:textId="0E7A8BBE" w:rsidR="00735B57" w:rsidRPr="004A198E" w:rsidRDefault="00735B57" w:rsidP="00735B57">
      <w:pPr>
        <w:spacing w:after="0"/>
        <w:jc w:val="center"/>
        <w:rPr>
          <w:rFonts w:ascii="Arial" w:hAnsi="Arial" w:cs="Arial"/>
          <w:b/>
        </w:rPr>
      </w:pPr>
      <w:r w:rsidRPr="004A198E">
        <w:rPr>
          <w:rFonts w:ascii="Arial" w:hAnsi="Arial" w:cs="Arial"/>
          <w:b/>
        </w:rPr>
        <w:t>CDB Approves US$</w:t>
      </w:r>
      <w:r>
        <w:rPr>
          <w:rFonts w:ascii="Arial" w:hAnsi="Arial" w:cs="Arial"/>
          <w:b/>
        </w:rPr>
        <w:t>43</w:t>
      </w:r>
      <w:r w:rsidRPr="004A198E">
        <w:rPr>
          <w:rFonts w:ascii="Arial" w:hAnsi="Arial" w:cs="Arial"/>
          <w:b/>
        </w:rPr>
        <w:t xml:space="preserve"> Million for </w:t>
      </w:r>
      <w:r>
        <w:rPr>
          <w:rFonts w:ascii="Arial" w:hAnsi="Arial" w:cs="Arial"/>
          <w:b/>
        </w:rPr>
        <w:t>Bahamas Education Project</w:t>
      </w:r>
    </w:p>
    <w:p w14:paraId="179BB475" w14:textId="77777777" w:rsidR="00735B57" w:rsidRPr="004A198E" w:rsidRDefault="00735B57" w:rsidP="00735B57">
      <w:pPr>
        <w:spacing w:after="0"/>
        <w:jc w:val="center"/>
        <w:rPr>
          <w:rFonts w:ascii="Arial" w:hAnsi="Arial" w:cs="Arial"/>
          <w:b/>
        </w:rPr>
      </w:pPr>
    </w:p>
    <w:p w14:paraId="55A8E6B7" w14:textId="5B42556F" w:rsidR="00735B57" w:rsidRDefault="00735B57" w:rsidP="00735B57">
      <w:pPr>
        <w:jc w:val="both"/>
        <w:rPr>
          <w:rFonts w:ascii="Arial" w:hAnsi="Arial" w:cs="Arial"/>
        </w:rPr>
      </w:pPr>
      <w:r w:rsidRPr="004A198E">
        <w:rPr>
          <w:rFonts w:ascii="Arial" w:hAnsi="Arial" w:cs="Arial"/>
          <w:b/>
        </w:rPr>
        <w:t xml:space="preserve">December </w:t>
      </w:r>
      <w:r w:rsidR="00315CB7">
        <w:rPr>
          <w:rFonts w:ascii="Arial" w:hAnsi="Arial" w:cs="Arial"/>
          <w:b/>
        </w:rPr>
        <w:t>20</w:t>
      </w:r>
      <w:r w:rsidRPr="004A198E">
        <w:rPr>
          <w:rFonts w:ascii="Arial" w:hAnsi="Arial" w:cs="Arial"/>
          <w:b/>
        </w:rPr>
        <w:t xml:space="preserve">, 2022, BRIDGETOWN, Barbados </w:t>
      </w:r>
      <w:r w:rsidRPr="004A198E">
        <w:rPr>
          <w:rFonts w:ascii="Arial" w:hAnsi="Arial" w:cs="Arial"/>
        </w:rPr>
        <w:t xml:space="preserve">– </w:t>
      </w:r>
      <w:r>
        <w:rPr>
          <w:rFonts w:ascii="Arial" w:hAnsi="Arial" w:cs="Arial"/>
        </w:rPr>
        <w:t xml:space="preserve">The Caribbean Development Bank (CDB) is putting US$43.3 million into the construction of a brand-new comprehensive school and the </w:t>
      </w:r>
      <w:r w:rsidR="007F61EF">
        <w:rPr>
          <w:rFonts w:ascii="Arial" w:hAnsi="Arial" w:cs="Arial"/>
        </w:rPr>
        <w:t>rehabilitation of two others</w:t>
      </w:r>
      <w:r>
        <w:rPr>
          <w:rFonts w:ascii="Arial" w:hAnsi="Arial" w:cs="Arial"/>
        </w:rPr>
        <w:t xml:space="preserve"> in East Grand Bahama</w:t>
      </w:r>
      <w:r w:rsidR="00424DE3">
        <w:rPr>
          <w:rFonts w:ascii="Arial" w:hAnsi="Arial" w:cs="Arial"/>
        </w:rPr>
        <w:t>-</w:t>
      </w:r>
      <w:r>
        <w:rPr>
          <w:rFonts w:ascii="Arial" w:hAnsi="Arial" w:cs="Arial"/>
        </w:rPr>
        <w:t>, to accommodate</w:t>
      </w:r>
      <w:r w:rsidR="00BB1BBA">
        <w:rPr>
          <w:rFonts w:ascii="Arial" w:hAnsi="Arial" w:cs="Arial"/>
        </w:rPr>
        <w:t xml:space="preserve"> </w:t>
      </w:r>
      <w:r>
        <w:rPr>
          <w:rFonts w:ascii="Arial" w:hAnsi="Arial" w:cs="Arial"/>
        </w:rPr>
        <w:t>students whose schools were destroyed by Hurricane Dorian in 2019.</w:t>
      </w:r>
    </w:p>
    <w:p w14:paraId="43653466" w14:textId="18638840" w:rsidR="00735B57" w:rsidRDefault="007863CC" w:rsidP="00735B57">
      <w:pPr>
        <w:jc w:val="both"/>
        <w:rPr>
          <w:rFonts w:ascii="Arial" w:hAnsi="Arial" w:cs="Arial"/>
        </w:rPr>
      </w:pPr>
      <w:r>
        <w:rPr>
          <w:rFonts w:ascii="Arial" w:hAnsi="Arial" w:cs="Arial"/>
        </w:rPr>
        <w:t>The Bank’s board of directors approved the loan to the Government of The Bahamas</w:t>
      </w:r>
      <w:r w:rsidR="00735B57">
        <w:rPr>
          <w:rFonts w:ascii="Arial" w:hAnsi="Arial" w:cs="Arial"/>
        </w:rPr>
        <w:t xml:space="preserve"> at its December 9 meeting. Under the project, </w:t>
      </w:r>
      <w:r>
        <w:rPr>
          <w:rFonts w:ascii="Arial" w:hAnsi="Arial" w:cs="Arial"/>
        </w:rPr>
        <w:t>the East End Primary School</w:t>
      </w:r>
      <w:r w:rsidR="007F61EF">
        <w:rPr>
          <w:rFonts w:ascii="Arial" w:hAnsi="Arial" w:cs="Arial"/>
        </w:rPr>
        <w:t xml:space="preserve"> </w:t>
      </w:r>
      <w:r>
        <w:rPr>
          <w:rFonts w:ascii="Arial" w:hAnsi="Arial" w:cs="Arial"/>
        </w:rPr>
        <w:t xml:space="preserve">will be rehabilitated, and a new East Grand Bahama Comprehensive School will be constructed. </w:t>
      </w:r>
      <w:r w:rsidR="00424DE3">
        <w:rPr>
          <w:rFonts w:ascii="Arial" w:hAnsi="Arial" w:cs="Arial"/>
        </w:rPr>
        <w:t xml:space="preserve">In addition, 2,000 teachers and principals will be trained in learning recovery and enhancement to support student-centred, differentiated accelerated learning to address the learning loss occasioned by the impact of </w:t>
      </w:r>
      <w:r w:rsidR="006F4989">
        <w:rPr>
          <w:rFonts w:ascii="Arial" w:hAnsi="Arial" w:cs="Arial"/>
        </w:rPr>
        <w:t xml:space="preserve">COVID-19. </w:t>
      </w:r>
      <w:r>
        <w:rPr>
          <w:rFonts w:ascii="Arial" w:hAnsi="Arial" w:cs="Arial"/>
        </w:rPr>
        <w:t xml:space="preserve">The total cost of the project is US$48.08 million with the </w:t>
      </w:r>
      <w:r w:rsidR="00447128">
        <w:rPr>
          <w:rFonts w:ascii="Arial" w:hAnsi="Arial" w:cs="Arial"/>
        </w:rPr>
        <w:t>Government</w:t>
      </w:r>
      <w:r>
        <w:rPr>
          <w:rFonts w:ascii="Arial" w:hAnsi="Arial" w:cs="Arial"/>
        </w:rPr>
        <w:t xml:space="preserve"> contributing counterpart funding of US$4.76 million.</w:t>
      </w:r>
    </w:p>
    <w:p w14:paraId="642D8881" w14:textId="3D6EC310" w:rsidR="00BB1BBA" w:rsidRDefault="00447128" w:rsidP="00BB1BBA">
      <w:pPr>
        <w:jc w:val="both"/>
        <w:rPr>
          <w:rFonts w:ascii="Arial" w:hAnsi="Arial" w:cs="Arial"/>
        </w:rPr>
      </w:pPr>
      <w:r>
        <w:rPr>
          <w:rFonts w:ascii="Arial" w:hAnsi="Arial" w:cs="Arial"/>
        </w:rPr>
        <w:t>The facilities will fill the critical need that arose in East Grand Bahama</w:t>
      </w:r>
      <w:r w:rsidR="00424DE3">
        <w:rPr>
          <w:rFonts w:ascii="Arial" w:hAnsi="Arial" w:cs="Arial"/>
        </w:rPr>
        <w:t>-</w:t>
      </w:r>
      <w:r>
        <w:rPr>
          <w:rFonts w:ascii="Arial" w:hAnsi="Arial" w:cs="Arial"/>
        </w:rPr>
        <w:t xml:space="preserve"> after Hurricane Dorian’s passage destroyed four schools in the area</w:t>
      </w:r>
      <w:r w:rsidR="00BB1BBA">
        <w:rPr>
          <w:rFonts w:ascii="Arial" w:hAnsi="Arial" w:cs="Arial"/>
        </w:rPr>
        <w:t xml:space="preserve"> – </w:t>
      </w:r>
      <w:r w:rsidR="00BB1BBA" w:rsidRPr="00BB1BBA">
        <w:rPr>
          <w:rFonts w:ascii="Arial" w:hAnsi="Arial" w:cs="Arial"/>
        </w:rPr>
        <w:t>the East End Preschool in Freetown, the</w:t>
      </w:r>
      <w:r w:rsidR="00BB1BBA">
        <w:rPr>
          <w:rFonts w:ascii="Arial" w:hAnsi="Arial" w:cs="Arial"/>
        </w:rPr>
        <w:t xml:space="preserve"> </w:t>
      </w:r>
      <w:r w:rsidR="00BB1BBA" w:rsidRPr="00BB1BBA">
        <w:rPr>
          <w:rFonts w:ascii="Arial" w:hAnsi="Arial" w:cs="Arial"/>
        </w:rPr>
        <w:t xml:space="preserve">East End Primary School in High Rock, the East End Junior High School in McClean’s </w:t>
      </w:r>
      <w:proofErr w:type="gramStart"/>
      <w:r w:rsidR="00BB1BBA" w:rsidRPr="00BB1BBA">
        <w:rPr>
          <w:rFonts w:ascii="Arial" w:hAnsi="Arial" w:cs="Arial"/>
        </w:rPr>
        <w:t>Town</w:t>
      </w:r>
      <w:proofErr w:type="gramEnd"/>
      <w:r w:rsidR="00BB1BBA" w:rsidRPr="00BB1BBA">
        <w:rPr>
          <w:rFonts w:ascii="Arial" w:hAnsi="Arial" w:cs="Arial"/>
        </w:rPr>
        <w:t xml:space="preserve"> and the All-Aged School in Sweeting’s Cay. </w:t>
      </w:r>
    </w:p>
    <w:p w14:paraId="3337CE82" w14:textId="38CB9477" w:rsidR="00447128" w:rsidRDefault="00447128" w:rsidP="00735B57">
      <w:pPr>
        <w:jc w:val="both"/>
        <w:rPr>
          <w:rFonts w:ascii="Arial" w:hAnsi="Arial" w:cs="Arial"/>
        </w:rPr>
      </w:pPr>
      <w:r>
        <w:rPr>
          <w:rFonts w:ascii="Arial" w:hAnsi="Arial" w:cs="Arial"/>
        </w:rPr>
        <w:t xml:space="preserve">As a result, for much of the past three years, students have been forced to </w:t>
      </w:r>
      <w:r w:rsidR="00BB1BBA">
        <w:rPr>
          <w:rFonts w:ascii="Arial" w:hAnsi="Arial" w:cs="Arial"/>
        </w:rPr>
        <w:t xml:space="preserve">rise as early as 4:00 a.m. to make the over 60-mile </w:t>
      </w:r>
      <w:r>
        <w:rPr>
          <w:rFonts w:ascii="Arial" w:hAnsi="Arial" w:cs="Arial"/>
        </w:rPr>
        <w:t>commute by bus and ferry to Freeport to access educational services.</w:t>
      </w:r>
      <w:r w:rsidR="00BB1BBA">
        <w:rPr>
          <w:rFonts w:ascii="Arial" w:hAnsi="Arial" w:cs="Arial"/>
        </w:rPr>
        <w:t xml:space="preserve"> The lengthy commute has made it challenging for students to keep up with their schoolwork, challenges that were further exacerbated by the impact of the COVID-19 pandemic on schooling. </w:t>
      </w:r>
    </w:p>
    <w:p w14:paraId="760C1FDD" w14:textId="2CB4B026" w:rsidR="007F61EF" w:rsidRDefault="007F61EF" w:rsidP="007F61EF">
      <w:pPr>
        <w:jc w:val="both"/>
        <w:rPr>
          <w:rFonts w:ascii="Arial" w:hAnsi="Arial" w:cs="Arial"/>
        </w:rPr>
      </w:pPr>
      <w:r>
        <w:rPr>
          <w:rFonts w:ascii="Arial" w:hAnsi="Arial" w:cs="Arial"/>
        </w:rPr>
        <w:t xml:space="preserve">CDB’s </w:t>
      </w:r>
      <w:r w:rsidRPr="007F61EF">
        <w:rPr>
          <w:rFonts w:ascii="Arial" w:hAnsi="Arial" w:cs="Arial"/>
          <w:b/>
          <w:bCs/>
        </w:rPr>
        <w:t>Division Chief</w:t>
      </w:r>
      <w:r>
        <w:rPr>
          <w:rFonts w:ascii="Arial" w:hAnsi="Arial" w:cs="Arial"/>
        </w:rPr>
        <w:t xml:space="preserve">, </w:t>
      </w:r>
      <w:r w:rsidRPr="007F61EF">
        <w:rPr>
          <w:rFonts w:ascii="Arial" w:hAnsi="Arial" w:cs="Arial"/>
          <w:b/>
          <w:bCs/>
        </w:rPr>
        <w:t>Social Sector Division</w:t>
      </w:r>
      <w:r>
        <w:rPr>
          <w:rFonts w:ascii="Arial" w:hAnsi="Arial" w:cs="Arial"/>
        </w:rPr>
        <w:t xml:space="preserve">, </w:t>
      </w:r>
      <w:r w:rsidRPr="007F61EF">
        <w:rPr>
          <w:rFonts w:ascii="Arial" w:hAnsi="Arial" w:cs="Arial"/>
          <w:b/>
          <w:bCs/>
        </w:rPr>
        <w:t>Dr Martin Baptiste</w:t>
      </w:r>
      <w:r>
        <w:rPr>
          <w:rFonts w:ascii="Arial" w:hAnsi="Arial" w:cs="Arial"/>
        </w:rPr>
        <w:t xml:space="preserve"> underscored the challenges which the lengthy commute has had on the educational pursuits of the displaced students.</w:t>
      </w:r>
    </w:p>
    <w:p w14:paraId="17D29D8A" w14:textId="3CBCDE26" w:rsidR="007F61EF" w:rsidRDefault="007F61EF" w:rsidP="007F61EF">
      <w:pPr>
        <w:jc w:val="both"/>
        <w:rPr>
          <w:rFonts w:ascii="Arial" w:hAnsi="Arial" w:cs="Arial"/>
        </w:rPr>
      </w:pPr>
      <w:r>
        <w:rPr>
          <w:rFonts w:ascii="Arial" w:hAnsi="Arial" w:cs="Arial"/>
        </w:rPr>
        <w:t>“</w:t>
      </w:r>
      <w:r w:rsidRPr="007F61EF">
        <w:rPr>
          <w:rFonts w:ascii="Arial" w:hAnsi="Arial" w:cs="Arial"/>
          <w:i/>
          <w:iCs/>
        </w:rPr>
        <w:t>This new norm is inconvenient, more expensive, and has been thought to affect the day-to-day activity of the students depriving them of a total of two to three hours spent travelling to and from their destinations. Providing a school plant will eliminate the need for students to commute these inordinate distances each day, thereby allowing more time for extra-curricular activities which are central for student life, and balanced personal and academic development</w:t>
      </w:r>
      <w:r>
        <w:rPr>
          <w:rFonts w:ascii="Arial" w:hAnsi="Arial" w:cs="Arial"/>
        </w:rPr>
        <w:t xml:space="preserve">,” stated </w:t>
      </w:r>
      <w:r w:rsidRPr="007F61EF">
        <w:rPr>
          <w:rFonts w:ascii="Arial" w:hAnsi="Arial" w:cs="Arial"/>
          <w:b/>
          <w:bCs/>
        </w:rPr>
        <w:t>Dr Baptiste</w:t>
      </w:r>
      <w:r>
        <w:rPr>
          <w:rFonts w:ascii="Arial" w:hAnsi="Arial" w:cs="Arial"/>
        </w:rPr>
        <w:t>.</w:t>
      </w:r>
    </w:p>
    <w:p w14:paraId="3CCD3245" w14:textId="1AC8A3DE" w:rsidR="007F61EF" w:rsidRDefault="007F61EF" w:rsidP="00735B57">
      <w:pPr>
        <w:jc w:val="both"/>
        <w:rPr>
          <w:rFonts w:ascii="Arial" w:hAnsi="Arial" w:cs="Arial"/>
        </w:rPr>
      </w:pPr>
      <w:r w:rsidRPr="007F61EF">
        <w:rPr>
          <w:rFonts w:ascii="Arial" w:hAnsi="Arial" w:cs="Arial"/>
        </w:rPr>
        <w:t>The new</w:t>
      </w:r>
      <w:r>
        <w:rPr>
          <w:rFonts w:ascii="Arial" w:hAnsi="Arial" w:cs="Arial"/>
        </w:rPr>
        <w:t xml:space="preserve"> comprehensive</w:t>
      </w:r>
      <w:r w:rsidRPr="007F61EF">
        <w:rPr>
          <w:rFonts w:ascii="Arial" w:hAnsi="Arial" w:cs="Arial"/>
        </w:rPr>
        <w:t xml:space="preserve"> school complex will</w:t>
      </w:r>
      <w:r>
        <w:rPr>
          <w:rFonts w:ascii="Arial" w:hAnsi="Arial" w:cs="Arial"/>
        </w:rPr>
        <w:t xml:space="preserve"> also</w:t>
      </w:r>
      <w:r w:rsidRPr="007F61EF">
        <w:rPr>
          <w:rFonts w:ascii="Arial" w:hAnsi="Arial" w:cs="Arial"/>
        </w:rPr>
        <w:t xml:space="preserve"> include a multi-purpose hurricane shelter</w:t>
      </w:r>
      <w:r>
        <w:rPr>
          <w:rFonts w:ascii="Arial" w:hAnsi="Arial" w:cs="Arial"/>
        </w:rPr>
        <w:t xml:space="preserve"> which</w:t>
      </w:r>
      <w:r w:rsidRPr="007F61EF">
        <w:rPr>
          <w:rFonts w:ascii="Arial" w:hAnsi="Arial" w:cs="Arial"/>
        </w:rPr>
        <w:t xml:space="preserve"> will be designed to function as a cafeteria during school hours </w:t>
      </w:r>
      <w:r>
        <w:rPr>
          <w:rFonts w:ascii="Arial" w:hAnsi="Arial" w:cs="Arial"/>
        </w:rPr>
        <w:t>but</w:t>
      </w:r>
      <w:r w:rsidRPr="007F61EF">
        <w:rPr>
          <w:rFonts w:ascii="Arial" w:hAnsi="Arial" w:cs="Arial"/>
        </w:rPr>
        <w:t xml:space="preserve"> can be seamlessly transitioned for use as a hurricane shelter in the event of a natural hazard event.</w:t>
      </w:r>
    </w:p>
    <w:p w14:paraId="473612A1" w14:textId="7BDB516D" w:rsidR="007863CC" w:rsidRDefault="007F61EF" w:rsidP="007863CC">
      <w:pPr>
        <w:jc w:val="both"/>
        <w:rPr>
          <w:rFonts w:ascii="Arial" w:hAnsi="Arial" w:cs="Arial"/>
        </w:rPr>
      </w:pPr>
      <w:r>
        <w:rPr>
          <w:rFonts w:ascii="Arial" w:hAnsi="Arial" w:cs="Arial"/>
        </w:rPr>
        <w:t>Dr Baptiste highlighted the potential overall social benefits of the project, noting:</w:t>
      </w:r>
      <w:r w:rsidR="00F4790E">
        <w:rPr>
          <w:rFonts w:ascii="Arial" w:hAnsi="Arial" w:cs="Arial"/>
        </w:rPr>
        <w:t xml:space="preserve"> </w:t>
      </w:r>
      <w:r>
        <w:rPr>
          <w:rFonts w:ascii="Arial" w:hAnsi="Arial" w:cs="Arial"/>
        </w:rPr>
        <w:t>“</w:t>
      </w:r>
      <w:r w:rsidR="007863CC" w:rsidRPr="007F61EF">
        <w:rPr>
          <w:rFonts w:ascii="Arial" w:hAnsi="Arial" w:cs="Arial"/>
          <w:i/>
          <w:iCs/>
        </w:rPr>
        <w:t>Given</w:t>
      </w:r>
      <w:r w:rsidR="00447128" w:rsidRPr="007F61EF">
        <w:rPr>
          <w:rFonts w:ascii="Arial" w:hAnsi="Arial" w:cs="Arial"/>
          <w:i/>
          <w:iCs/>
        </w:rPr>
        <w:t xml:space="preserve"> </w:t>
      </w:r>
      <w:r w:rsidR="007863CC" w:rsidRPr="007F61EF">
        <w:rPr>
          <w:rFonts w:ascii="Arial" w:hAnsi="Arial" w:cs="Arial"/>
          <w:i/>
          <w:iCs/>
        </w:rPr>
        <w:t>the</w:t>
      </w:r>
      <w:r w:rsidR="00447128" w:rsidRPr="007F61EF">
        <w:rPr>
          <w:rFonts w:ascii="Arial" w:hAnsi="Arial" w:cs="Arial"/>
          <w:i/>
          <w:iCs/>
        </w:rPr>
        <w:t xml:space="preserve"> </w:t>
      </w:r>
      <w:r w:rsidR="007863CC" w:rsidRPr="007F61EF">
        <w:rPr>
          <w:rFonts w:ascii="Arial" w:hAnsi="Arial" w:cs="Arial"/>
          <w:i/>
          <w:iCs/>
        </w:rPr>
        <w:t>intersectionality between the home, community and the school, the investment in new school infrastructure</w:t>
      </w:r>
      <w:r w:rsidR="00447128" w:rsidRPr="007F61EF">
        <w:rPr>
          <w:rFonts w:ascii="Arial" w:hAnsi="Arial" w:cs="Arial"/>
          <w:i/>
          <w:iCs/>
        </w:rPr>
        <w:t xml:space="preserve"> </w:t>
      </w:r>
      <w:r w:rsidR="007863CC" w:rsidRPr="007F61EF">
        <w:rPr>
          <w:rFonts w:ascii="Arial" w:hAnsi="Arial" w:cs="Arial"/>
          <w:i/>
          <w:iCs/>
        </w:rPr>
        <w:t>will also play a significant role in the general improvement of respective communities, enhancing skills</w:t>
      </w:r>
      <w:r w:rsidR="00447128" w:rsidRPr="007F61EF">
        <w:rPr>
          <w:rFonts w:ascii="Arial" w:hAnsi="Arial" w:cs="Arial"/>
          <w:i/>
          <w:iCs/>
        </w:rPr>
        <w:t xml:space="preserve"> </w:t>
      </w:r>
      <w:r w:rsidR="007863CC" w:rsidRPr="007F61EF">
        <w:rPr>
          <w:rFonts w:ascii="Arial" w:hAnsi="Arial" w:cs="Arial"/>
          <w:i/>
          <w:iCs/>
        </w:rPr>
        <w:t>training programmes, social protection initiatives and promoting social cohesion</w:t>
      </w:r>
      <w:r w:rsidR="007863CC" w:rsidRPr="007863CC">
        <w:rPr>
          <w:rFonts w:ascii="Arial" w:hAnsi="Arial" w:cs="Arial"/>
        </w:rPr>
        <w:t>.</w:t>
      </w:r>
      <w:r>
        <w:rPr>
          <w:rFonts w:ascii="Arial" w:hAnsi="Arial" w:cs="Arial"/>
        </w:rPr>
        <w:t>”</w:t>
      </w:r>
    </w:p>
    <w:p w14:paraId="0F000DFC" w14:textId="77777777" w:rsidR="00735B57" w:rsidRPr="004A198E" w:rsidRDefault="00735B57" w:rsidP="00735B57">
      <w:pPr>
        <w:jc w:val="both"/>
        <w:rPr>
          <w:rFonts w:ascii="Arial" w:hAnsi="Arial" w:cs="Arial"/>
        </w:rPr>
      </w:pPr>
    </w:p>
    <w:p w14:paraId="4BA7E627" w14:textId="77777777" w:rsidR="00735B57" w:rsidRPr="004A198E" w:rsidRDefault="00735B57" w:rsidP="00735B57">
      <w:pPr>
        <w:jc w:val="center"/>
        <w:rPr>
          <w:rFonts w:ascii="Arial" w:hAnsi="Arial" w:cs="Arial"/>
        </w:rPr>
      </w:pPr>
      <w:r w:rsidRPr="004A198E">
        <w:rPr>
          <w:rFonts w:ascii="Arial" w:hAnsi="Arial" w:cs="Arial"/>
        </w:rPr>
        <w:lastRenderedPageBreak/>
        <w:t>###</w:t>
      </w:r>
    </w:p>
    <w:p w14:paraId="033540AF" w14:textId="77777777" w:rsidR="00735B57" w:rsidRPr="004A198E" w:rsidRDefault="00735B57" w:rsidP="00735B57">
      <w:pPr>
        <w:rPr>
          <w:rFonts w:ascii="Arial" w:hAnsi="Arial" w:cs="Arial"/>
          <w:bCs/>
        </w:rPr>
      </w:pPr>
      <w:r w:rsidRPr="004A198E">
        <w:rPr>
          <w:rFonts w:ascii="Arial" w:hAnsi="Arial" w:cs="Arial"/>
          <w:b/>
          <w:bCs/>
        </w:rPr>
        <w:t>Contact</w:t>
      </w:r>
      <w:r w:rsidRPr="004A198E">
        <w:rPr>
          <w:rFonts w:ascii="Arial" w:hAnsi="Arial" w:cs="Arial"/>
          <w:bCs/>
        </w:rPr>
        <w:t>:</w:t>
      </w:r>
    </w:p>
    <w:p w14:paraId="2CFF3D3C" w14:textId="77777777" w:rsidR="00735B57" w:rsidRPr="004A198E" w:rsidRDefault="00735B57" w:rsidP="00735B57">
      <w:pPr>
        <w:spacing w:after="0" w:line="240" w:lineRule="auto"/>
        <w:rPr>
          <w:rFonts w:ascii="Arial" w:hAnsi="Arial" w:cs="Arial"/>
          <w:bCs/>
          <w:sz w:val="20"/>
          <w:szCs w:val="20"/>
        </w:rPr>
      </w:pPr>
      <w:r w:rsidRPr="004A198E">
        <w:rPr>
          <w:rFonts w:ascii="Arial" w:hAnsi="Arial" w:cs="Arial"/>
          <w:bCs/>
          <w:sz w:val="20"/>
          <w:szCs w:val="20"/>
        </w:rPr>
        <w:t>Amanda Lynch-Foster</w:t>
      </w:r>
    </w:p>
    <w:p w14:paraId="56DD0176" w14:textId="77777777" w:rsidR="00735B57" w:rsidRPr="004A198E" w:rsidRDefault="00735B57" w:rsidP="00735B57">
      <w:pPr>
        <w:spacing w:after="0" w:line="240" w:lineRule="auto"/>
        <w:rPr>
          <w:rFonts w:ascii="Arial" w:hAnsi="Arial" w:cs="Arial"/>
          <w:bCs/>
          <w:sz w:val="20"/>
          <w:szCs w:val="20"/>
        </w:rPr>
      </w:pPr>
      <w:r w:rsidRPr="004A198E">
        <w:rPr>
          <w:rFonts w:ascii="Arial" w:hAnsi="Arial" w:cs="Arial"/>
          <w:bCs/>
          <w:sz w:val="20"/>
          <w:szCs w:val="20"/>
        </w:rPr>
        <w:t>Corporate Communications Specialist</w:t>
      </w:r>
    </w:p>
    <w:p w14:paraId="778DF477" w14:textId="77777777" w:rsidR="00735B57" w:rsidRPr="004A198E" w:rsidRDefault="00735B57" w:rsidP="00735B57">
      <w:pPr>
        <w:spacing w:after="0" w:line="240" w:lineRule="auto"/>
        <w:rPr>
          <w:rFonts w:ascii="Arial" w:hAnsi="Arial" w:cs="Arial"/>
          <w:bCs/>
          <w:sz w:val="20"/>
          <w:szCs w:val="20"/>
          <w:lang w:val="en-US"/>
        </w:rPr>
      </w:pPr>
      <w:r w:rsidRPr="004A198E">
        <w:rPr>
          <w:rFonts w:ascii="Arial" w:hAnsi="Arial" w:cs="Arial"/>
          <w:bCs/>
          <w:sz w:val="20"/>
          <w:szCs w:val="20"/>
        </w:rPr>
        <w:t xml:space="preserve">Office: (246) 431-1886 | Mobile: (246) </w:t>
      </w:r>
      <w:r w:rsidRPr="004A198E">
        <w:rPr>
          <w:rFonts w:ascii="Arial" w:hAnsi="Arial" w:cs="Arial"/>
          <w:bCs/>
          <w:sz w:val="20"/>
          <w:szCs w:val="20"/>
          <w:lang w:val="en-US"/>
        </w:rPr>
        <w:t>826-7107</w:t>
      </w:r>
    </w:p>
    <w:p w14:paraId="1BE868F3" w14:textId="77777777" w:rsidR="00735B57" w:rsidRPr="004A198E" w:rsidRDefault="00735B57" w:rsidP="00735B57">
      <w:pPr>
        <w:spacing w:after="0" w:line="240" w:lineRule="auto"/>
        <w:rPr>
          <w:rStyle w:val="Hyperlink"/>
          <w:rFonts w:ascii="Arial" w:hAnsi="Arial" w:cs="Arial"/>
          <w:bCs/>
          <w:sz w:val="20"/>
          <w:szCs w:val="20"/>
        </w:rPr>
      </w:pPr>
      <w:r w:rsidRPr="004A198E">
        <w:rPr>
          <w:rFonts w:ascii="Arial" w:hAnsi="Arial" w:cs="Arial"/>
          <w:bCs/>
          <w:sz w:val="20"/>
          <w:szCs w:val="20"/>
        </w:rPr>
        <w:t xml:space="preserve">Email: </w:t>
      </w:r>
      <w:hyperlink r:id="rId6" w:history="1">
        <w:r w:rsidRPr="004A198E">
          <w:rPr>
            <w:rStyle w:val="Hyperlink"/>
            <w:rFonts w:ascii="Arial" w:hAnsi="Arial" w:cs="Arial"/>
            <w:bCs/>
            <w:sz w:val="20"/>
            <w:szCs w:val="20"/>
          </w:rPr>
          <w:t>lyncha@caribank.org</w:t>
        </w:r>
      </w:hyperlink>
    </w:p>
    <w:p w14:paraId="3E0F0586" w14:textId="77777777" w:rsidR="00735B57" w:rsidRPr="004A198E" w:rsidRDefault="00735B57" w:rsidP="00735B57">
      <w:pPr>
        <w:spacing w:after="0" w:line="240" w:lineRule="auto"/>
        <w:rPr>
          <w:rFonts w:ascii="Arial" w:hAnsi="Arial" w:cs="Arial"/>
        </w:rPr>
      </w:pPr>
    </w:p>
    <w:p w14:paraId="6153B7F3" w14:textId="77777777" w:rsidR="00735B57" w:rsidRPr="004A198E" w:rsidRDefault="00735B57" w:rsidP="00735B57">
      <w:pPr>
        <w:spacing w:after="0" w:line="240" w:lineRule="auto"/>
        <w:jc w:val="both"/>
        <w:rPr>
          <w:rFonts w:ascii="Arial" w:hAnsi="Arial" w:cs="Arial"/>
          <w:b/>
          <w:bCs/>
          <w:sz w:val="20"/>
          <w:szCs w:val="20"/>
        </w:rPr>
      </w:pPr>
      <w:r w:rsidRPr="004A198E">
        <w:rPr>
          <w:rFonts w:ascii="Arial" w:hAnsi="Arial" w:cs="Arial"/>
          <w:b/>
          <w:bCs/>
          <w:sz w:val="20"/>
          <w:szCs w:val="20"/>
        </w:rPr>
        <w:t>About the Caribbean Development Bank</w:t>
      </w:r>
    </w:p>
    <w:p w14:paraId="63C4D00C" w14:textId="77777777" w:rsidR="00735B57" w:rsidRPr="004A198E" w:rsidRDefault="00735B57" w:rsidP="00735B57">
      <w:pPr>
        <w:spacing w:after="0" w:line="240" w:lineRule="auto"/>
        <w:jc w:val="both"/>
        <w:rPr>
          <w:rFonts w:ascii="Arial" w:hAnsi="Arial" w:cs="Arial"/>
          <w:sz w:val="20"/>
          <w:szCs w:val="20"/>
        </w:rPr>
      </w:pPr>
    </w:p>
    <w:p w14:paraId="106E5659" w14:textId="77777777" w:rsidR="00735B57" w:rsidRPr="00794EA8" w:rsidRDefault="00735B57" w:rsidP="00735B57">
      <w:pPr>
        <w:spacing w:after="0" w:line="240" w:lineRule="auto"/>
        <w:jc w:val="both"/>
        <w:rPr>
          <w:rFonts w:ascii="Arial" w:hAnsi="Arial" w:cs="Arial"/>
          <w:sz w:val="20"/>
          <w:szCs w:val="20"/>
        </w:rPr>
      </w:pPr>
      <w:r w:rsidRPr="004A198E">
        <w:rPr>
          <w:rFonts w:ascii="Arial" w:hAnsi="Arial" w:cs="Arial"/>
          <w:sz w:val="20"/>
          <w:szCs w:val="20"/>
        </w:rPr>
        <w:t xml:space="preserve">The Caribbean Development Bank is a regional financial institution established in 1970 for the purpose of contributing to the harmonious economic growth and development of its Borrowing Member Countries (BMCs). In addition to the 19 BMCs, CDB’s membership includes four regional, non-borrowing members (Brazil, Colombia, </w:t>
      </w:r>
      <w:proofErr w:type="gramStart"/>
      <w:r w:rsidRPr="004A198E">
        <w:rPr>
          <w:rFonts w:ascii="Arial" w:hAnsi="Arial" w:cs="Arial"/>
          <w:sz w:val="20"/>
          <w:szCs w:val="20"/>
        </w:rPr>
        <w:t>Mexico</w:t>
      </w:r>
      <w:proofErr w:type="gramEnd"/>
      <w:r w:rsidRPr="004A198E">
        <w:rPr>
          <w:rFonts w:ascii="Arial" w:hAnsi="Arial" w:cs="Arial"/>
          <w:sz w:val="20"/>
          <w:szCs w:val="20"/>
        </w:rPr>
        <w:t xml:space="preserve"> and Venezuela) and five non-regional, non-borrowing members (Canada, China, Germany, Italy, and the United Kingdom). CDB’s total assets as </w:t>
      </w:r>
      <w:proofErr w:type="gramStart"/>
      <w:r w:rsidRPr="004A198E">
        <w:rPr>
          <w:rFonts w:ascii="Arial" w:hAnsi="Arial" w:cs="Arial"/>
          <w:sz w:val="20"/>
          <w:szCs w:val="20"/>
        </w:rPr>
        <w:t>at</w:t>
      </w:r>
      <w:proofErr w:type="gramEnd"/>
      <w:r w:rsidRPr="004A198E">
        <w:rPr>
          <w:rFonts w:ascii="Arial" w:hAnsi="Arial" w:cs="Arial"/>
          <w:sz w:val="20"/>
          <w:szCs w:val="20"/>
        </w:rPr>
        <w:t xml:space="preserve"> December 31, 2021 stood at US$3.71 billion (bn). These include US$2.21 bn of Ordinary Capital Resources and US$1.50 bn of Special Funds Resources. The Bank is rated Aa1 Stable by Moody’s, AA+ Stable by Standard &amp; Poor’s and AA+ Stable by Fitch Ratings. Read more at </w:t>
      </w:r>
      <w:hyperlink r:id="rId7" w:history="1">
        <w:r w:rsidRPr="004A198E">
          <w:rPr>
            <w:rStyle w:val="Hyperlink"/>
            <w:rFonts w:ascii="Arial" w:hAnsi="Arial" w:cs="Arial"/>
            <w:sz w:val="20"/>
            <w:szCs w:val="20"/>
          </w:rPr>
          <w:t>caribank.org</w:t>
        </w:r>
      </w:hyperlink>
      <w:r w:rsidRPr="004A198E">
        <w:rPr>
          <w:rFonts w:ascii="Arial" w:hAnsi="Arial" w:cs="Arial"/>
          <w:sz w:val="20"/>
          <w:szCs w:val="20"/>
        </w:rPr>
        <w:t>.</w:t>
      </w:r>
    </w:p>
    <w:p w14:paraId="73F33CB7" w14:textId="77777777" w:rsidR="00735B57" w:rsidRDefault="00735B57" w:rsidP="00735B57">
      <w:pPr>
        <w:rPr>
          <w:rFonts w:ascii="Arial" w:hAnsi="Arial" w:cs="Arial"/>
          <w:b/>
          <w:bCs/>
        </w:rPr>
      </w:pPr>
    </w:p>
    <w:p w14:paraId="556D3503" w14:textId="77777777" w:rsidR="00735B57" w:rsidRDefault="00735B57" w:rsidP="00735B57">
      <w:pPr>
        <w:jc w:val="center"/>
        <w:rPr>
          <w:rFonts w:ascii="Arial" w:hAnsi="Arial" w:cs="Arial"/>
        </w:rPr>
      </w:pPr>
    </w:p>
    <w:p w14:paraId="599789BB" w14:textId="77777777" w:rsidR="00735B57" w:rsidRDefault="00735B57" w:rsidP="00735B57"/>
    <w:p w14:paraId="258BBC61" w14:textId="77777777" w:rsidR="00735B57" w:rsidRDefault="00735B57" w:rsidP="00735B57"/>
    <w:p w14:paraId="7CC688DC" w14:textId="77777777" w:rsidR="00735B57" w:rsidRDefault="00735B57" w:rsidP="00735B57"/>
    <w:p w14:paraId="677D65E4" w14:textId="77777777" w:rsidR="00735B57" w:rsidRDefault="00735B57" w:rsidP="00735B57"/>
    <w:p w14:paraId="50BAD357" w14:textId="77777777" w:rsidR="00735B57" w:rsidRDefault="00735B57" w:rsidP="00735B57"/>
    <w:p w14:paraId="2A4A7F95" w14:textId="77777777" w:rsidR="00735B57" w:rsidRDefault="00735B57" w:rsidP="00735B57"/>
    <w:p w14:paraId="4A4C906C" w14:textId="1274A196" w:rsidR="00AE79C2" w:rsidRPr="00735B57" w:rsidRDefault="00AE79C2" w:rsidP="00735B57"/>
    <w:sectPr w:rsidR="00AE79C2" w:rsidRPr="00735B5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AB0ED" w14:textId="77777777" w:rsidR="002E724A" w:rsidRDefault="002E724A">
      <w:pPr>
        <w:spacing w:after="0" w:line="240" w:lineRule="auto"/>
      </w:pPr>
      <w:r>
        <w:separator/>
      </w:r>
    </w:p>
  </w:endnote>
  <w:endnote w:type="continuationSeparator" w:id="0">
    <w:p w14:paraId="790BB045" w14:textId="77777777" w:rsidR="002E724A" w:rsidRDefault="002E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298B1" w14:textId="77777777" w:rsidR="00582143"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5C03" w14:textId="77777777" w:rsidR="00582143"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0ED7" w14:textId="77777777" w:rsidR="0058214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BB81" w14:textId="77777777" w:rsidR="002E724A" w:rsidRDefault="002E724A">
      <w:pPr>
        <w:spacing w:after="0" w:line="240" w:lineRule="auto"/>
      </w:pPr>
      <w:r>
        <w:separator/>
      </w:r>
    </w:p>
  </w:footnote>
  <w:footnote w:type="continuationSeparator" w:id="0">
    <w:p w14:paraId="59EED38B" w14:textId="77777777" w:rsidR="002E724A" w:rsidRDefault="002E7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D3BD8" w14:textId="77777777" w:rsidR="00582143"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7926C" w14:textId="77777777" w:rsidR="00197D74" w:rsidRDefault="00F96004">
    <w:pPr>
      <w:pStyle w:val="Header"/>
    </w:pPr>
    <w:r>
      <w:rPr>
        <w:noProof/>
        <w:lang w:val="en-US"/>
      </w:rPr>
      <w:drawing>
        <wp:inline distT="0" distB="0" distL="0" distR="0" wp14:anchorId="31A680D9" wp14:editId="5BA9C019">
          <wp:extent cx="746760" cy="746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justed CDB logo_May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760" cy="746760"/>
                  </a:xfrm>
                  <a:prstGeom prst="rect">
                    <a:avLst/>
                  </a:prstGeom>
                </pic:spPr>
              </pic:pic>
            </a:graphicData>
          </a:graphic>
        </wp:inline>
      </w:drawing>
    </w:r>
  </w:p>
  <w:p w14:paraId="1B093744" w14:textId="77777777" w:rsidR="00197D74" w:rsidRDefault="00000000">
    <w:pPr>
      <w:pStyle w:val="Header"/>
    </w:pPr>
  </w:p>
  <w:p w14:paraId="4B99F342" w14:textId="77777777" w:rsidR="00197D74"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AAD6A" w14:textId="77777777" w:rsidR="00582143"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B57"/>
    <w:rsid w:val="00044A79"/>
    <w:rsid w:val="002E724A"/>
    <w:rsid w:val="00315CB7"/>
    <w:rsid w:val="0037230D"/>
    <w:rsid w:val="00424DE3"/>
    <w:rsid w:val="00447128"/>
    <w:rsid w:val="006F4989"/>
    <w:rsid w:val="00735B57"/>
    <w:rsid w:val="007863CC"/>
    <w:rsid w:val="007F61EF"/>
    <w:rsid w:val="009153E9"/>
    <w:rsid w:val="00AE79C2"/>
    <w:rsid w:val="00B76591"/>
    <w:rsid w:val="00BB1BBA"/>
    <w:rsid w:val="00F4790E"/>
    <w:rsid w:val="00F96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DB41"/>
  <w15:chartTrackingRefBased/>
  <w15:docId w15:val="{0863F8BA-0CEC-4E71-8565-E8F9F203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B57"/>
    <w:rPr>
      <w:rFonts w:ascii="Calibri Light" w:hAnsi="Calibri Ligh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B57"/>
    <w:rPr>
      <w:color w:val="0563C1" w:themeColor="hyperlink"/>
      <w:u w:val="single"/>
    </w:rPr>
  </w:style>
  <w:style w:type="paragraph" w:styleId="Header">
    <w:name w:val="header"/>
    <w:basedOn w:val="Normal"/>
    <w:link w:val="HeaderChar"/>
    <w:uiPriority w:val="99"/>
    <w:unhideWhenUsed/>
    <w:rsid w:val="00735B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B57"/>
    <w:rPr>
      <w:rFonts w:ascii="Calibri Light" w:hAnsi="Calibri Light"/>
      <w:lang w:val="en-GB"/>
    </w:rPr>
  </w:style>
  <w:style w:type="paragraph" w:styleId="Footer">
    <w:name w:val="footer"/>
    <w:basedOn w:val="Normal"/>
    <w:link w:val="FooterChar"/>
    <w:uiPriority w:val="99"/>
    <w:unhideWhenUsed/>
    <w:rsid w:val="00735B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B57"/>
    <w:rPr>
      <w:rFonts w:ascii="Calibri Light" w:hAnsi="Calibri Light"/>
      <w:lang w:val="en-GB"/>
    </w:rPr>
  </w:style>
  <w:style w:type="paragraph" w:styleId="Revision">
    <w:name w:val="Revision"/>
    <w:hidden/>
    <w:uiPriority w:val="99"/>
    <w:semiHidden/>
    <w:rsid w:val="00424DE3"/>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nam12.safelinks.protection.outlook.com/?url=http%3A%2F%2Fwww.caribank.org%2F&amp;data=02%7C01%7Cmikullal%40caribank.org%7C98a6749b51554b50278808d85b32ffa1%7Cbe4f7c42e56540e6b81cfdf01afc920c%7C1%7C0%7C637359621879511233&amp;sdata=duRRcFQD%2FGcNNM28XzILYdpSyiGRkmDRPNH%2FUqmwbqk%3D&amp;reserved=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yncha@caribank.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Amanda Lynch-Foster</dc:creator>
  <cp:keywords/>
  <dc:description/>
  <cp:lastModifiedBy>Tonya Byer</cp:lastModifiedBy>
  <cp:revision>2</cp:revision>
  <dcterms:created xsi:type="dcterms:W3CDTF">2022-12-20T17:12:00Z</dcterms:created>
  <dcterms:modified xsi:type="dcterms:W3CDTF">2022-12-20T17:12:00Z</dcterms:modified>
</cp:coreProperties>
</file>