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A388" w14:textId="318F390A" w:rsidR="00F110AA" w:rsidRDefault="00F110AA" w:rsidP="00F110AA">
      <w:pPr>
        <w:spacing w:after="0" w:line="240" w:lineRule="auto"/>
        <w:rPr>
          <w:rFonts w:ascii="Arial" w:hAnsi="Arial" w:cs="Arial"/>
          <w:b/>
          <w:sz w:val="20"/>
          <w:szCs w:val="20"/>
        </w:rPr>
      </w:pPr>
      <w:bookmarkStart w:id="0" w:name="_Hlk108032443"/>
      <w:r w:rsidRPr="000F570D">
        <w:rPr>
          <w:rFonts w:ascii="Arial" w:hAnsi="Arial" w:cs="Arial"/>
          <w:b/>
          <w:sz w:val="20"/>
          <w:szCs w:val="20"/>
        </w:rPr>
        <w:t xml:space="preserve">NIJ Forensic Science R&amp;D Reports for ASCLD Crime Lab Minute Vol </w:t>
      </w:r>
      <w:r>
        <w:rPr>
          <w:rFonts w:ascii="Arial" w:hAnsi="Arial" w:cs="Arial"/>
          <w:b/>
          <w:sz w:val="20"/>
          <w:szCs w:val="20"/>
        </w:rPr>
        <w:t>1</w:t>
      </w:r>
      <w:r w:rsidR="00644F45">
        <w:rPr>
          <w:rFonts w:ascii="Arial" w:hAnsi="Arial" w:cs="Arial"/>
          <w:b/>
          <w:sz w:val="20"/>
          <w:szCs w:val="20"/>
        </w:rPr>
        <w:t>6</w:t>
      </w:r>
      <w:r w:rsidR="00916A07">
        <w:rPr>
          <w:rFonts w:ascii="Arial" w:hAnsi="Arial" w:cs="Arial"/>
          <w:b/>
          <w:sz w:val="20"/>
          <w:szCs w:val="20"/>
        </w:rPr>
        <w:t xml:space="preserve"> </w:t>
      </w:r>
    </w:p>
    <w:bookmarkEnd w:id="0"/>
    <w:p w14:paraId="2C28710C" w14:textId="7A8EA343" w:rsidR="00B8486A" w:rsidRDefault="00B8486A" w:rsidP="00F2168E"/>
    <w:p w14:paraId="4D1A2DC3" w14:textId="1AE753DE" w:rsidR="005D0780" w:rsidRDefault="001835C7" w:rsidP="00F2168E">
      <w:hyperlink r:id="rId5" w:history="1">
        <w:r w:rsidR="005D0780" w:rsidRPr="001F7740">
          <w:rPr>
            <w:rStyle w:val="Hyperlink"/>
          </w:rPr>
          <w:t>Development of an Open-Source Direct Analysis in Real Time Mass Spectrometry (DART-MS) Search Software and Library Building Tool for the Analysis of Complex Drug Mixtures</w:t>
        </w:r>
      </w:hyperlink>
    </w:p>
    <w:p w14:paraId="1426328A" w14:textId="78D3AB74" w:rsidR="001F7740" w:rsidRDefault="001F7740" w:rsidP="00F2168E">
      <w:r w:rsidRPr="001F7740">
        <w:t>With the goal of providing a more efficient and effective means of analyzing multi-component drugs being increasingly found in the United States, th</w:t>
      </w:r>
      <w:r>
        <w:t xml:space="preserve">is by </w:t>
      </w:r>
      <w:r w:rsidRPr="005D0780">
        <w:t>the National Institute of Standards &amp; Technology</w:t>
      </w:r>
      <w:r w:rsidRPr="001F7740">
        <w:t xml:space="preserve"> </w:t>
      </w:r>
      <w:r>
        <w:t xml:space="preserve">aimed to </w:t>
      </w:r>
      <w:r w:rsidRPr="001F7740">
        <w:t>develop and release a direct analysis in real time mass spectrometry (DART-MS) Data Interpretation Tool (DIT), a free, flexible, vendor agnostic, and open-source DART-MS mixture interpretation software platform.</w:t>
      </w:r>
      <w:r>
        <w:t xml:space="preserve"> </w:t>
      </w:r>
      <w:r w:rsidRPr="001F7740">
        <w:t>One of the major drivers for increased case submissions and turnaround times of forensic laboratories is the emergence of new psychoactive substances (NPSs) and synthetic opioids. DART-MS is one of the analytical tools forensic chemists are using to address some issues posed by these and other emerging drugs. Although DART-MS is traditionally used to obtain a simple presumptive mass spectrum, novel applications of the technique are beginning to emerge. One of the main drawbacks to DART-MS for forensic laboratories is the difficulty of data processing and interpretation, especially for complex mixtures. Currently, data processing typically involves extraction of a mass spectrum from a case sample, and its presumed molecular ion peak is compared to a look-up table of molecular ions for known drugs or compound of interest. This approach does not provide the chemist with any additional information or confidence level that the presumed molecular ion peak from the mass spectrum is produced by the suspected drug. The software developed in the current project provides laboratories with a means to interpret mixture spectra, use new NIST DART-MS spectral databases, and generate reports. Although the initial development and application of this software focused on seized drug analysis, the platform could be leveraged for any application for which a database exists.</w:t>
      </w:r>
    </w:p>
    <w:p w14:paraId="13FF9D87" w14:textId="14754B98" w:rsidR="004A30B5" w:rsidRDefault="001835C7" w:rsidP="00F2168E">
      <w:hyperlink r:id="rId6" w:history="1">
        <w:r w:rsidR="004A30B5" w:rsidRPr="00DA2AF4">
          <w:rPr>
            <w:rStyle w:val="Hyperlink"/>
          </w:rPr>
          <w:t>Development of Laser Ablation Direct Analysis in Real Time Imaging-Mass Spectrometry (LADI-MS)-Applications to Questions of Relevance to Forensic Science and Plant Biochemistry</w:t>
        </w:r>
      </w:hyperlink>
      <w:r w:rsidR="004A30B5" w:rsidRPr="004A30B5">
        <w:t xml:space="preserve"> </w:t>
      </w:r>
    </w:p>
    <w:p w14:paraId="64B1EA47" w14:textId="2E7F118B" w:rsidR="00F1577D" w:rsidRDefault="00F1577D" w:rsidP="00F2168E">
      <w:r w:rsidRPr="00F1577D">
        <w:t xml:space="preserve">This research project </w:t>
      </w:r>
      <w:r w:rsidR="00DA2AF4">
        <w:t xml:space="preserve">by </w:t>
      </w:r>
      <w:r w:rsidR="00DA2AF4" w:rsidRPr="004A30B5">
        <w:t xml:space="preserve">the University at Albany </w:t>
      </w:r>
      <w:r w:rsidR="00DA2AF4">
        <w:t>–</w:t>
      </w:r>
      <w:r w:rsidR="00DA2AF4" w:rsidRPr="004A30B5">
        <w:t xml:space="preserve"> SUNY</w:t>
      </w:r>
      <w:r w:rsidR="00DA2AF4" w:rsidRPr="00F1577D">
        <w:t xml:space="preserve"> </w:t>
      </w:r>
      <w:r w:rsidRPr="00F1577D">
        <w:t>developed a platform for achieving the efficient and effective determination of the spatial distribution of small molecules that span a range of polarities in a diversity of sample types without requiring a matrix, vacuum, solvent, or complicated sample pre-treatment steps.</w:t>
      </w:r>
      <w:r w:rsidR="00DA2AF4">
        <w:t xml:space="preserve"> </w:t>
      </w:r>
      <w:r w:rsidR="00DA2AF4" w:rsidRPr="00DA2AF4">
        <w:t xml:space="preserve">Methods for the achievement of small molecule imaging by mass spectrometry have used sample pre-treatment steps such as cryo-sectioning, dehydration, chemical fixation, or the application of a matrix or solvent to obtain interpretable spatial distribution data; however, these steps, along with requirements of the mass analyzer, such as high vacuum, can limit the range of sample types that can by analyzed by this method. The project developed a laser ablation-direct analysis in real time imaging-mass spectrometry (LADI-MS) approach that coupled a 213 nm </w:t>
      </w:r>
      <w:proofErr w:type="spellStart"/>
      <w:proofErr w:type="gramStart"/>
      <w:r w:rsidR="00DA2AF4" w:rsidRPr="00DA2AF4">
        <w:t>Nd:YAG</w:t>
      </w:r>
      <w:proofErr w:type="spellEnd"/>
      <w:proofErr w:type="gramEnd"/>
      <w:r w:rsidR="00DA2AF4" w:rsidRPr="00DA2AF4">
        <w:t xml:space="preserve"> solid state UV laser to a direct analysis in real time (DART) ion course and high-resolution time-of-flight mass spectrometer. Specifically, the project demonstrated the applicability of LADI-MS to a variety of sample types to address issues relevant to plant chemical ecology and forensic science; for example, the demonstration of the compartmentalization of small molecules can inform practice for the improved efficiency of extracting clinically relevant alkaloids from seed tissue or the removal of potentially carcinogenic molecules in coffee beans. In addition, the developed approach enables the analysis of large and irregularly shaped samples, such as wood slices, and can enable the mapping of the locales of biologically active small molecules in endangered trees to enable the forensic identification of their geographic origin or assessment of the climactic and/or environmental conditions to which the tree was </w:t>
      </w:r>
      <w:r w:rsidR="00DA2AF4" w:rsidRPr="00DA2AF4">
        <w:lastRenderedPageBreak/>
        <w:t>exposed over its life. This technique also enables the collection of optical images and chemical information simultaneously.</w:t>
      </w:r>
    </w:p>
    <w:p w14:paraId="030023E1" w14:textId="159172AA" w:rsidR="00926020" w:rsidRDefault="001835C7" w:rsidP="00F2168E">
      <w:hyperlink r:id="rId7" w:history="1">
        <w:r w:rsidR="00926020" w:rsidRPr="00DA2AF4">
          <w:rPr>
            <w:rStyle w:val="Hyperlink"/>
          </w:rPr>
          <w:t>DNA Mixture Study: Novel Metrics to Quantify the Intra- and Inter-Laboratory Variability in Forensic DNA Mixture Interpretation</w:t>
        </w:r>
      </w:hyperlink>
    </w:p>
    <w:p w14:paraId="67DE4AB9" w14:textId="5BD0D8A3" w:rsidR="00DA2AF4" w:rsidRDefault="00DA2AF4" w:rsidP="00F2168E">
      <w:r w:rsidRPr="00DA2AF4">
        <w:t>Since variability in DNA interpretation occurs when the DNA sample is complex, has multiple contributors, or the DNA template is minimal, th</w:t>
      </w:r>
      <w:r>
        <w:t>is</w:t>
      </w:r>
      <w:r w:rsidRPr="00DA2AF4">
        <w:t xml:space="preserve"> Defense Forensic Science Center project developed a wide-scale quantitative assessment that uses novel metrics to measure the precision and accuracy of forensic DNA mixture interpretation.</w:t>
      </w:r>
      <w:r>
        <w:t xml:space="preserve"> </w:t>
      </w:r>
      <w:r w:rsidRPr="00DA2AF4">
        <w:t>The metrics measure the accuracy and precision of a DNA mixture interpretation for each contributor in a mixture. The results of applying these metrics to the DNA data show that 1) a significant amount of interpretation variability exists with and between laboratories; 2) accurate and precise interpretations are possible, with accuracy and precision being highly correlated; and 3) the quantitative results indicate the ongoing need for training and benchmarking within laboratories, as well as the need for dissemination of best practices among laboratories. The findings further suggest that two-person DNA mixtures with signal peaks above stochastic threshold are generally interpretable; however, three-person mixtures are currently beyond the scope or protocol limits for most participating examiners. The results highlight the impact of a reference profile and of strong peak heights in the interpretability of a mixture; however, there were laboratories and participants that were able to interpret the difficult three-person mixtures and resolve genotypes for each contributor with nearly equivalent contributor ratios, even under challenging conditions.</w:t>
      </w:r>
    </w:p>
    <w:p w14:paraId="7A4496FA" w14:textId="680E8771" w:rsidR="004311FD" w:rsidRDefault="001835C7" w:rsidP="00F2168E">
      <w:hyperlink r:id="rId8" w:history="1">
        <w:r w:rsidR="00F141B5" w:rsidRPr="004311FD">
          <w:rPr>
            <w:rStyle w:val="Hyperlink"/>
          </w:rPr>
          <w:t>Evaluation of a Rapid Processing Protocol for Sexual Assault Samples using Rapid DNA Instrumentation</w:t>
        </w:r>
      </w:hyperlink>
    </w:p>
    <w:p w14:paraId="1716827D" w14:textId="4E479531" w:rsidR="004311FD" w:rsidRDefault="004311FD" w:rsidP="00F2168E">
      <w:r>
        <w:t xml:space="preserve">This </w:t>
      </w:r>
      <w:r w:rsidRPr="004311FD">
        <w:t xml:space="preserve">project </w:t>
      </w:r>
      <w:r>
        <w:t xml:space="preserve">by </w:t>
      </w:r>
      <w:r w:rsidRPr="00F141B5">
        <w:t>the Defense Forensic Science Center</w:t>
      </w:r>
      <w:r>
        <w:t xml:space="preserve"> </w:t>
      </w:r>
      <w:r w:rsidRPr="004311FD">
        <w:t>assessed the effectiveness of using a processing protocol for sexual assault samples that involved rapid DNA instrumentation</w:t>
      </w:r>
      <w:r>
        <w:t>.</w:t>
      </w:r>
      <w:r w:rsidRPr="004311FD">
        <w:t xml:space="preserve"> Due to the nature of rape and sexual assault, the evidence collected in investigating these crimes is often a mixture of DNA from two or more individuals, with the victim’s DNA being most prominent in the evidence sample. The differential extraction process was developed to increase the likelihood of obtaining a DNA profile from the assailant. This is a lengthy procedure when done manually and requires additional robotic equipment for automation. A new method was developed by ANDE that supports the rapid processing of sexual assault samples. It involves a short pre-processing step that uses basic laboratory equipment in separating the alleged victim’s DNA from the perpetrator’s DNA and enables the production of the DNA profiles on the I-Chip. The I-Chip is designed to process samples with low DNA content. Although this data is not currently eligible for upload to or searching against the national DNA index system (NDIS), it can be used to search against locally controlled databases. This could enable faster identification of the perpetrator. Using the evaluation methodology described in this </w:t>
      </w:r>
      <w:r>
        <w:t xml:space="preserve">project’s final </w:t>
      </w:r>
      <w:r w:rsidRPr="004311FD">
        <w:t>report, it was determined that the ANDE method provided actionable DNA profiles for most samples tested and produced more single-source profiles than traditional typing. In a comparative analysis, traditional typing methods were generally more sensitive than the rapid method, thus providing more data overall; however, it resulted in more mixed profiles than the rapid method.</w:t>
      </w:r>
    </w:p>
    <w:p w14:paraId="5FFBC4BF" w14:textId="4AC72A67" w:rsidR="00F141B5" w:rsidRDefault="001835C7" w:rsidP="00F2168E">
      <w:hyperlink r:id="rId9" w:history="1">
        <w:r w:rsidR="00F141B5" w:rsidRPr="00636FF2">
          <w:rPr>
            <w:rStyle w:val="Hyperlink"/>
          </w:rPr>
          <w:t>Use of Genetically Variant Peptides to Statistically Estimate the Genetic Background of Hair Shafts</w:t>
        </w:r>
      </w:hyperlink>
      <w:r w:rsidR="00F141B5" w:rsidRPr="00F141B5">
        <w:t xml:space="preserve"> </w:t>
      </w:r>
    </w:p>
    <w:p w14:paraId="291CAF27" w14:textId="427A8BCD" w:rsidR="00166E2E" w:rsidRDefault="00166E2E" w:rsidP="00F2168E">
      <w:r w:rsidRPr="00166E2E">
        <w:t>This project</w:t>
      </w:r>
      <w:r>
        <w:t xml:space="preserve"> by the </w:t>
      </w:r>
      <w:r w:rsidRPr="00F141B5">
        <w:t>University of California – Davis</w:t>
      </w:r>
      <w:r>
        <w:t xml:space="preserve"> </w:t>
      </w:r>
      <w:r w:rsidRPr="00166E2E">
        <w:t xml:space="preserve">tested a central hypothesis that proteomic genotyping can estimate the ancestry of an individual who donates a hair shaft; and that this can be obtained by maximizing the efficiency of hair sample processing, followed by applying the optimized sample </w:t>
      </w:r>
      <w:r w:rsidRPr="00166E2E">
        <w:lastRenderedPageBreak/>
        <w:t>processing protocol to enough subjects (n=170) from a range of genetic backgrounds to test the hypothesis.</w:t>
      </w:r>
      <w:r>
        <w:t xml:space="preserve"> </w:t>
      </w:r>
      <w:r w:rsidRPr="00166E2E">
        <w:t xml:space="preserve">Based on the data produced from this project or otherwise published, the researchers concluded that hair shaft processing methods are better when large amounts of reductant are used, and gentle chemical methods are applied. This produced a three-fold improvement in data yields from a single hair shaft. The project discovered and characterized 497 genetically varied peptides (GVPs). The genetic characterization of these GVP-inferred SNPs included those which have significant differences in their FST values and are potentially ancestry informative SNPs. The significance of this for identifying genetic characteristics from hair shafts is explained. The researchers </w:t>
      </w:r>
      <w:r w:rsidR="00247AE5">
        <w:t>said</w:t>
      </w:r>
      <w:r w:rsidRPr="00166E2E">
        <w:t xml:space="preserve"> that this project lays the foundation for efficient processing of hair and the ability to obtain high levels of genetic information that is useful to an investigator. Project researchers advise that a forensically relevant hair shaft can now include probabilities of a donor’s ancestry for a given likelihood ratio.</w:t>
      </w:r>
    </w:p>
    <w:p w14:paraId="01AF1381" w14:textId="0B12F0FA" w:rsidR="00F141B5" w:rsidRDefault="001835C7" w:rsidP="00F2168E">
      <w:hyperlink r:id="rId10" w:history="1">
        <w:r w:rsidR="00F141B5" w:rsidRPr="00D44C22">
          <w:rPr>
            <w:rStyle w:val="Hyperlink"/>
          </w:rPr>
          <w:t>Isomer Differentiation of Novel Psychoactive Substances Using Gas Chromatography Solid Phase Infrared Spectroscopy (GC/IR), from Defense Forensic Science Center</w:t>
        </w:r>
      </w:hyperlink>
    </w:p>
    <w:p w14:paraId="00861298" w14:textId="3EC1BCA2" w:rsidR="00C957A1" w:rsidRDefault="00C957A1" w:rsidP="00F2168E">
      <w:r w:rsidRPr="00C957A1">
        <w:t xml:space="preserve">After reviewing the historical background for the relatively recent emergence of “novel psychoactive substances” (NPSs), this project </w:t>
      </w:r>
      <w:r>
        <w:t xml:space="preserve">by the </w:t>
      </w:r>
      <w:r w:rsidRPr="00F141B5">
        <w:t>Defense Forensic Science Center</w:t>
      </w:r>
      <w:r w:rsidRPr="00C957A1">
        <w:t xml:space="preserve"> addressed one of the problems posed by NPS, i.e., determining which analytical assays have sufficient specificity to resolve NPSs for identification.</w:t>
      </w:r>
      <w:r>
        <w:t xml:space="preserve"> </w:t>
      </w:r>
      <w:r w:rsidRPr="00C957A1">
        <w:t xml:space="preserve">Several terms have been tried to capture more inclusively “designer drugs” and any new chemical introduced into the market of drug abuse. “Novel psychoactive substances” (NPSs) was ultimately adopted by forensic chemists. The sudden appearance of a bewildering array of synthetic cannabinoids, </w:t>
      </w:r>
      <w:proofErr w:type="spellStart"/>
      <w:r w:rsidRPr="00C957A1">
        <w:t>cathinones</w:t>
      </w:r>
      <w:proofErr w:type="spellEnd"/>
      <w:r w:rsidRPr="00C957A1">
        <w:t>, and other NPSs presented many problems to the forensic drug chemists attempting to identify the unknown material. The current project addressed one of these issues. The difficulty of differentiating some isomers by gas chromatography and mass spectrometry (GS/MS) is well established, and much has been reported on the demonstration of analytical schemes to differentiate such drugs as methamphetamine, cocaine, MDMA, and heroin from their isomers. This is a more significant issue with NPSs due to their large numbers, sudden appearance, and high turnover, which do not allow for the execution of comprehensive research. Consequently, non-optimized GC/MS data will only support limited conclusions. The current project argues for the application of an orthogonal, analytical technique that provides the discriminating power for NPS isomers with minimal time and research cost. A gas chromatograph infrared spectrometer (GC/IR) has the potential to separate complex mixtures into their individual components and acquire their associated Fourier-transform infrared (FTIR) spectra. In the current project a GC/IR with solid phase IR spectra was evaluated for its analytical specificity by differentiating various NPSs, their isomers, and related compounds.</w:t>
      </w:r>
    </w:p>
    <w:p w14:paraId="3A781E0B" w14:textId="70C76D47" w:rsidR="00CE5A56" w:rsidRPr="00850E09" w:rsidRDefault="001835C7" w:rsidP="00CE5A56">
      <w:pPr>
        <w:rPr>
          <w:bCs/>
          <w:iCs/>
        </w:rPr>
      </w:pPr>
      <w:hyperlink r:id="rId11" w:history="1">
        <w:r w:rsidR="00CE5A56" w:rsidRPr="00850E09">
          <w:rPr>
            <w:rStyle w:val="Hyperlink"/>
            <w:bCs/>
            <w:iCs/>
          </w:rPr>
          <w:t>Non-Contact Detection of Fentanyl and Other Synthetic Opioids</w:t>
        </w:r>
      </w:hyperlink>
    </w:p>
    <w:p w14:paraId="08095AB3" w14:textId="5CC650D4" w:rsidR="00D44C22" w:rsidRDefault="00D44C22" w:rsidP="00CE5A56">
      <w:r w:rsidRPr="00D44C22">
        <w:t xml:space="preserve">This </w:t>
      </w:r>
      <w:r w:rsidR="00850E09" w:rsidRPr="00C4037B">
        <w:t>Naval Research Laboratory</w:t>
      </w:r>
      <w:r w:rsidR="00850E09" w:rsidRPr="00D44C22">
        <w:t xml:space="preserve"> </w:t>
      </w:r>
      <w:r w:rsidRPr="00D44C22">
        <w:t xml:space="preserve">project </w:t>
      </w:r>
      <w:r w:rsidR="00850E09">
        <w:t>had</w:t>
      </w:r>
      <w:r w:rsidRPr="00D44C22">
        <w:t xml:space="preserve"> the goal of developing a method for detecting fentanyl and related substances without manipulation or handling of the hazardous material.</w:t>
      </w:r>
      <w:r w:rsidR="00850E09">
        <w:t xml:space="preserve"> </w:t>
      </w:r>
      <w:r w:rsidR="00850E09" w:rsidRPr="00850E09">
        <w:t>Increased instances of law enforcement personnel’s potential exposure to fentanyl constitutes a risk of fatality that can occur from direct contact with the substance. The risk is magnified because the current protocol for detecting fentanyl requires direct contact, manipulation, or destruction of the substance. Ion-mobility spectrometry (IMS) has become the standard as a detector for explosives and narcotics at ports and airports and can be used in vapor mode for non-contact detecting. The development of a field-portable, handheld IMS method for detection of fentanyl will provide for presumptive identification of fentanyl to increase safety for first responders. The results of the current study identified the need for a pre-</w:t>
      </w:r>
      <w:r w:rsidR="00850E09" w:rsidRPr="00850E09">
        <w:lastRenderedPageBreak/>
        <w:t>concentrator on the hand-held device to improve the detection limit. A pre-concentrator will enable a larger mass of analyte to be trapped and then enter the detector as a bolus.</w:t>
      </w:r>
    </w:p>
    <w:p w14:paraId="2D25641D" w14:textId="77777777" w:rsidR="00CE5A56" w:rsidRDefault="00CE5A56" w:rsidP="00CE5A56">
      <w:pPr>
        <w:pStyle w:val="ListParagraph"/>
      </w:pPr>
    </w:p>
    <w:p w14:paraId="0E7E7764" w14:textId="3386B3B7" w:rsidR="00CE5A56" w:rsidRDefault="001835C7" w:rsidP="00850E09">
      <w:hyperlink r:id="rId12" w:history="1">
        <w:r w:rsidR="00CE5A56" w:rsidRPr="00850E09">
          <w:rPr>
            <w:rStyle w:val="Hyperlink"/>
            <w:bCs/>
            <w:iCs/>
          </w:rPr>
          <w:t>Expanding the Scope and Efficiency of 3D Surface Topography Analysis in Firearm Forensics</w:t>
        </w:r>
      </w:hyperlink>
    </w:p>
    <w:p w14:paraId="106A2078" w14:textId="3E1E07AE" w:rsidR="00850E09" w:rsidRDefault="00850E09" w:rsidP="00850E09">
      <w:r>
        <w:t>The goal of this</w:t>
      </w:r>
      <w:r w:rsidRPr="00850E09">
        <w:t xml:space="preserve"> project </w:t>
      </w:r>
      <w:r>
        <w:t xml:space="preserve">by </w:t>
      </w:r>
      <w:r w:rsidRPr="00D313B8">
        <w:t>Cadre Research Labs, LLC</w:t>
      </w:r>
      <w:r>
        <w:t xml:space="preserve"> was</w:t>
      </w:r>
      <w:r w:rsidRPr="00850E09">
        <w:t xml:space="preserve"> extending the researchers' technology for 3D imaging to the examination of bullets.</w:t>
      </w:r>
      <w:r>
        <w:t xml:space="preserve"> </w:t>
      </w:r>
      <w:r w:rsidRPr="00850E09">
        <w:t xml:space="preserve">One phase of this research focused on developing tools for high-resolution scanning and analysis of bullets. The second phase evaluated the use of a portable 3D scanning system within the crime lab. In the project’s first phase, the research team developed an automated bullet-scanning process and then evaluated that process on a small set of test fires. The bullet scanning process uses a batch scanning tray that fits into the researchers’ current scanner platform. The process was tested with a small set of test fires collected for the study. In the second phase of the project, the team completed a scanning study with its portable scanner. A core set of test-fired cartridge cases was scanned by four individuals using two portable systems and the team’s desktop system. Scans were compared to demonstrate the scan quality and consistency of the portable unit. Both project phases were completed during the specified project period. The first phase demonstrated that the team’s </w:t>
      </w:r>
      <w:proofErr w:type="spellStart"/>
      <w:r w:rsidRPr="00850E09">
        <w:t>TopMatch</w:t>
      </w:r>
      <w:proofErr w:type="spellEnd"/>
      <w:r w:rsidRPr="00850E09">
        <w:t xml:space="preserve"> scanning platform is capable of measuring, visualizing, and comparing pristine and damaged bullets. The project’s second phase demonstrated that the measurements acquired by each operator on each system are highly consistent, without a significant difference in scans collected by different operators or systems. Collaboration with crime labs is continuing in collecting scan data, eliciting feedback from practitioners, and instructing examiners and trainees.</w:t>
      </w:r>
    </w:p>
    <w:p w14:paraId="24B6FC6A" w14:textId="77777777" w:rsidR="00CE5A56" w:rsidRDefault="00CE5A56" w:rsidP="00CE5A56">
      <w:pPr>
        <w:pStyle w:val="ListParagraph"/>
      </w:pPr>
    </w:p>
    <w:p w14:paraId="1AFE341E" w14:textId="6634209A" w:rsidR="00CE5A56" w:rsidRPr="00247AE5" w:rsidRDefault="001835C7" w:rsidP="00850E09">
      <w:pPr>
        <w:rPr>
          <w:bCs/>
          <w:iCs/>
        </w:rPr>
      </w:pPr>
      <w:hyperlink r:id="rId13" w:history="1">
        <w:r w:rsidR="00CE5A56" w:rsidRPr="00247AE5">
          <w:rPr>
            <w:rStyle w:val="Hyperlink"/>
            <w:bCs/>
            <w:iCs/>
          </w:rPr>
          <w:t>Post-Blast Explosives Attribution</w:t>
        </w:r>
      </w:hyperlink>
    </w:p>
    <w:p w14:paraId="252232EC" w14:textId="27D60B18" w:rsidR="00CE5A56" w:rsidRDefault="00247AE5" w:rsidP="00247AE5">
      <w:r>
        <w:t>This</w:t>
      </w:r>
      <w:r w:rsidR="00850E09" w:rsidRPr="00850E09">
        <w:t xml:space="preserve"> research project </w:t>
      </w:r>
      <w:r>
        <w:t xml:space="preserve">by </w:t>
      </w:r>
      <w:r w:rsidRPr="00925FE6">
        <w:t>MIT Lincoln Laboratory</w:t>
      </w:r>
      <w:r w:rsidRPr="00850E09">
        <w:t xml:space="preserve"> </w:t>
      </w:r>
      <w:r>
        <w:t>had</w:t>
      </w:r>
      <w:r w:rsidR="00850E09" w:rsidRPr="00850E09">
        <w:t xml:space="preserve"> the primary goal of determining whether relevant conserved signatures of an explosive source can be recovered post-blast and matched to pre-blast signatures.</w:t>
      </w:r>
      <w:r>
        <w:t xml:space="preserve"> </w:t>
      </w:r>
      <w:r w:rsidRPr="00247AE5">
        <w:t>Upon examination of project results, the research team concluded that the overall results of the research show promise for the process used to detect and identify signatures for attribution in post-blast residues. The explosive type that yielded the most samples with useful signature data was AN-AL. Trace element data were collected for nearly all samples measured, and all 30 samples sent for analyses with infrared mass spectrometry (IRMS) were at detectable levels for both isotopes measured (oxygen and nitrogen). Although the number of samples alone does not provide conclusive information, the greater number of data points does provide a stronger dataset and greater confidence in the result. For the organic explosives tested, post-blast RDX samples did not yield any detectable amounts of explosive; therefore, no signature data were obtained sufficient to draw any conclusions. Given that RDX is a high-order explosive and nearly all recoverable explosive material is consumed, it cannot be conclusively determined from this test whether post-blast attribution is possible with RDX. TNT, despite being a high-order explosive like RDX, did yield 26 post-blast samples with detectable levels of explosive. HPLC-MS profiling identified four compounds that were present in both the pre-blast and all 26 post-blast samples. They were not present in any blanks or negative controls. A key limitation encountered during the study was obtaining recoverable amounts of the high-order explosive RDX and TNT. The rapid consumption of explosive material resulted in no recovered samples of RDX and only 26 out of 108 of TNT. Other potential factors for poorly recovered material included the place positions of sample collection devices on the sample grid and the number of total sample collection devices.</w:t>
      </w:r>
    </w:p>
    <w:sectPr w:rsidR="00CE5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49A"/>
    <w:multiLevelType w:val="hybridMultilevel"/>
    <w:tmpl w:val="C880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AA"/>
    <w:rsid w:val="000248E8"/>
    <w:rsid w:val="000370F6"/>
    <w:rsid w:val="00062EE3"/>
    <w:rsid w:val="000D1BA9"/>
    <w:rsid w:val="00166E2E"/>
    <w:rsid w:val="001835C7"/>
    <w:rsid w:val="001F7740"/>
    <w:rsid w:val="00204B8F"/>
    <w:rsid w:val="00217EFF"/>
    <w:rsid w:val="00232212"/>
    <w:rsid w:val="00247AE5"/>
    <w:rsid w:val="00267AAB"/>
    <w:rsid w:val="003273CD"/>
    <w:rsid w:val="003A17B7"/>
    <w:rsid w:val="003E009A"/>
    <w:rsid w:val="0040291D"/>
    <w:rsid w:val="00406A19"/>
    <w:rsid w:val="00417533"/>
    <w:rsid w:val="004259FF"/>
    <w:rsid w:val="004311FD"/>
    <w:rsid w:val="004630B2"/>
    <w:rsid w:val="004A2675"/>
    <w:rsid w:val="004A30B5"/>
    <w:rsid w:val="004D7D3D"/>
    <w:rsid w:val="004E1E85"/>
    <w:rsid w:val="00521094"/>
    <w:rsid w:val="00554B2B"/>
    <w:rsid w:val="005A61C6"/>
    <w:rsid w:val="005C1183"/>
    <w:rsid w:val="005D0780"/>
    <w:rsid w:val="005D5025"/>
    <w:rsid w:val="00615996"/>
    <w:rsid w:val="00636FF2"/>
    <w:rsid w:val="00644F45"/>
    <w:rsid w:val="006558A8"/>
    <w:rsid w:val="00677469"/>
    <w:rsid w:val="00691540"/>
    <w:rsid w:val="007A3445"/>
    <w:rsid w:val="007B1218"/>
    <w:rsid w:val="007D6799"/>
    <w:rsid w:val="007F0F40"/>
    <w:rsid w:val="007F579C"/>
    <w:rsid w:val="00850E09"/>
    <w:rsid w:val="00880A85"/>
    <w:rsid w:val="008943CE"/>
    <w:rsid w:val="008A62EE"/>
    <w:rsid w:val="00903460"/>
    <w:rsid w:val="00916A07"/>
    <w:rsid w:val="009202E9"/>
    <w:rsid w:val="00926020"/>
    <w:rsid w:val="00946C88"/>
    <w:rsid w:val="00967054"/>
    <w:rsid w:val="00973E54"/>
    <w:rsid w:val="00A25F66"/>
    <w:rsid w:val="00A57573"/>
    <w:rsid w:val="00AA7B86"/>
    <w:rsid w:val="00B433A8"/>
    <w:rsid w:val="00B53660"/>
    <w:rsid w:val="00B8486A"/>
    <w:rsid w:val="00BF6E92"/>
    <w:rsid w:val="00C068A1"/>
    <w:rsid w:val="00C15223"/>
    <w:rsid w:val="00C30AEE"/>
    <w:rsid w:val="00C36DC4"/>
    <w:rsid w:val="00C42226"/>
    <w:rsid w:val="00C957A1"/>
    <w:rsid w:val="00C95DD3"/>
    <w:rsid w:val="00C97130"/>
    <w:rsid w:val="00C97916"/>
    <w:rsid w:val="00CC69C3"/>
    <w:rsid w:val="00CC798A"/>
    <w:rsid w:val="00CD6E9E"/>
    <w:rsid w:val="00CE5A56"/>
    <w:rsid w:val="00CE6863"/>
    <w:rsid w:val="00D44C22"/>
    <w:rsid w:val="00DA2AF4"/>
    <w:rsid w:val="00DB6871"/>
    <w:rsid w:val="00DF7165"/>
    <w:rsid w:val="00E02326"/>
    <w:rsid w:val="00E625E3"/>
    <w:rsid w:val="00E90159"/>
    <w:rsid w:val="00E9113C"/>
    <w:rsid w:val="00E92787"/>
    <w:rsid w:val="00F110AA"/>
    <w:rsid w:val="00F141B5"/>
    <w:rsid w:val="00F1577D"/>
    <w:rsid w:val="00F2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7D45"/>
  <w15:chartTrackingRefBased/>
  <w15:docId w15:val="{DDB5C737-06CB-40FF-86B4-CCB1D2AE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159"/>
    <w:rPr>
      <w:color w:val="0563C1" w:themeColor="hyperlink"/>
      <w:u w:val="single"/>
    </w:rPr>
  </w:style>
  <w:style w:type="character" w:styleId="UnresolvedMention">
    <w:name w:val="Unresolved Mention"/>
    <w:basedOn w:val="DefaultParagraphFont"/>
    <w:uiPriority w:val="99"/>
    <w:semiHidden/>
    <w:unhideWhenUsed/>
    <w:rsid w:val="00E90159"/>
    <w:rPr>
      <w:color w:val="605E5C"/>
      <w:shd w:val="clear" w:color="auto" w:fill="E1DFDD"/>
    </w:rPr>
  </w:style>
  <w:style w:type="paragraph" w:styleId="ListParagraph">
    <w:name w:val="List Paragraph"/>
    <w:aliases w:val="Dot pt,F5 List Paragraph,List Paragraph1,No Spacing1,List Paragraph Char Char Char,Indicator Text,Numbered Para 1,Bullet 1,Bullet Points,List Paragraph2,MAIN CONTENT,Normal numbered,Issue Action POC,3,Bullet,lp1,POCG Table Text"/>
    <w:basedOn w:val="Normal"/>
    <w:link w:val="ListParagraphChar"/>
    <w:uiPriority w:val="34"/>
    <w:qFormat/>
    <w:rsid w:val="00C95DD3"/>
    <w:pPr>
      <w:widowControl w:val="0"/>
      <w:autoSpaceDE w:val="0"/>
      <w:autoSpaceDN w:val="0"/>
      <w:spacing w:after="0" w:line="240" w:lineRule="auto"/>
      <w:ind w:left="460" w:hanging="360"/>
    </w:pPr>
    <w:rPr>
      <w:rFonts w:ascii="Times New Roman" w:eastAsia="Times New Roman" w:hAnsi="Times New Roman" w:cs="Times New Roma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List Paragraph2 Char,MAIN CONTENT Char,3 Char"/>
    <w:basedOn w:val="DefaultParagraphFont"/>
    <w:link w:val="ListParagraph"/>
    <w:uiPriority w:val="34"/>
    <w:locked/>
    <w:rsid w:val="00C95D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1373">
      <w:bodyDiv w:val="1"/>
      <w:marLeft w:val="0"/>
      <w:marRight w:val="0"/>
      <w:marTop w:val="0"/>
      <w:marBottom w:val="0"/>
      <w:divBdr>
        <w:top w:val="none" w:sz="0" w:space="0" w:color="auto"/>
        <w:left w:val="none" w:sz="0" w:space="0" w:color="auto"/>
        <w:bottom w:val="none" w:sz="0" w:space="0" w:color="auto"/>
        <w:right w:val="none" w:sz="0" w:space="0" w:color="auto"/>
      </w:divBdr>
    </w:div>
    <w:div w:id="629433950">
      <w:bodyDiv w:val="1"/>
      <w:marLeft w:val="0"/>
      <w:marRight w:val="0"/>
      <w:marTop w:val="0"/>
      <w:marBottom w:val="0"/>
      <w:divBdr>
        <w:top w:val="none" w:sz="0" w:space="0" w:color="auto"/>
        <w:left w:val="none" w:sz="0" w:space="0" w:color="auto"/>
        <w:bottom w:val="none" w:sz="0" w:space="0" w:color="auto"/>
        <w:right w:val="none" w:sz="0" w:space="0" w:color="auto"/>
      </w:divBdr>
      <w:divsChild>
        <w:div w:id="1663508842">
          <w:marLeft w:val="0"/>
          <w:marRight w:val="0"/>
          <w:marTop w:val="0"/>
          <w:marBottom w:val="0"/>
          <w:divBdr>
            <w:top w:val="none" w:sz="0" w:space="0" w:color="auto"/>
            <w:left w:val="none" w:sz="0" w:space="0" w:color="auto"/>
            <w:bottom w:val="none" w:sz="0" w:space="0" w:color="auto"/>
            <w:right w:val="none" w:sz="0" w:space="0" w:color="auto"/>
          </w:divBdr>
          <w:divsChild>
            <w:div w:id="1172797821">
              <w:marLeft w:val="0"/>
              <w:marRight w:val="0"/>
              <w:marTop w:val="0"/>
              <w:marBottom w:val="0"/>
              <w:divBdr>
                <w:top w:val="none" w:sz="0" w:space="0" w:color="auto"/>
                <w:left w:val="none" w:sz="0" w:space="0" w:color="auto"/>
                <w:bottom w:val="none" w:sz="0" w:space="0" w:color="auto"/>
                <w:right w:val="none" w:sz="0" w:space="0" w:color="auto"/>
              </w:divBdr>
              <w:divsChild>
                <w:div w:id="398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164">
          <w:marLeft w:val="0"/>
          <w:marRight w:val="0"/>
          <w:marTop w:val="0"/>
          <w:marBottom w:val="0"/>
          <w:divBdr>
            <w:top w:val="none" w:sz="0" w:space="0" w:color="auto"/>
            <w:left w:val="none" w:sz="0" w:space="0" w:color="auto"/>
            <w:bottom w:val="none" w:sz="0" w:space="0" w:color="auto"/>
            <w:right w:val="none" w:sz="0" w:space="0" w:color="auto"/>
          </w:divBdr>
          <w:divsChild>
            <w:div w:id="111560975">
              <w:marLeft w:val="0"/>
              <w:marRight w:val="0"/>
              <w:marTop w:val="0"/>
              <w:marBottom w:val="0"/>
              <w:divBdr>
                <w:top w:val="none" w:sz="0" w:space="0" w:color="auto"/>
                <w:left w:val="none" w:sz="0" w:space="0" w:color="auto"/>
                <w:bottom w:val="none" w:sz="0" w:space="0" w:color="auto"/>
                <w:right w:val="none" w:sz="0" w:space="0" w:color="auto"/>
              </w:divBdr>
              <w:divsChild>
                <w:div w:id="1874877315">
                  <w:marLeft w:val="0"/>
                  <w:marRight w:val="0"/>
                  <w:marTop w:val="0"/>
                  <w:marBottom w:val="0"/>
                  <w:divBdr>
                    <w:top w:val="none" w:sz="0" w:space="0" w:color="auto"/>
                    <w:left w:val="none" w:sz="0" w:space="0" w:color="auto"/>
                    <w:bottom w:val="none" w:sz="0" w:space="0" w:color="auto"/>
                    <w:right w:val="none" w:sz="0" w:space="0" w:color="auto"/>
                  </w:divBdr>
                </w:div>
                <w:div w:id="16102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8905">
      <w:bodyDiv w:val="1"/>
      <w:marLeft w:val="0"/>
      <w:marRight w:val="0"/>
      <w:marTop w:val="0"/>
      <w:marBottom w:val="0"/>
      <w:divBdr>
        <w:top w:val="none" w:sz="0" w:space="0" w:color="auto"/>
        <w:left w:val="none" w:sz="0" w:space="0" w:color="auto"/>
        <w:bottom w:val="none" w:sz="0" w:space="0" w:color="auto"/>
        <w:right w:val="none" w:sz="0" w:space="0" w:color="auto"/>
      </w:divBdr>
      <w:divsChild>
        <w:div w:id="1116407611">
          <w:marLeft w:val="0"/>
          <w:marRight w:val="0"/>
          <w:marTop w:val="0"/>
          <w:marBottom w:val="0"/>
          <w:divBdr>
            <w:top w:val="none" w:sz="0" w:space="0" w:color="auto"/>
            <w:left w:val="none" w:sz="0" w:space="0" w:color="auto"/>
            <w:bottom w:val="none" w:sz="0" w:space="0" w:color="auto"/>
            <w:right w:val="none" w:sz="0" w:space="0" w:color="auto"/>
          </w:divBdr>
          <w:divsChild>
            <w:div w:id="1802529441">
              <w:marLeft w:val="0"/>
              <w:marRight w:val="0"/>
              <w:marTop w:val="0"/>
              <w:marBottom w:val="0"/>
              <w:divBdr>
                <w:top w:val="none" w:sz="0" w:space="0" w:color="auto"/>
                <w:left w:val="none" w:sz="0" w:space="0" w:color="auto"/>
                <w:bottom w:val="none" w:sz="0" w:space="0" w:color="auto"/>
                <w:right w:val="none" w:sz="0" w:space="0" w:color="auto"/>
              </w:divBdr>
              <w:divsChild>
                <w:div w:id="14033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6187">
          <w:marLeft w:val="0"/>
          <w:marRight w:val="0"/>
          <w:marTop w:val="0"/>
          <w:marBottom w:val="0"/>
          <w:divBdr>
            <w:top w:val="none" w:sz="0" w:space="0" w:color="auto"/>
            <w:left w:val="none" w:sz="0" w:space="0" w:color="auto"/>
            <w:bottom w:val="none" w:sz="0" w:space="0" w:color="auto"/>
            <w:right w:val="none" w:sz="0" w:space="0" w:color="auto"/>
          </w:divBdr>
          <w:divsChild>
            <w:div w:id="27535457">
              <w:marLeft w:val="0"/>
              <w:marRight w:val="0"/>
              <w:marTop w:val="0"/>
              <w:marBottom w:val="0"/>
              <w:divBdr>
                <w:top w:val="none" w:sz="0" w:space="0" w:color="auto"/>
                <w:left w:val="none" w:sz="0" w:space="0" w:color="auto"/>
                <w:bottom w:val="none" w:sz="0" w:space="0" w:color="auto"/>
                <w:right w:val="none" w:sz="0" w:space="0" w:color="auto"/>
              </w:divBdr>
              <w:divsChild>
                <w:div w:id="2122869949">
                  <w:marLeft w:val="0"/>
                  <w:marRight w:val="0"/>
                  <w:marTop w:val="0"/>
                  <w:marBottom w:val="0"/>
                  <w:divBdr>
                    <w:top w:val="none" w:sz="0" w:space="0" w:color="auto"/>
                    <w:left w:val="none" w:sz="0" w:space="0" w:color="auto"/>
                    <w:bottom w:val="none" w:sz="0" w:space="0" w:color="auto"/>
                    <w:right w:val="none" w:sz="0" w:space="0" w:color="auto"/>
                  </w:divBdr>
                </w:div>
                <w:div w:id="1114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grants/304404.pdf" TargetMode="External"/><Relationship Id="rId13" Type="http://schemas.openxmlformats.org/officeDocument/2006/relationships/hyperlink" Target="https://www.ojp.gov/pdffiles1/nij/grants/304617.pdf" TargetMode="External"/><Relationship Id="rId3" Type="http://schemas.openxmlformats.org/officeDocument/2006/relationships/settings" Target="settings.xml"/><Relationship Id="rId7" Type="http://schemas.openxmlformats.org/officeDocument/2006/relationships/hyperlink" Target="https://www.ojp.gov/pdffiles1/nij/grants/304317.pdf" TargetMode="External"/><Relationship Id="rId12" Type="http://schemas.openxmlformats.org/officeDocument/2006/relationships/hyperlink" Target="https://www.ojp.gov/pdffiles1/nij/grants/3046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jp.gov/pdffiles1/nij/grants/304316.pdf" TargetMode="External"/><Relationship Id="rId11" Type="http://schemas.openxmlformats.org/officeDocument/2006/relationships/hyperlink" Target="https://www.ojp.gov/pdffiles1/nij/grants/304601.pdf" TargetMode="External"/><Relationship Id="rId5" Type="http://schemas.openxmlformats.org/officeDocument/2006/relationships/hyperlink" Target="https://www.ojp.gov/pdffiles1/nij/grants/304303.pdf" TargetMode="External"/><Relationship Id="rId15" Type="http://schemas.openxmlformats.org/officeDocument/2006/relationships/theme" Target="theme/theme1.xml"/><Relationship Id="rId10" Type="http://schemas.openxmlformats.org/officeDocument/2006/relationships/hyperlink" Target="https://www.ojp.gov/pdffiles1/nij/grants/304459.pdf" TargetMode="External"/><Relationship Id="rId4" Type="http://schemas.openxmlformats.org/officeDocument/2006/relationships/webSettings" Target="webSettings.xml"/><Relationship Id="rId9" Type="http://schemas.openxmlformats.org/officeDocument/2006/relationships/hyperlink" Target="https://www.ojp.gov/pdffiles1/nij/grants/30446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Stacy (OJP)</dc:creator>
  <cp:keywords/>
  <dc:description/>
  <cp:lastModifiedBy>Naugle, Jennifer D.</cp:lastModifiedBy>
  <cp:revision>2</cp:revision>
  <dcterms:created xsi:type="dcterms:W3CDTF">2022-07-09T13:21:00Z</dcterms:created>
  <dcterms:modified xsi:type="dcterms:W3CDTF">2022-07-09T13:21:00Z</dcterms:modified>
</cp:coreProperties>
</file>