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44.0" w:type="dxa"/>
        <w:jc w:val="center"/>
        <w:tblLayout w:type="fixed"/>
        <w:tblLook w:val="0400"/>
      </w:tblPr>
      <w:tblGrid>
        <w:gridCol w:w="9344"/>
        <w:tblGridChange w:id="0">
          <w:tblGrid>
            <w:gridCol w:w="9344"/>
          </w:tblGrid>
        </w:tblGridChange>
      </w:tblGrid>
      <w:tr>
        <w:trPr>
          <w:cantSplit w:val="0"/>
          <w:tblHeader w:val="0"/>
        </w:trPr>
        <w:tc>
          <w:tcPr>
            <w:tcBorders>
              <w:top w:color="b50909" w:space="0" w:sz="6" w:val="single"/>
              <w:left w:color="b50909" w:space="0" w:sz="6" w:val="single"/>
              <w:bottom w:color="b50909" w:space="0" w:sz="6" w:val="single"/>
              <w:right w:color="b50909" w:space="0" w:sz="6" w:val="single"/>
            </w:tcBorders>
            <w:shd w:fill="ffffff" w:val="cle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314.0" w:type="dxa"/>
              <w:jc w:val="center"/>
              <w:tblLayout w:type="fixed"/>
              <w:tblLook w:val="0400"/>
            </w:tblPr>
            <w:tblGrid>
              <w:gridCol w:w="9314"/>
              <w:tblGridChange w:id="0">
                <w:tblGrid>
                  <w:gridCol w:w="9314"/>
                </w:tblGrid>
              </w:tblGridChange>
            </w:tblGrid>
            <w:tr>
              <w:trPr>
                <w:cantSplit w:val="0"/>
                <w:tblHeader w:val="0"/>
              </w:trPr>
              <w:tc>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314.0" w:type="dxa"/>
                    <w:jc w:val="center"/>
                    <w:tblLayout w:type="fixed"/>
                    <w:tblLook w:val="0400"/>
                  </w:tblPr>
                  <w:tblGrid>
                    <w:gridCol w:w="9314"/>
                    <w:tblGridChange w:id="0">
                      <w:tblGrid>
                        <w:gridCol w:w="9314"/>
                      </w:tblGrid>
                    </w:tblGridChange>
                  </w:tblGrid>
                  <w:tr>
                    <w:trPr>
                      <w:cantSplit w:val="0"/>
                      <w:tblHeader w:val="0"/>
                    </w:trPr>
                    <w:tc>
                      <w:tcPr>
                        <w:tcMar>
                          <w:top w:w="150.0" w:type="dxa"/>
                          <w:left w:w="300.0" w:type="dxa"/>
                          <w:bottom w:w="150.0" w:type="dxa"/>
                          <w:right w:w="300.0" w:type="dxa"/>
                        </w:tcM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8714.0" w:type="dxa"/>
                          <w:jc w:val="center"/>
                          <w:tblLayout w:type="fixed"/>
                          <w:tblLook w:val="0400"/>
                        </w:tblPr>
                        <w:tblGrid>
                          <w:gridCol w:w="8714"/>
                          <w:tblGridChange w:id="0">
                            <w:tblGrid>
                              <w:gridCol w:w="8714"/>
                            </w:tblGrid>
                          </w:tblGridChange>
                        </w:tblGrid>
                        <w:tr>
                          <w:trPr>
                            <w:cantSplit w:val="0"/>
                            <w:tblHeader w:val="0"/>
                          </w:trPr>
                          <w:tc>
                            <w:tcPr>
                              <w:vAlign w:val="center"/>
                            </w:tcPr>
                            <w:p w:rsidR="00000000" w:rsidDel="00000000" w:rsidP="00000000" w:rsidRDefault="00000000" w:rsidRPr="00000000" w14:paraId="00000005">
                              <w:pPr>
                                <w:spacing w:after="0" w:line="240" w:lineRule="auto"/>
                                <w:jc w:val="center"/>
                                <w:rPr>
                                  <w:rFonts w:ascii="Cambria" w:cs="Cambria" w:eastAsia="Cambria" w:hAnsi="Cambria"/>
                                  <w:color w:val="000000"/>
                                  <w:sz w:val="21"/>
                                  <w:szCs w:val="21"/>
                                </w:rPr>
                              </w:pPr>
                              <w:r w:rsidDel="00000000" w:rsidR="00000000" w:rsidRPr="00000000">
                                <w:rPr>
                                  <w:rFonts w:ascii="inherit" w:cs="inherit" w:eastAsia="inherit" w:hAnsi="inherit"/>
                                  <w:color w:val="002ace"/>
                                  <w:sz w:val="21"/>
                                  <w:szCs w:val="21"/>
                                </w:rPr>
                                <w:drawing>
                                  <wp:inline distB="0" distT="0" distL="0" distR="0">
                                    <wp:extent cx="1264920" cy="124968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64920" cy="124968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5"/>
                    <w:tblW w:w="9314.0" w:type="dxa"/>
                    <w:jc w:val="center"/>
                    <w:tblLayout w:type="fixed"/>
                    <w:tblLook w:val="0400"/>
                  </w:tblPr>
                  <w:tblGrid>
                    <w:gridCol w:w="9314"/>
                    <w:tblGridChange w:id="0">
                      <w:tblGrid>
                        <w:gridCol w:w="9314"/>
                      </w:tblGrid>
                    </w:tblGridChange>
                  </w:tblGrid>
                  <w:tr>
                    <w:trPr>
                      <w:cantSplit w:val="0"/>
                      <w:tblHeader w:val="0"/>
                    </w:trPr>
                    <w:tc>
                      <w:tcPr>
                        <w:tcMar>
                          <w:top w:w="150.0" w:type="dxa"/>
                          <w:left w:w="300.0" w:type="dxa"/>
                          <w:bottom w:w="150.0" w:type="dxa"/>
                          <w:right w:w="300.0" w:type="dxa"/>
                        </w:tcMar>
                      </w:tcPr>
                      <w:p w:rsidR="00000000" w:rsidDel="00000000" w:rsidP="00000000" w:rsidRDefault="00000000" w:rsidRPr="00000000" w14:paraId="00000008">
                        <w:pPr>
                          <w:spacing w:after="0" w:line="240" w:lineRule="auto"/>
                          <w:jc w:val="center"/>
                          <w:rPr>
                            <w:rFonts w:ascii="Cambria" w:cs="Cambria" w:eastAsia="Cambria" w:hAnsi="Cambria"/>
                            <w:color w:val="000000"/>
                            <w:sz w:val="21"/>
                            <w:szCs w:val="21"/>
                          </w:rPr>
                        </w:pPr>
                        <w:r w:rsidDel="00000000" w:rsidR="00000000" w:rsidRPr="00000000">
                          <w:rPr>
                            <w:rFonts w:ascii="inherit" w:cs="inherit" w:eastAsia="inherit" w:hAnsi="inherit"/>
                            <w:color w:val="080879"/>
                            <w:sz w:val="32"/>
                            <w:szCs w:val="32"/>
                            <w:highlight w:val="white"/>
                            <w:rtl w:val="0"/>
                          </w:rPr>
                          <w:t xml:space="preserve">Georgia Senate Resoundingly Passes Shrimp Transparency Bill</w:t>
                        </w:r>
                        <w:r w:rsidDel="00000000" w:rsidR="00000000" w:rsidRPr="00000000">
                          <w:rPr>
                            <w:rtl w:val="0"/>
                          </w:rPr>
                        </w:r>
                      </w:p>
                    </w:tc>
                  </w:tr>
                </w:tbl>
                <w:p w:rsidR="00000000" w:rsidDel="00000000" w:rsidP="00000000" w:rsidRDefault="00000000" w:rsidRPr="00000000" w14:paraId="00000009">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6"/>
              <w:tblW w:w="9314.0" w:type="dxa"/>
              <w:jc w:val="center"/>
              <w:tblLayout w:type="fixed"/>
              <w:tblLook w:val="0400"/>
            </w:tblPr>
            <w:tblGrid>
              <w:gridCol w:w="9314"/>
              <w:tblGridChange w:id="0">
                <w:tblGrid>
                  <w:gridCol w:w="9314"/>
                </w:tblGrid>
              </w:tblGridChange>
            </w:tblGrid>
            <w:tr>
              <w:trPr>
                <w:cantSplit w:val="0"/>
                <w:tblHeader w:val="0"/>
              </w:trPr>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7"/>
                    <w:tblW w:w="9314.0" w:type="dxa"/>
                    <w:jc w:val="center"/>
                    <w:tblLayout w:type="fixed"/>
                    <w:tblLook w:val="0400"/>
                  </w:tblPr>
                  <w:tblGrid>
                    <w:gridCol w:w="9314"/>
                    <w:tblGridChange w:id="0">
                      <w:tblGrid>
                        <w:gridCol w:w="9314"/>
                      </w:tblGrid>
                    </w:tblGridChange>
                  </w:tblGrid>
                  <w:tr>
                    <w:trPr>
                      <w:cantSplit w:val="0"/>
                      <w:tblHeader w:val="0"/>
                    </w:trPr>
                    <w:tc>
                      <w:tcPr>
                        <w:tcMar>
                          <w:top w:w="135.0" w:type="dxa"/>
                          <w:left w:w="0.0" w:type="dxa"/>
                          <w:bottom w:w="135.0" w:type="dxa"/>
                          <w:right w:w="0.0" w:type="dxa"/>
                        </w:tcM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8"/>
                          <w:tblW w:w="8375.0" w:type="dxa"/>
                          <w:jc w:val="center"/>
                          <w:tblLayout w:type="fixed"/>
                          <w:tblLook w:val="0400"/>
                        </w:tblPr>
                        <w:tblGrid>
                          <w:gridCol w:w="8375"/>
                          <w:tblGridChange w:id="0">
                            <w:tblGrid>
                              <w:gridCol w:w="8375"/>
                            </w:tblGrid>
                          </w:tblGridChange>
                        </w:tblGrid>
                        <w:tr>
                          <w:trPr>
                            <w:cantSplit w:val="0"/>
                            <w:trHeight w:val="15" w:hRule="atLeast"/>
                            <w:tblHeader w:val="0"/>
                          </w:trPr>
                          <w:tc>
                            <w:tcPr>
                              <w:tcBorders>
                                <w:bottom w:color="000000" w:space="0" w:sz="0" w:val="nil"/>
                              </w:tcBorders>
                              <w:shd w:fill="b50909" w:val="clear"/>
                              <w:vAlign w:val="center"/>
                            </w:tcPr>
                            <w:p w:rsidR="00000000" w:rsidDel="00000000" w:rsidP="00000000" w:rsidRDefault="00000000" w:rsidRPr="00000000" w14:paraId="0000000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45720" cy="7620"/>
                                    <wp:effectExtent b="0" l="0" r="0" t="0"/>
                                    <wp:docPr id="4" name="image2.gif"/>
                                    <a:graphic>
                                      <a:graphicData uri="http://schemas.openxmlformats.org/drawingml/2006/picture">
                                        <pic:pic>
                                          <pic:nvPicPr>
                                            <pic:cNvPr id="0" name="image2.gif"/>
                                            <pic:cNvPicPr preferRelativeResize="0"/>
                                          </pic:nvPicPr>
                                          <pic:blipFill>
                                            <a:blip r:embed="rId8"/>
                                            <a:srcRect b="0" l="0" r="0" t="0"/>
                                            <a:stretch>
                                              <a:fillRect/>
                                            </a:stretch>
                                          </pic:blipFill>
                                          <pic:spPr>
                                            <a:xfrm>
                                              <a:off x="0" y="0"/>
                                              <a:ext cx="45720" cy="762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E">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F">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9"/>
              <w:tblW w:w="9314.0" w:type="dxa"/>
              <w:jc w:val="center"/>
              <w:tblLayout w:type="fixed"/>
              <w:tblLook w:val="0400"/>
            </w:tblPr>
            <w:tblGrid>
              <w:gridCol w:w="9314"/>
              <w:tblGridChange w:id="0">
                <w:tblGrid>
                  <w:gridCol w:w="9314"/>
                </w:tblGrid>
              </w:tblGridChange>
            </w:tblGrid>
            <w:tr>
              <w:trPr>
                <w:cantSplit w:val="0"/>
                <w:tblHeader w:val="0"/>
              </w:trPr>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0"/>
                    <w:tblW w:w="9314.0" w:type="dxa"/>
                    <w:jc w:val="center"/>
                    <w:tblLayout w:type="fixed"/>
                    <w:tblLook w:val="0400"/>
                  </w:tblPr>
                  <w:tblGrid>
                    <w:gridCol w:w="9314"/>
                    <w:tblGridChange w:id="0">
                      <w:tblGrid>
                        <w:gridCol w:w="9314"/>
                      </w:tblGrid>
                    </w:tblGridChange>
                  </w:tblGrid>
                  <w:tr>
                    <w:trPr>
                      <w:cantSplit w:val="0"/>
                      <w:tblHeader w:val="0"/>
                    </w:trPr>
                    <w:tc>
                      <w:tcPr>
                        <w:tcMar>
                          <w:top w:w="150.0" w:type="dxa"/>
                          <w:left w:w="300.0" w:type="dxa"/>
                          <w:bottom w:w="150.0" w:type="dxa"/>
                          <w:right w:w="300.0" w:type="dxa"/>
                        </w:tcMar>
                      </w:tcPr>
                      <w:p w:rsidR="00000000" w:rsidDel="00000000" w:rsidP="00000000" w:rsidRDefault="00000000" w:rsidRPr="00000000" w14:paraId="00000012">
                        <w:pPr>
                          <w:spacing w:after="0" w:line="240" w:lineRule="auto"/>
                          <w:jc w:val="center"/>
                          <w:rPr>
                            <w:rFonts w:ascii="Cambria" w:cs="Cambria" w:eastAsia="Cambria" w:hAnsi="Cambria"/>
                            <w:color w:val="000000"/>
                            <w:sz w:val="21"/>
                            <w:szCs w:val="21"/>
                          </w:rPr>
                        </w:pPr>
                        <w:r w:rsidDel="00000000" w:rsidR="00000000" w:rsidRPr="00000000">
                          <w:rPr>
                            <w:rFonts w:ascii="inherit" w:cs="inherit" w:eastAsia="inherit" w:hAnsi="inherit"/>
                            <w:i w:val="1"/>
                            <w:iCs w:val="1"/>
                            <w:color w:val="222222"/>
                            <w:sz w:val="26"/>
                            <w:szCs w:val="26"/>
                            <w:highlight w:val="white"/>
                            <w:rtl w:val="0"/>
                          </w:rPr>
                          <w:t xml:space="preserve">Bill Joins Multi-State Movement to Address Misleading Marketing of Shrimp</w:t>
                        </w:r>
                        <w:r w:rsidDel="00000000" w:rsidR="00000000" w:rsidRPr="00000000">
                          <w:rPr>
                            <w:rtl w:val="0"/>
                          </w:rPr>
                        </w:r>
                      </w:p>
                      <w:p w:rsidR="00000000" w:rsidDel="00000000" w:rsidP="00000000" w:rsidRDefault="00000000" w:rsidRPr="00000000" w14:paraId="00000013">
                        <w:pPr>
                          <w:spacing w:after="0" w:line="240" w:lineRule="auto"/>
                          <w:rPr>
                            <w:rFonts w:ascii="Cambria" w:cs="Cambria" w:eastAsia="Cambria" w:hAnsi="Cambria"/>
                            <w:color w:val="000000"/>
                            <w:sz w:val="21"/>
                            <w:szCs w:val="21"/>
                          </w:rPr>
                        </w:pPr>
                        <w:r w:rsidDel="00000000" w:rsidR="00000000" w:rsidRPr="00000000">
                          <w:rPr>
                            <w:rFonts w:ascii="inherit" w:cs="inherit" w:eastAsia="inherit" w:hAnsi="inherit"/>
                            <w:color w:val="222222"/>
                            <w:sz w:val="29"/>
                            <w:szCs w:val="29"/>
                            <w:highlight w:val="white"/>
                            <w:rtl w:val="0"/>
                          </w:rPr>
                          <w:t xml:space="preserve"> </w:t>
                        </w:r>
                        <w:r w:rsidDel="00000000" w:rsidR="00000000" w:rsidRPr="00000000">
                          <w:rPr>
                            <w:rtl w:val="0"/>
                          </w:rPr>
                        </w:r>
                      </w:p>
                      <w:p w:rsidR="00000000" w:rsidDel="00000000" w:rsidP="00000000" w:rsidRDefault="00000000" w:rsidRPr="00000000" w14:paraId="00000014">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Yesterday, the Georgia Senate voted 43-8 to pass legislation requiring food service establishments to disclose imported shrimp on menus, making Georgia the latest state forwarding legislation to combat false advertising that has devastated U.S. shrimpers across the South Atlantic and Gulf Coasts.</w:t>
                        </w:r>
                        <w:r w:rsidDel="00000000" w:rsidR="00000000" w:rsidRPr="00000000">
                          <w:rPr>
                            <w:rtl w:val="0"/>
                          </w:rPr>
                        </w:r>
                      </w:p>
                      <w:p w:rsidR="00000000" w:rsidDel="00000000" w:rsidP="00000000" w:rsidRDefault="00000000" w:rsidRPr="00000000" w14:paraId="00000015">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 </w:t>
                        </w:r>
                        <w:r w:rsidDel="00000000" w:rsidR="00000000" w:rsidRPr="00000000">
                          <w:rPr>
                            <w:rtl w:val="0"/>
                          </w:rPr>
                        </w:r>
                      </w:p>
                      <w:p w:rsidR="00000000" w:rsidDel="00000000" w:rsidP="00000000" w:rsidRDefault="00000000" w:rsidRPr="00000000" w14:paraId="00000016">
                        <w:pPr>
                          <w:spacing w:after="0" w:line="240" w:lineRule="auto"/>
                          <w:rPr>
                            <w:rFonts w:ascii="Cambria" w:cs="Cambria" w:eastAsia="Cambria" w:hAnsi="Cambria"/>
                            <w:color w:val="000000"/>
                            <w:sz w:val="21"/>
                            <w:szCs w:val="21"/>
                          </w:rPr>
                        </w:pPr>
                        <w:r w:rsidDel="00000000" w:rsidR="00000000" w:rsidRPr="00000000">
                          <w:rPr>
                            <w:rFonts w:ascii="inherit" w:cs="inherit" w:eastAsia="inherit" w:hAnsi="inherit"/>
                            <w:b w:val="1"/>
                            <w:bCs w:val="1"/>
                            <w:color w:val="222222"/>
                            <w:sz w:val="21"/>
                            <w:szCs w:val="21"/>
                            <w:highlight w:val="white"/>
                            <w:rtl w:val="0"/>
                          </w:rPr>
                          <w:t xml:space="preserve">Blake Price</w:t>
                        </w:r>
                        <w:r w:rsidDel="00000000" w:rsidR="00000000" w:rsidRPr="00000000">
                          <w:rPr>
                            <w:rFonts w:ascii="Cambria" w:cs="Cambria" w:eastAsia="Cambria" w:hAnsi="Cambria"/>
                            <w:color w:val="222222"/>
                            <w:sz w:val="21"/>
                            <w:szCs w:val="21"/>
                            <w:highlight w:val="white"/>
                            <w:rtl w:val="0"/>
                          </w:rPr>
                          <w:t xml:space="preserve">, deputy director of the Southern Shrimp Alliance (SSA) welcomed the vote, stating, “</w:t>
                        </w:r>
                        <w:r w:rsidDel="00000000" w:rsidR="00000000" w:rsidRPr="00000000">
                          <w:rPr>
                            <w:rFonts w:ascii="inherit" w:cs="inherit" w:eastAsia="inherit" w:hAnsi="inherit"/>
                            <w:i w:val="1"/>
                            <w:iCs w:val="1"/>
                            <w:color w:val="222222"/>
                            <w:sz w:val="21"/>
                            <w:szCs w:val="21"/>
                            <w:highlight w:val="white"/>
                            <w:rtl w:val="0"/>
                          </w:rPr>
                          <w:t xml:space="preserve">This bill adds transparency that benefits consumers, the local restaurants supporting U.S. shrimpers, and hardworking fishing families that are the economic backbone of coastal communities. We thank Senator Ben Watson and Representative Jesse Petrea for acting to help consumers make informed choices when ordering seafood at restaurants.</w:t>
                        </w:r>
                        <w:r w:rsidDel="00000000" w:rsidR="00000000" w:rsidRPr="00000000">
                          <w:rPr>
                            <w:rFonts w:ascii="Cambria" w:cs="Cambria" w:eastAsia="Cambria" w:hAnsi="Cambria"/>
                            <w:color w:val="222222"/>
                            <w:sz w:val="21"/>
                            <w:szCs w:val="21"/>
                            <w:highlight w:val="white"/>
                            <w:rtl w:val="0"/>
                          </w:rPr>
                          <w:t xml:space="preserve">”</w:t>
                        </w:r>
                        <w:r w:rsidDel="00000000" w:rsidR="00000000" w:rsidRPr="00000000">
                          <w:rPr>
                            <w:rtl w:val="0"/>
                          </w:rPr>
                        </w:r>
                      </w:p>
                      <w:p w:rsidR="00000000" w:rsidDel="00000000" w:rsidP="00000000" w:rsidRDefault="00000000" w:rsidRPr="00000000" w14:paraId="00000017">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 </w:t>
                        </w:r>
                        <w:r w:rsidDel="00000000" w:rsidR="00000000" w:rsidRPr="00000000">
                          <w:rPr>
                            <w:rtl w:val="0"/>
                          </w:rPr>
                        </w:r>
                      </w:p>
                      <w:p w:rsidR="00000000" w:rsidDel="00000000" w:rsidP="00000000" w:rsidRDefault="00000000" w:rsidRPr="00000000" w14:paraId="00000018">
                        <w:pPr>
                          <w:spacing w:after="0" w:line="240" w:lineRule="auto"/>
                          <w:rPr>
                            <w:rFonts w:ascii="Cambria" w:cs="Cambria" w:eastAsia="Cambria" w:hAnsi="Cambria"/>
                            <w:color w:val="000000"/>
                            <w:sz w:val="21"/>
                            <w:szCs w:val="21"/>
                          </w:rPr>
                        </w:pPr>
                        <w:r w:rsidDel="00000000" w:rsidR="00000000" w:rsidRPr="00000000">
                          <w:rPr>
                            <w:rFonts w:ascii="inherit" w:cs="inherit" w:eastAsia="inherit" w:hAnsi="inherit"/>
                            <w:b w:val="1"/>
                            <w:bCs w:val="1"/>
                            <w:color w:val="222222"/>
                            <w:sz w:val="21"/>
                            <w:szCs w:val="21"/>
                            <w:highlight w:val="white"/>
                            <w:rtl w:val="0"/>
                          </w:rPr>
                          <w:t xml:space="preserve">Pervasive Fraud Drives State Action</w:t>
                        </w:r>
                        <w:r w:rsidDel="00000000" w:rsidR="00000000" w:rsidRPr="00000000">
                          <w:rPr>
                            <w:rtl w:val="0"/>
                          </w:rPr>
                        </w:r>
                      </w:p>
                      <w:p w:rsidR="00000000" w:rsidDel="00000000" w:rsidP="00000000" w:rsidRDefault="00000000" w:rsidRPr="00000000" w14:paraId="00000019">
                        <w:pPr>
                          <w:spacing w:after="0" w:line="240" w:lineRule="auto"/>
                          <w:rPr>
                            <w:rFonts w:ascii="Cambria" w:cs="Cambria" w:eastAsia="Cambria" w:hAnsi="Cambria"/>
                            <w:color w:val="000000"/>
                            <w:sz w:val="21"/>
                            <w:szCs w:val="21"/>
                          </w:rPr>
                        </w:pPr>
                        <w:hyperlink r:id="rId9">
                          <w:r w:rsidDel="00000000" w:rsidR="00000000" w:rsidRPr="00000000">
                            <w:rPr>
                              <w:rFonts w:ascii="inherit" w:cs="inherit" w:eastAsia="inherit" w:hAnsi="inherit"/>
                              <w:color w:val="002ace"/>
                              <w:sz w:val="21"/>
                              <w:szCs w:val="21"/>
                              <w:highlight w:val="white"/>
                              <w:u w:val="single"/>
                              <w:rtl w:val="0"/>
                            </w:rPr>
                            <w:t xml:space="preserve">Senator Ben Watson</w:t>
                          </w:r>
                        </w:hyperlink>
                        <w:r w:rsidDel="00000000" w:rsidR="00000000" w:rsidRPr="00000000">
                          <w:rPr>
                            <w:rFonts w:ascii="Cambria" w:cs="Cambria" w:eastAsia="Cambria" w:hAnsi="Cambria"/>
                            <w:color w:val="222222"/>
                            <w:sz w:val="21"/>
                            <w:szCs w:val="21"/>
                            <w:highlight w:val="white"/>
                            <w:rtl w:val="0"/>
                          </w:rPr>
                          <w:t xml:space="preserve"> spoke forcefully in favor of the legislation, specifically citing the results of </w:t>
                        </w:r>
                        <w:hyperlink r:id="rId10">
                          <w:r w:rsidDel="00000000" w:rsidR="00000000" w:rsidRPr="00000000">
                            <w:rPr>
                              <w:rFonts w:ascii="inherit" w:cs="inherit" w:eastAsia="inherit" w:hAnsi="inherit"/>
                              <w:color w:val="002ace"/>
                              <w:sz w:val="21"/>
                              <w:szCs w:val="21"/>
                              <w:highlight w:val="white"/>
                              <w:u w:val="single"/>
                              <w:rtl w:val="0"/>
                            </w:rPr>
                            <w:t xml:space="preserve">SSA-funded genetic testing of shrimp dishes from Savannah restaurants</w:t>
                          </w:r>
                        </w:hyperlink>
                        <w:r w:rsidDel="00000000" w:rsidR="00000000" w:rsidRPr="00000000">
                          <w:rPr>
                            <w:rFonts w:ascii="Cambria" w:cs="Cambria" w:eastAsia="Cambria" w:hAnsi="Cambria"/>
                            <w:color w:val="222222"/>
                            <w:sz w:val="21"/>
                            <w:szCs w:val="21"/>
                            <w:highlight w:val="white"/>
                            <w:rtl w:val="0"/>
                          </w:rPr>
                          <w:t xml:space="preserve">. In February 2025, </w:t>
                        </w:r>
                        <w:hyperlink r:id="rId11">
                          <w:r w:rsidDel="00000000" w:rsidR="00000000" w:rsidRPr="00000000">
                            <w:rPr>
                              <w:rFonts w:ascii="inherit" w:cs="inherit" w:eastAsia="inherit" w:hAnsi="inherit"/>
                              <w:color w:val="002ace"/>
                              <w:sz w:val="21"/>
                              <w:szCs w:val="21"/>
                              <w:highlight w:val="white"/>
                              <w:u w:val="single"/>
                              <w:rtl w:val="0"/>
                            </w:rPr>
                            <w:t xml:space="preserve">SeaD Consulting</w:t>
                          </w:r>
                        </w:hyperlink>
                        <w:r w:rsidDel="00000000" w:rsidR="00000000" w:rsidRPr="00000000">
                          <w:rPr>
                            <w:rFonts w:ascii="Cambria" w:cs="Cambria" w:eastAsia="Cambria" w:hAnsi="Cambria"/>
                            <w:color w:val="222222"/>
                            <w:sz w:val="21"/>
                            <w:szCs w:val="21"/>
                            <w:highlight w:val="white"/>
                            <w:rtl w:val="0"/>
                          </w:rPr>
                          <w:t xml:space="preserve"> found that 77% of sampled Savannah restaurants (33 of 44) falsely marketed their shrimp as U.S. wild-caught, even though they served farm-raised, imported shrimp. U.S. shrimp fishermen cannot compete against imported farm-raised shrimp that is explicitly or implicitly marketed as authentic U.S. wild-caught shrimp.</w:t>
                        </w:r>
                        <w:r w:rsidDel="00000000" w:rsidR="00000000" w:rsidRPr="00000000">
                          <w:rPr>
                            <w:rtl w:val="0"/>
                          </w:rPr>
                        </w:r>
                      </w:p>
                      <w:p w:rsidR="00000000" w:rsidDel="00000000" w:rsidP="00000000" w:rsidRDefault="00000000" w:rsidRPr="00000000" w14:paraId="0000001A">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 </w:t>
                        </w:r>
                        <w:r w:rsidDel="00000000" w:rsidR="00000000" w:rsidRPr="00000000">
                          <w:rPr>
                            <w:rtl w:val="0"/>
                          </w:rPr>
                        </w:r>
                      </w:p>
                      <w:p w:rsidR="00000000" w:rsidDel="00000000" w:rsidP="00000000" w:rsidRDefault="00000000" w:rsidRPr="00000000" w14:paraId="0000001B">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The problem extends far beyond Georgia. Testing across the Southeast has exposed systematic consumer deception in major coastal markets:</w:t>
                        </w:r>
                        <w:r w:rsidDel="00000000" w:rsidR="00000000" w:rsidRPr="00000000">
                          <w:rPr>
                            <w:rtl w:val="0"/>
                          </w:rPr>
                        </w:r>
                      </w:p>
                      <w:p w:rsidR="00000000" w:rsidDel="00000000" w:rsidP="00000000" w:rsidRDefault="00000000" w:rsidRPr="00000000" w14:paraId="0000001C">
                        <w:pPr>
                          <w:spacing w:after="0" w:line="240" w:lineRule="auto"/>
                          <w:rPr>
                            <w:rFonts w:ascii="Cambria" w:cs="Cambria" w:eastAsia="Cambria" w:hAnsi="Cambria"/>
                            <w:color w:val="000000"/>
                            <w:sz w:val="21"/>
                            <w:szCs w:val="21"/>
                          </w:rPr>
                        </w:pP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1320" w:hanging="360"/>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Tampa/St. Petersburg, FL: 96% inauthenticity rate</w:t>
                        </w:r>
                        <w:r w:rsidDel="00000000" w:rsidR="00000000" w:rsidRPr="00000000">
                          <w:rPr>
                            <w:rtl w:val="0"/>
                          </w:rPr>
                        </w:r>
                      </w:p>
                      <w:p w:rsidR="00000000" w:rsidDel="00000000" w:rsidP="00000000" w:rsidRDefault="00000000" w:rsidRPr="00000000" w14:paraId="0000001E">
                        <w:pPr>
                          <w:numPr>
                            <w:ilvl w:val="0"/>
                            <w:numId w:val="1"/>
                          </w:numPr>
                          <w:spacing w:after="0" w:line="240" w:lineRule="auto"/>
                          <w:ind w:left="1320" w:hanging="360"/>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Charleston, SC: 90% inauthenticity rate</w:t>
                        </w:r>
                        <w:r w:rsidDel="00000000" w:rsidR="00000000" w:rsidRPr="00000000">
                          <w:rPr>
                            <w:rtl w:val="0"/>
                          </w:rPr>
                        </w:r>
                      </w:p>
                      <w:p w:rsidR="00000000" w:rsidDel="00000000" w:rsidP="00000000" w:rsidRDefault="00000000" w:rsidRPr="00000000" w14:paraId="0000001F">
                        <w:pPr>
                          <w:numPr>
                            <w:ilvl w:val="0"/>
                            <w:numId w:val="1"/>
                          </w:numPr>
                          <w:spacing w:after="0" w:line="240" w:lineRule="auto"/>
                          <w:ind w:left="1320" w:hanging="360"/>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Biloxi, MS: 88% inauthenticity rate</w:t>
                        </w:r>
                        <w:r w:rsidDel="00000000" w:rsidR="00000000" w:rsidRPr="00000000">
                          <w:rPr>
                            <w:rtl w:val="0"/>
                          </w:rPr>
                        </w:r>
                      </w:p>
                      <w:p w:rsidR="00000000" w:rsidDel="00000000" w:rsidP="00000000" w:rsidRDefault="00000000" w:rsidRPr="00000000" w14:paraId="00000020">
                        <w:pPr>
                          <w:numPr>
                            <w:ilvl w:val="0"/>
                            <w:numId w:val="1"/>
                          </w:numPr>
                          <w:spacing w:after="0" w:line="240" w:lineRule="auto"/>
                          <w:ind w:left="1320" w:hanging="360"/>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Wilmington, NC: 77% inauthenticity rate</w:t>
                        </w:r>
                        <w:r w:rsidDel="00000000" w:rsidR="00000000" w:rsidRPr="00000000">
                          <w:rPr>
                            <w:rtl w:val="0"/>
                          </w:rPr>
                        </w:r>
                      </w:p>
                      <w:p w:rsidR="00000000" w:rsidDel="00000000" w:rsidP="00000000" w:rsidRDefault="00000000" w:rsidRPr="00000000" w14:paraId="00000021">
                        <w:pPr>
                          <w:numPr>
                            <w:ilvl w:val="0"/>
                            <w:numId w:val="1"/>
                          </w:numPr>
                          <w:spacing w:after="0" w:line="240" w:lineRule="auto"/>
                          <w:ind w:left="1320" w:hanging="360"/>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Galveston and Kemah, TX: 59% inauthenticity rate</w:t>
                        </w:r>
                        <w:r w:rsidDel="00000000" w:rsidR="00000000" w:rsidRPr="00000000">
                          <w:rPr>
                            <w:rtl w:val="0"/>
                          </w:rPr>
                        </w:r>
                      </w:p>
                      <w:p w:rsidR="00000000" w:rsidDel="00000000" w:rsidP="00000000" w:rsidRDefault="00000000" w:rsidRPr="00000000" w14:paraId="00000022">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 </w:t>
                        </w:r>
                        <w:r w:rsidDel="00000000" w:rsidR="00000000" w:rsidRPr="00000000">
                          <w:rPr>
                            <w:rtl w:val="0"/>
                          </w:rPr>
                        </w:r>
                      </w:p>
                      <w:p w:rsidR="00000000" w:rsidDel="00000000" w:rsidP="00000000" w:rsidRDefault="00000000" w:rsidRPr="00000000" w14:paraId="00000023">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In stark contrast, testing in markets with state labeling and disclosure laws shows consumers receive correctly labeled shrimp more than two-thirds of the time.</w:t>
                        </w:r>
                        <w:r w:rsidDel="00000000" w:rsidR="00000000" w:rsidRPr="00000000">
                          <w:rPr>
                            <w:rtl w:val="0"/>
                          </w:rPr>
                        </w:r>
                      </w:p>
                      <w:p w:rsidR="00000000" w:rsidDel="00000000" w:rsidP="00000000" w:rsidRDefault="00000000" w:rsidRPr="00000000" w14:paraId="00000024">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 </w:t>
                        </w:r>
                        <w:r w:rsidDel="00000000" w:rsidR="00000000" w:rsidRPr="00000000">
                          <w:rPr>
                            <w:rtl w:val="0"/>
                          </w:rPr>
                        </w:r>
                      </w:p>
                      <w:p w:rsidR="00000000" w:rsidDel="00000000" w:rsidP="00000000" w:rsidRDefault="00000000" w:rsidRPr="00000000" w14:paraId="00000025">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000000"/>
                            <w:sz w:val="21"/>
                            <w:szCs w:val="21"/>
                            <w:highlight w:val="white"/>
                            <w:rtl w:val="0"/>
                          </w:rPr>
                          <w:t xml:space="preserve">American shrimpers provide a high-quality, flavorful shrimp from local waters to our country’s markets, supporting fishing communities across the Southeast. U.S. fishermen follow strict U.S. environmental, labor, and food safety rules while competing against countries known to use forced labor, banned antibiotics, and harmful environmental practices in their shrimp supply chains. But none of that matters if customers can’t tell U.S. wild-caught shrimp apart from farm-raised imports when they go to make their purchase.</w:t>
                        </w:r>
                        <w:r w:rsidDel="00000000" w:rsidR="00000000" w:rsidRPr="00000000">
                          <w:rPr>
                            <w:rtl w:val="0"/>
                          </w:rPr>
                        </w:r>
                      </w:p>
                      <w:p w:rsidR="00000000" w:rsidDel="00000000" w:rsidP="00000000" w:rsidRDefault="00000000" w:rsidRPr="00000000" w14:paraId="00000026">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 </w:t>
                        </w:r>
                        <w:r w:rsidDel="00000000" w:rsidR="00000000" w:rsidRPr="00000000">
                          <w:rPr>
                            <w:rtl w:val="0"/>
                          </w:rPr>
                        </w:r>
                      </w:p>
                      <w:p w:rsidR="00000000" w:rsidDel="00000000" w:rsidP="00000000" w:rsidRDefault="00000000" w:rsidRPr="00000000" w14:paraId="00000027">
                        <w:pPr>
                          <w:spacing w:after="0" w:line="240" w:lineRule="auto"/>
                          <w:rPr>
                            <w:rFonts w:ascii="Cambria" w:cs="Cambria" w:eastAsia="Cambria" w:hAnsi="Cambria"/>
                            <w:color w:val="000000"/>
                            <w:sz w:val="21"/>
                            <w:szCs w:val="21"/>
                          </w:rPr>
                        </w:pPr>
                        <w:r w:rsidDel="00000000" w:rsidR="00000000" w:rsidRPr="00000000">
                          <w:rPr>
                            <w:rFonts w:ascii="inherit" w:cs="inherit" w:eastAsia="inherit" w:hAnsi="inherit"/>
                            <w:i w:val="1"/>
                            <w:iCs w:val="1"/>
                            <w:color w:val="222222"/>
                            <w:sz w:val="21"/>
                            <w:szCs w:val="21"/>
                            <w:highlight w:val="white"/>
                            <w:rtl w:val="0"/>
                          </w:rPr>
                          <w:t xml:space="preserve">“We know that 27% of shrimp are consumed while people visit coastal communities, like Savannah. That isn’t because tourists want to eat foreign, pond-raised shrimp closer to American fishermen and our abundant oceans</w:t>
                        </w:r>
                        <w:r w:rsidDel="00000000" w:rsidR="00000000" w:rsidRPr="00000000">
                          <w:rPr>
                            <w:rFonts w:ascii="Cambria" w:cs="Cambria" w:eastAsia="Cambria" w:hAnsi="Cambria"/>
                            <w:color w:val="222222"/>
                            <w:sz w:val="21"/>
                            <w:szCs w:val="21"/>
                            <w:highlight w:val="white"/>
                            <w:rtl w:val="0"/>
                          </w:rPr>
                          <w:t xml:space="preserve">,” stated Price. “</w:t>
                        </w:r>
                        <w:r w:rsidDel="00000000" w:rsidR="00000000" w:rsidRPr="00000000">
                          <w:rPr>
                            <w:rFonts w:ascii="inherit" w:cs="inherit" w:eastAsia="inherit" w:hAnsi="inherit"/>
                            <w:i w:val="1"/>
                            <w:iCs w:val="1"/>
                            <w:color w:val="222222"/>
                            <w:sz w:val="21"/>
                            <w:szCs w:val="21"/>
                            <w:highlight w:val="white"/>
                            <w:rtl w:val="0"/>
                          </w:rPr>
                          <w:t xml:space="preserve">Our testing is driving awareness, and as more people learn that 94% of their seafood is imported, the more they are asking how to find authentic U.S. wild-caught shrimp. That’s where the market needs labeling laws and strong enforcement.</w:t>
                        </w:r>
                        <w:r w:rsidDel="00000000" w:rsidR="00000000" w:rsidRPr="00000000">
                          <w:rPr>
                            <w:rFonts w:ascii="Cambria" w:cs="Cambria" w:eastAsia="Cambria" w:hAnsi="Cambria"/>
                            <w:color w:val="222222"/>
                            <w:sz w:val="21"/>
                            <w:szCs w:val="21"/>
                            <w:highlight w:val="white"/>
                            <w:rtl w:val="0"/>
                          </w:rPr>
                          <w:t xml:space="preserve">”</w:t>
                        </w:r>
                        <w:r w:rsidDel="00000000" w:rsidR="00000000" w:rsidRPr="00000000">
                          <w:rPr>
                            <w:rtl w:val="0"/>
                          </w:rPr>
                        </w:r>
                      </w:p>
                      <w:p w:rsidR="00000000" w:rsidDel="00000000" w:rsidP="00000000" w:rsidRDefault="00000000" w:rsidRPr="00000000" w14:paraId="00000028">
                        <w:pPr>
                          <w:spacing w:after="0" w:line="240" w:lineRule="auto"/>
                          <w:rPr>
                            <w:rFonts w:ascii="Cambria" w:cs="Cambria" w:eastAsia="Cambria" w:hAnsi="Cambria"/>
                            <w:color w:val="000000"/>
                            <w:sz w:val="21"/>
                            <w:szCs w:val="21"/>
                          </w:rPr>
                        </w:pPr>
                        <w:r w:rsidDel="00000000" w:rsidR="00000000" w:rsidRPr="00000000">
                          <w:rPr>
                            <w:rFonts w:ascii="inherit" w:cs="inherit" w:eastAsia="inherit" w:hAnsi="inherit"/>
                            <w:b w:val="1"/>
                            <w:bCs w:val="1"/>
                            <w:color w:val="222222"/>
                            <w:sz w:val="21"/>
                            <w:szCs w:val="21"/>
                            <w:highlight w:val="white"/>
                            <w:rtl w:val="0"/>
                          </w:rPr>
                          <w:t xml:space="preserve"> </w:t>
                        </w:r>
                        <w:r w:rsidDel="00000000" w:rsidR="00000000" w:rsidRPr="00000000">
                          <w:rPr>
                            <w:rtl w:val="0"/>
                          </w:rPr>
                        </w:r>
                      </w:p>
                      <w:p w:rsidR="00000000" w:rsidDel="00000000" w:rsidP="00000000" w:rsidRDefault="00000000" w:rsidRPr="00000000" w14:paraId="00000029">
                        <w:pPr>
                          <w:spacing w:after="0" w:line="240" w:lineRule="auto"/>
                          <w:rPr>
                            <w:rFonts w:ascii="Cambria" w:cs="Cambria" w:eastAsia="Cambria" w:hAnsi="Cambria"/>
                            <w:color w:val="000000"/>
                            <w:sz w:val="21"/>
                            <w:szCs w:val="21"/>
                          </w:rPr>
                        </w:pPr>
                        <w:r w:rsidDel="00000000" w:rsidR="00000000" w:rsidRPr="00000000">
                          <w:rPr>
                            <w:rFonts w:ascii="inherit" w:cs="inherit" w:eastAsia="inherit" w:hAnsi="inherit"/>
                            <w:b w:val="1"/>
                            <w:bCs w:val="1"/>
                            <w:color w:val="222222"/>
                            <w:sz w:val="21"/>
                            <w:szCs w:val="21"/>
                            <w:highlight w:val="white"/>
                            <w:rtl w:val="0"/>
                          </w:rPr>
                          <w:t xml:space="preserve">Four States Now Have Transparency Laws</w:t>
                        </w:r>
                        <w:r w:rsidDel="00000000" w:rsidR="00000000" w:rsidRPr="00000000">
                          <w:rPr>
                            <w:rtl w:val="0"/>
                          </w:rPr>
                        </w:r>
                      </w:p>
                      <w:p w:rsidR="00000000" w:rsidDel="00000000" w:rsidP="00000000" w:rsidRDefault="00000000" w:rsidRPr="00000000" w14:paraId="0000002A">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Georgia joins a growing list of Southern states in seeking a legislative solution to help consumers identify the source of their shrimp in restaurants:</w:t>
                        </w:r>
                        <w:r w:rsidDel="00000000" w:rsidR="00000000" w:rsidRPr="00000000">
                          <w:rPr>
                            <w:rtl w:val="0"/>
                          </w:rPr>
                        </w:r>
                      </w:p>
                      <w:p w:rsidR="00000000" w:rsidDel="00000000" w:rsidP="00000000" w:rsidRDefault="00000000" w:rsidRPr="00000000" w14:paraId="0000002B">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 </w:t>
                        </w:r>
                        <w:r w:rsidDel="00000000" w:rsidR="00000000" w:rsidRPr="00000000">
                          <w:rPr>
                            <w:rtl w:val="0"/>
                          </w:rPr>
                        </w:r>
                      </w:p>
                      <w:p w:rsidR="00000000" w:rsidDel="00000000" w:rsidP="00000000" w:rsidRDefault="00000000" w:rsidRPr="00000000" w14:paraId="0000002C">
                        <w:pPr>
                          <w:numPr>
                            <w:ilvl w:val="0"/>
                            <w:numId w:val="2"/>
                          </w:numPr>
                          <w:spacing w:after="0" w:line="240" w:lineRule="auto"/>
                          <w:ind w:left="1320" w:hanging="360"/>
                          <w:rPr>
                            <w:rFonts w:ascii="Cambria" w:cs="Cambria" w:eastAsia="Cambria" w:hAnsi="Cambria"/>
                            <w:color w:val="000000"/>
                            <w:sz w:val="21"/>
                            <w:szCs w:val="21"/>
                          </w:rPr>
                        </w:pPr>
                        <w:r w:rsidDel="00000000" w:rsidR="00000000" w:rsidRPr="00000000">
                          <w:rPr>
                            <w:rFonts w:ascii="inherit" w:cs="inherit" w:eastAsia="inherit" w:hAnsi="inherit"/>
                            <w:b w:val="1"/>
                            <w:bCs w:val="1"/>
                            <w:color w:val="222222"/>
                            <w:sz w:val="21"/>
                            <w:szCs w:val="21"/>
                            <w:highlight w:val="white"/>
                            <w:rtl w:val="0"/>
                          </w:rPr>
                          <w:t xml:space="preserve">Alabama</w:t>
                        </w:r>
                        <w:r w:rsidDel="00000000" w:rsidR="00000000" w:rsidRPr="00000000">
                          <w:rPr>
                            <w:rFonts w:ascii="Cambria" w:cs="Cambria" w:eastAsia="Cambria" w:hAnsi="Cambria"/>
                            <w:color w:val="222222"/>
                            <w:sz w:val="21"/>
                            <w:szCs w:val="21"/>
                            <w:highlight w:val="white"/>
                            <w:rtl w:val="0"/>
                          </w:rPr>
                          <w:t xml:space="preserve"> (effective Oct. 2024): Requires all food establishments to disclose whether seafood is imported or domestic and farm-raised or wild-caught.</w:t>
                        </w:r>
                        <w:r w:rsidDel="00000000" w:rsidR="00000000" w:rsidRPr="00000000">
                          <w:rPr>
                            <w:rtl w:val="0"/>
                          </w:rPr>
                        </w:r>
                      </w:p>
                      <w:p w:rsidR="00000000" w:rsidDel="00000000" w:rsidP="00000000" w:rsidRDefault="00000000" w:rsidRPr="00000000" w14:paraId="0000002D">
                        <w:pPr>
                          <w:numPr>
                            <w:ilvl w:val="0"/>
                            <w:numId w:val="2"/>
                          </w:numPr>
                          <w:spacing w:after="0" w:line="240" w:lineRule="auto"/>
                          <w:ind w:left="1320" w:hanging="360"/>
                          <w:rPr>
                            <w:rFonts w:ascii="Cambria" w:cs="Cambria" w:eastAsia="Cambria" w:hAnsi="Cambria"/>
                            <w:color w:val="000000"/>
                            <w:sz w:val="21"/>
                            <w:szCs w:val="21"/>
                          </w:rPr>
                        </w:pPr>
                        <w:r w:rsidDel="00000000" w:rsidR="00000000" w:rsidRPr="00000000">
                          <w:rPr>
                            <w:rFonts w:ascii="inherit" w:cs="inherit" w:eastAsia="inherit" w:hAnsi="inherit"/>
                            <w:b w:val="1"/>
                            <w:bCs w:val="1"/>
                            <w:color w:val="222222"/>
                            <w:sz w:val="21"/>
                            <w:szCs w:val="21"/>
                            <w:highlight w:val="white"/>
                            <w:rtl w:val="0"/>
                          </w:rPr>
                          <w:t xml:space="preserve">Louisiana</w:t>
                        </w:r>
                        <w:r w:rsidDel="00000000" w:rsidR="00000000" w:rsidRPr="00000000">
                          <w:rPr>
                            <w:rFonts w:ascii="Cambria" w:cs="Cambria" w:eastAsia="Cambria" w:hAnsi="Cambria"/>
                            <w:color w:val="222222"/>
                            <w:sz w:val="21"/>
                            <w:szCs w:val="21"/>
                            <w:highlight w:val="white"/>
                            <w:rtl w:val="0"/>
                          </w:rPr>
                          <w:t xml:space="preserve"> (strengthened in Jan. 2025): Mandates explicit labeling and disclosure and prohibits misrepresentation of foreign seafood as domestic</w:t>
                        </w:r>
                        <w:r w:rsidDel="00000000" w:rsidR="00000000" w:rsidRPr="00000000">
                          <w:rPr>
                            <w:rtl w:val="0"/>
                          </w:rPr>
                        </w:r>
                      </w:p>
                      <w:p w:rsidR="00000000" w:rsidDel="00000000" w:rsidP="00000000" w:rsidRDefault="00000000" w:rsidRPr="00000000" w14:paraId="0000002E">
                        <w:pPr>
                          <w:numPr>
                            <w:ilvl w:val="0"/>
                            <w:numId w:val="2"/>
                          </w:numPr>
                          <w:spacing w:after="0" w:line="240" w:lineRule="auto"/>
                          <w:ind w:left="1320" w:hanging="360"/>
                          <w:rPr>
                            <w:rFonts w:ascii="Cambria" w:cs="Cambria" w:eastAsia="Cambria" w:hAnsi="Cambria"/>
                            <w:color w:val="000000"/>
                            <w:sz w:val="21"/>
                            <w:szCs w:val="21"/>
                          </w:rPr>
                        </w:pPr>
                        <w:r w:rsidDel="00000000" w:rsidR="00000000" w:rsidRPr="00000000">
                          <w:rPr>
                            <w:rFonts w:ascii="inherit" w:cs="inherit" w:eastAsia="inherit" w:hAnsi="inherit"/>
                            <w:b w:val="1"/>
                            <w:bCs w:val="1"/>
                            <w:color w:val="222222"/>
                            <w:sz w:val="21"/>
                            <w:szCs w:val="21"/>
                            <w:highlight w:val="white"/>
                            <w:rtl w:val="0"/>
                          </w:rPr>
                          <w:t xml:space="preserve">Mississippi</w:t>
                        </w:r>
                        <w:r w:rsidDel="00000000" w:rsidR="00000000" w:rsidRPr="00000000">
                          <w:rPr>
                            <w:rFonts w:ascii="Cambria" w:cs="Cambria" w:eastAsia="Cambria" w:hAnsi="Cambria"/>
                            <w:color w:val="222222"/>
                            <w:sz w:val="21"/>
                            <w:szCs w:val="21"/>
                            <w:highlight w:val="white"/>
                            <w:rtl w:val="0"/>
                          </w:rPr>
                          <w:t xml:space="preserve"> (effective July 2025): Requires all seafood labeled as imported or domestic</w:t>
                        </w:r>
                        <w:r w:rsidDel="00000000" w:rsidR="00000000" w:rsidRPr="00000000">
                          <w:rPr>
                            <w:rtl w:val="0"/>
                          </w:rPr>
                        </w:r>
                      </w:p>
                      <w:p w:rsidR="00000000" w:rsidDel="00000000" w:rsidP="00000000" w:rsidRDefault="00000000" w:rsidRPr="00000000" w14:paraId="0000002F">
                        <w:pPr>
                          <w:numPr>
                            <w:ilvl w:val="0"/>
                            <w:numId w:val="2"/>
                          </w:numPr>
                          <w:spacing w:after="0" w:line="240" w:lineRule="auto"/>
                          <w:ind w:left="1320" w:hanging="360"/>
                          <w:rPr>
                            <w:rFonts w:ascii="Cambria" w:cs="Cambria" w:eastAsia="Cambria" w:hAnsi="Cambria"/>
                            <w:color w:val="000000"/>
                            <w:sz w:val="21"/>
                            <w:szCs w:val="21"/>
                          </w:rPr>
                        </w:pPr>
                        <w:r w:rsidDel="00000000" w:rsidR="00000000" w:rsidRPr="00000000">
                          <w:rPr>
                            <w:rFonts w:ascii="inherit" w:cs="inherit" w:eastAsia="inherit" w:hAnsi="inherit"/>
                            <w:b w:val="1"/>
                            <w:bCs w:val="1"/>
                            <w:color w:val="222222"/>
                            <w:sz w:val="21"/>
                            <w:szCs w:val="21"/>
                            <w:highlight w:val="white"/>
                            <w:rtl w:val="0"/>
                          </w:rPr>
                          <w:t xml:space="preserve">Texas </w:t>
                        </w:r>
                        <w:r w:rsidDel="00000000" w:rsidR="00000000" w:rsidRPr="00000000">
                          <w:rPr>
                            <w:rFonts w:ascii="Cambria" w:cs="Cambria" w:eastAsia="Cambria" w:hAnsi="Cambria"/>
                            <w:color w:val="222222"/>
                            <w:sz w:val="21"/>
                            <w:szCs w:val="21"/>
                            <w:highlight w:val="white"/>
                            <w:rtl w:val="0"/>
                          </w:rPr>
                          <w:t xml:space="preserve">(effective Sept. 2025): Prohibits misrepresenting imported shrimp as “Texas,” “Gulf” or “Domestic” shrimp, while requiring disclosure of imported shrimp</w:t>
                        </w:r>
                        <w:r w:rsidDel="00000000" w:rsidR="00000000" w:rsidRPr="00000000">
                          <w:rPr>
                            <w:rtl w:val="0"/>
                          </w:rPr>
                        </w:r>
                      </w:p>
                      <w:p w:rsidR="00000000" w:rsidDel="00000000" w:rsidP="00000000" w:rsidRDefault="00000000" w:rsidRPr="00000000" w14:paraId="00000030">
                        <w:pPr>
                          <w:numPr>
                            <w:ilvl w:val="0"/>
                            <w:numId w:val="2"/>
                          </w:numPr>
                          <w:spacing w:after="0" w:line="240" w:lineRule="auto"/>
                          <w:ind w:left="1320" w:hanging="360"/>
                          <w:rPr>
                            <w:rFonts w:ascii="Cambria" w:cs="Cambria" w:eastAsia="Cambria" w:hAnsi="Cambria"/>
                            <w:color w:val="000000"/>
                            <w:sz w:val="21"/>
                            <w:szCs w:val="21"/>
                          </w:rPr>
                        </w:pPr>
                        <w:r w:rsidDel="00000000" w:rsidR="00000000" w:rsidRPr="00000000">
                          <w:rPr>
                            <w:rFonts w:ascii="inherit" w:cs="inherit" w:eastAsia="inherit" w:hAnsi="inherit"/>
                            <w:b w:val="1"/>
                            <w:bCs w:val="1"/>
                            <w:color w:val="222222"/>
                            <w:sz w:val="21"/>
                            <w:szCs w:val="21"/>
                            <w:highlight w:val="white"/>
                            <w:rtl w:val="0"/>
                          </w:rPr>
                          <w:t xml:space="preserve">Florida and South Carolina</w:t>
                        </w:r>
                        <w:r w:rsidDel="00000000" w:rsidR="00000000" w:rsidRPr="00000000">
                          <w:rPr>
                            <w:rFonts w:ascii="Cambria" w:cs="Cambria" w:eastAsia="Cambria" w:hAnsi="Cambria"/>
                            <w:color w:val="222222"/>
                            <w:sz w:val="21"/>
                            <w:szCs w:val="21"/>
                            <w:highlight w:val="white"/>
                            <w:rtl w:val="0"/>
                          </w:rPr>
                          <w:t xml:space="preserve"> are currently advancing similar legislation.</w:t>
                        </w:r>
                        <w:r w:rsidDel="00000000" w:rsidR="00000000" w:rsidRPr="00000000">
                          <w:rPr>
                            <w:rtl w:val="0"/>
                          </w:rPr>
                        </w:r>
                      </w:p>
                      <w:p w:rsidR="00000000" w:rsidDel="00000000" w:rsidP="00000000" w:rsidRDefault="00000000" w:rsidRPr="00000000" w14:paraId="00000031">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 </w:t>
                        </w:r>
                        <w:r w:rsidDel="00000000" w:rsidR="00000000" w:rsidRPr="00000000">
                          <w:rPr>
                            <w:rtl w:val="0"/>
                          </w:rPr>
                        </w:r>
                      </w:p>
                      <w:p w:rsidR="00000000" w:rsidDel="00000000" w:rsidP="00000000" w:rsidRDefault="00000000" w:rsidRPr="00000000" w14:paraId="00000032">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In addition, federal legislators are acting to </w:t>
                        </w:r>
                        <w:r w:rsidDel="00000000" w:rsidR="00000000" w:rsidRPr="00000000">
                          <w:rPr>
                            <w:rFonts w:ascii="Cambria" w:cs="Cambria" w:eastAsia="Cambria" w:hAnsi="Cambria"/>
                            <w:color w:val="000000"/>
                            <w:sz w:val="21"/>
                            <w:szCs w:val="21"/>
                            <w:highlight w:val="white"/>
                            <w:rtl w:val="0"/>
                          </w:rPr>
                          <w:t xml:space="preserve">help consumers identify the source of seafood. The </w:t>
                        </w:r>
                        <w:hyperlink r:id="rId12">
                          <w:r w:rsidDel="00000000" w:rsidR="00000000" w:rsidRPr="00000000">
                            <w:rPr>
                              <w:rFonts w:ascii="inherit" w:cs="inherit" w:eastAsia="inherit" w:hAnsi="inherit"/>
                              <w:color w:val="002ace"/>
                              <w:sz w:val="21"/>
                              <w:szCs w:val="21"/>
                              <w:highlight w:val="white"/>
                              <w:u w:val="single"/>
                              <w:rtl w:val="0"/>
                            </w:rPr>
                            <w:t xml:space="preserve">Let Americans Buy with Explicit Labeling (LABEL) Act</w:t>
                          </w:r>
                        </w:hyperlink>
                        <w:hyperlink r:id="rId13">
                          <w:r w:rsidDel="00000000" w:rsidR="00000000" w:rsidRPr="00000000">
                            <w:rPr>
                              <w:rFonts w:ascii="inherit" w:cs="inherit" w:eastAsia="inherit" w:hAnsi="inherit"/>
                              <w:color w:val="000000"/>
                              <w:sz w:val="21"/>
                              <w:szCs w:val="21"/>
                              <w:highlight w:val="white"/>
                              <w:u w:val="single"/>
                              <w:rtl w:val="0"/>
                            </w:rPr>
                            <w:t xml:space="preserve"> (LABEL) Act</w:t>
                          </w:r>
                        </w:hyperlink>
                        <w:r w:rsidDel="00000000" w:rsidR="00000000" w:rsidRPr="00000000">
                          <w:rPr>
                            <w:rFonts w:ascii="Cambria" w:cs="Cambria" w:eastAsia="Cambria" w:hAnsi="Cambria"/>
                            <w:color w:val="000000"/>
                            <w:sz w:val="21"/>
                            <w:szCs w:val="21"/>
                            <w:highlight w:val="white"/>
                            <w:rtl w:val="0"/>
                          </w:rPr>
                          <w:t xml:space="preserve">, introduced by Senators Cindy Hyde Smith (R-MS) and Tommy Tuberville (R-AL), would require clear, readable country-of-origin labels in retail markets.</w:t>
                        </w:r>
                        <w:r w:rsidDel="00000000" w:rsidR="00000000" w:rsidRPr="00000000">
                          <w:rPr>
                            <w:rtl w:val="0"/>
                          </w:rPr>
                        </w:r>
                      </w:p>
                      <w:p w:rsidR="00000000" w:rsidDel="00000000" w:rsidP="00000000" w:rsidRDefault="00000000" w:rsidRPr="00000000" w14:paraId="00000033">
                        <w:pPr>
                          <w:spacing w:after="0" w:line="240" w:lineRule="auto"/>
                          <w:rPr>
                            <w:rFonts w:ascii="Cambria" w:cs="Cambria" w:eastAsia="Cambria" w:hAnsi="Cambria"/>
                            <w:color w:val="000000"/>
                            <w:sz w:val="21"/>
                            <w:szCs w:val="21"/>
                          </w:rPr>
                        </w:pPr>
                        <w:r w:rsidDel="00000000" w:rsidR="00000000" w:rsidRPr="00000000">
                          <w:rPr>
                            <w:rFonts w:ascii="inherit" w:cs="inherit" w:eastAsia="inherit" w:hAnsi="inherit"/>
                            <w:b w:val="1"/>
                            <w:bCs w:val="1"/>
                            <w:color w:val="222222"/>
                            <w:sz w:val="21"/>
                            <w:szCs w:val="21"/>
                            <w:highlight w:val="white"/>
                            <w:rtl w:val="0"/>
                          </w:rPr>
                          <w:t xml:space="preserve"> </w:t>
                        </w:r>
                        <w:r w:rsidDel="00000000" w:rsidR="00000000" w:rsidRPr="00000000">
                          <w:rPr>
                            <w:rtl w:val="0"/>
                          </w:rPr>
                        </w:r>
                      </w:p>
                      <w:p w:rsidR="00000000" w:rsidDel="00000000" w:rsidP="00000000" w:rsidRDefault="00000000" w:rsidRPr="00000000" w14:paraId="00000034">
                        <w:pPr>
                          <w:spacing w:after="0" w:line="240" w:lineRule="auto"/>
                          <w:rPr>
                            <w:rFonts w:ascii="Cambria" w:cs="Cambria" w:eastAsia="Cambria" w:hAnsi="Cambria"/>
                            <w:color w:val="000000"/>
                            <w:sz w:val="21"/>
                            <w:szCs w:val="21"/>
                          </w:rPr>
                        </w:pPr>
                        <w:r w:rsidDel="00000000" w:rsidR="00000000" w:rsidRPr="00000000">
                          <w:rPr>
                            <w:rFonts w:ascii="inherit" w:cs="inherit" w:eastAsia="inherit" w:hAnsi="inherit"/>
                            <w:b w:val="1"/>
                            <w:bCs w:val="1"/>
                            <w:color w:val="222222"/>
                            <w:sz w:val="21"/>
                            <w:szCs w:val="21"/>
                            <w:highlight w:val="white"/>
                            <w:rtl w:val="0"/>
                          </w:rPr>
                          <w:t xml:space="preserve">Georgia Bill Details and Next Steps</w:t>
                        </w:r>
                        <w:r w:rsidDel="00000000" w:rsidR="00000000" w:rsidRPr="00000000">
                          <w:rPr>
                            <w:rtl w:val="0"/>
                          </w:rPr>
                        </w:r>
                      </w:p>
                      <w:p w:rsidR="00000000" w:rsidDel="00000000" w:rsidP="00000000" w:rsidRDefault="00000000" w:rsidRPr="00000000" w14:paraId="00000035">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The Georgia Senate substitute bill removes “commercial” from the House version, broadening coverage to all food service establishments while exempting state agency-operated establishments. The bill mandates that establishments serving imported shrimp must “conspicuously display on their menus a disclosure by each menu item containing shrimp stating ‘FOREIGN IMPORTED,’ or display ‘FOREIGN IMPORTED SHRIMP’ on placards visible to the public.”</w:t>
                        </w:r>
                        <w:r w:rsidDel="00000000" w:rsidR="00000000" w:rsidRPr="00000000">
                          <w:rPr>
                            <w:rtl w:val="0"/>
                          </w:rPr>
                        </w:r>
                      </w:p>
                      <w:p w:rsidR="00000000" w:rsidDel="00000000" w:rsidP="00000000" w:rsidRDefault="00000000" w:rsidRPr="00000000" w14:paraId="00000036">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 </w:t>
                        </w:r>
                        <w:r w:rsidDel="00000000" w:rsidR="00000000" w:rsidRPr="00000000">
                          <w:rPr>
                            <w:rtl w:val="0"/>
                          </w:rPr>
                        </w:r>
                      </w:p>
                      <w:p w:rsidR="00000000" w:rsidDel="00000000" w:rsidP="00000000" w:rsidRDefault="00000000" w:rsidRPr="00000000" w14:paraId="00000037">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In a notable development, Senator Watson reported that the Georgia Restaurant Association “dropped” its opposition to the bill.</w:t>
                        </w:r>
                        <w:r w:rsidDel="00000000" w:rsidR="00000000" w:rsidRPr="00000000">
                          <w:rPr>
                            <w:rtl w:val="0"/>
                          </w:rPr>
                        </w:r>
                      </w:p>
                      <w:p w:rsidR="00000000" w:rsidDel="00000000" w:rsidP="00000000" w:rsidRDefault="00000000" w:rsidRPr="00000000" w14:paraId="00000038">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 </w:t>
                        </w:r>
                        <w:r w:rsidDel="00000000" w:rsidR="00000000" w:rsidRPr="00000000">
                          <w:rPr>
                            <w:rtl w:val="0"/>
                          </w:rPr>
                        </w:r>
                      </w:p>
                      <w:p w:rsidR="00000000" w:rsidDel="00000000" w:rsidP="00000000" w:rsidRDefault="00000000" w:rsidRPr="00000000" w14:paraId="00000039">
                        <w:pPr>
                          <w:spacing w:after="0" w:line="240" w:lineRule="auto"/>
                          <w:rPr>
                            <w:rFonts w:ascii="Cambria" w:cs="Cambria" w:eastAsia="Cambria" w:hAnsi="Cambria"/>
                            <w:color w:val="000000"/>
                            <w:sz w:val="21"/>
                            <w:szCs w:val="21"/>
                          </w:rPr>
                        </w:pPr>
                        <w:r w:rsidDel="00000000" w:rsidR="00000000" w:rsidRPr="00000000">
                          <w:rPr>
                            <w:rFonts w:ascii="Cambria" w:cs="Cambria" w:eastAsia="Cambria" w:hAnsi="Cambria"/>
                            <w:color w:val="222222"/>
                            <w:sz w:val="21"/>
                            <w:szCs w:val="21"/>
                            <w:highlight w:val="white"/>
                            <w:rtl w:val="0"/>
                          </w:rPr>
                          <w:t xml:space="preserve">The substitute bill now returns to the House, which passed the original version in February 2025 by an overwhelming 165-7 margin. The House legislation has been championed by </w:t>
                        </w:r>
                        <w:hyperlink r:id="rId14">
                          <w:r w:rsidDel="00000000" w:rsidR="00000000" w:rsidRPr="00000000">
                            <w:rPr>
                              <w:rFonts w:ascii="inherit" w:cs="inherit" w:eastAsia="inherit" w:hAnsi="inherit"/>
                              <w:color w:val="002ace"/>
                              <w:sz w:val="21"/>
                              <w:szCs w:val="21"/>
                              <w:highlight w:val="white"/>
                              <w:u w:val="single"/>
                              <w:rtl w:val="0"/>
                            </w:rPr>
                            <w:t xml:space="preserve">Representative Jesse Petrea</w:t>
                          </w:r>
                        </w:hyperlink>
                        <w:r w:rsidDel="00000000" w:rsidR="00000000" w:rsidRPr="00000000">
                          <w:rPr>
                            <w:rFonts w:ascii="Cambria" w:cs="Cambria" w:eastAsia="Cambria" w:hAnsi="Cambria"/>
                            <w:color w:val="222222"/>
                            <w:sz w:val="21"/>
                            <w:szCs w:val="21"/>
                            <w:highlight w:val="white"/>
                            <w:rtl w:val="0"/>
                          </w:rPr>
                          <w:t xml:space="preserve">, along with bipartisan co-sponsors </w:t>
                        </w:r>
                        <w:hyperlink r:id="rId15">
                          <w:r w:rsidDel="00000000" w:rsidR="00000000" w:rsidRPr="00000000">
                            <w:rPr>
                              <w:rFonts w:ascii="inherit" w:cs="inherit" w:eastAsia="inherit" w:hAnsi="inherit"/>
                              <w:color w:val="002ace"/>
                              <w:sz w:val="21"/>
                              <w:szCs w:val="21"/>
                              <w:highlight w:val="white"/>
                              <w:u w:val="single"/>
                              <w:rtl w:val="0"/>
                            </w:rPr>
                            <w:t xml:space="preserve">Al Williams</w:t>
                          </w:r>
                        </w:hyperlink>
                        <w:r w:rsidDel="00000000" w:rsidR="00000000" w:rsidRPr="00000000">
                          <w:rPr>
                            <w:rFonts w:ascii="Cambria" w:cs="Cambria" w:eastAsia="Cambria" w:hAnsi="Cambria"/>
                            <w:color w:val="222222"/>
                            <w:sz w:val="21"/>
                            <w:szCs w:val="21"/>
                            <w:highlight w:val="white"/>
                            <w:rtl w:val="0"/>
                          </w:rPr>
                          <w:t xml:space="preserve">, </w:t>
                        </w:r>
                        <w:hyperlink r:id="rId16">
                          <w:r w:rsidDel="00000000" w:rsidR="00000000" w:rsidRPr="00000000">
                            <w:rPr>
                              <w:rFonts w:ascii="inherit" w:cs="inherit" w:eastAsia="inherit" w:hAnsi="inherit"/>
                              <w:color w:val="002ace"/>
                              <w:sz w:val="21"/>
                              <w:szCs w:val="21"/>
                              <w:highlight w:val="white"/>
                              <w:u w:val="single"/>
                              <w:rtl w:val="0"/>
                            </w:rPr>
                            <w:t xml:space="preserve">Rick Townsend</w:t>
                          </w:r>
                        </w:hyperlink>
                        <w:r w:rsidDel="00000000" w:rsidR="00000000" w:rsidRPr="00000000">
                          <w:rPr>
                            <w:rFonts w:ascii="Cambria" w:cs="Cambria" w:eastAsia="Cambria" w:hAnsi="Cambria"/>
                            <w:color w:val="222222"/>
                            <w:sz w:val="21"/>
                            <w:szCs w:val="21"/>
                            <w:highlight w:val="white"/>
                            <w:rtl w:val="0"/>
                          </w:rPr>
                          <w:t xml:space="preserve">, </w:t>
                        </w:r>
                        <w:hyperlink r:id="rId17">
                          <w:r w:rsidDel="00000000" w:rsidR="00000000" w:rsidRPr="00000000">
                            <w:rPr>
                              <w:rFonts w:ascii="inherit" w:cs="inherit" w:eastAsia="inherit" w:hAnsi="inherit"/>
                              <w:color w:val="002ace"/>
                              <w:sz w:val="21"/>
                              <w:szCs w:val="21"/>
                              <w:highlight w:val="white"/>
                              <w:u w:val="single"/>
                              <w:rtl w:val="0"/>
                            </w:rPr>
                            <w:t xml:space="preserve">Buddy DeLoach</w:t>
                          </w:r>
                        </w:hyperlink>
                        <w:r w:rsidDel="00000000" w:rsidR="00000000" w:rsidRPr="00000000">
                          <w:rPr>
                            <w:rFonts w:ascii="Cambria" w:cs="Cambria" w:eastAsia="Cambria" w:hAnsi="Cambria"/>
                            <w:color w:val="222222"/>
                            <w:sz w:val="21"/>
                            <w:szCs w:val="21"/>
                            <w:highlight w:val="white"/>
                            <w:rtl w:val="0"/>
                          </w:rPr>
                          <w:t xml:space="preserve">, and </w:t>
                        </w:r>
                        <w:hyperlink r:id="rId18">
                          <w:r w:rsidDel="00000000" w:rsidR="00000000" w:rsidRPr="00000000">
                            <w:rPr>
                              <w:rFonts w:ascii="inherit" w:cs="inherit" w:eastAsia="inherit" w:hAnsi="inherit"/>
                              <w:color w:val="002ace"/>
                              <w:sz w:val="21"/>
                              <w:szCs w:val="21"/>
                              <w:highlight w:val="white"/>
                              <w:u w:val="single"/>
                              <w:rtl w:val="0"/>
                            </w:rPr>
                            <w:t xml:space="preserve">Lehman Franklin</w:t>
                          </w:r>
                        </w:hyperlink>
                        <w:r w:rsidDel="00000000" w:rsidR="00000000" w:rsidRPr="00000000">
                          <w:rPr>
                            <w:rFonts w:ascii="Cambria" w:cs="Cambria" w:eastAsia="Cambria" w:hAnsi="Cambria"/>
                            <w:color w:val="222222"/>
                            <w:sz w:val="21"/>
                            <w:szCs w:val="21"/>
                            <w:highlight w:val="white"/>
                            <w:rtl w:val="0"/>
                          </w:rPr>
                          <w:t xml:space="preserve">.</w:t>
                        </w:r>
                        <w:r w:rsidDel="00000000" w:rsidR="00000000" w:rsidRPr="00000000">
                          <w:rPr>
                            <w:rtl w:val="0"/>
                          </w:rPr>
                        </w:r>
                      </w:p>
                    </w:tc>
                  </w:tr>
                </w:tbl>
                <w:p w:rsidR="00000000" w:rsidDel="00000000" w:rsidP="00000000" w:rsidRDefault="00000000" w:rsidRPr="00000000" w14:paraId="0000003A">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B">
            <w:pPr>
              <w:spacing w:after="0" w:line="240" w:lineRule="auto"/>
              <w:jc w:val="center"/>
              <w:rPr>
                <w:rFonts w:ascii="Quattrocento Sans" w:cs="Quattrocento Sans" w:eastAsia="Quattrocento Sans" w:hAnsi="Quattrocento Sans"/>
                <w:color w:val="242424"/>
                <w:sz w:val="23"/>
                <w:szCs w:val="23"/>
              </w:rPr>
            </w:pP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Courier New"/>
  <w:font w:name="Aptos"/>
  <w:font w:name="Play">
    <w:embedRegular w:fontKey="{00000000-0000-0000-0000-000000000000}" r:id="rId1" w:subsetted="0"/>
    <w:embedBold w:fontKey="{00000000-0000-0000-0000-000000000000}" r:id="rId2" w:subsetted="0"/>
  </w:font>
  <w:font w:name="inheri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43DE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43DE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43DE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3DE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43DE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43DE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43DE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43DE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43DE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43DE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43DE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43DE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43DE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43DE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43DE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43DE0"/>
    <w:rPr>
      <w:i w:val="1"/>
      <w:iCs w:val="1"/>
      <w:color w:val="404040" w:themeColor="text1" w:themeTint="0000BF"/>
    </w:rPr>
  </w:style>
  <w:style w:type="paragraph" w:styleId="ListParagraph">
    <w:name w:val="List Paragraph"/>
    <w:basedOn w:val="Normal"/>
    <w:uiPriority w:val="34"/>
    <w:qFormat w:val="1"/>
    <w:rsid w:val="00243DE0"/>
    <w:pPr>
      <w:ind w:left="720"/>
      <w:contextualSpacing w:val="1"/>
    </w:pPr>
  </w:style>
  <w:style w:type="character" w:styleId="IntenseEmphasis">
    <w:name w:val="Intense Emphasis"/>
    <w:basedOn w:val="DefaultParagraphFont"/>
    <w:uiPriority w:val="21"/>
    <w:qFormat w:val="1"/>
    <w:rsid w:val="00243DE0"/>
    <w:rPr>
      <w:i w:val="1"/>
      <w:iCs w:val="1"/>
      <w:color w:val="0f4761" w:themeColor="accent1" w:themeShade="0000BF"/>
    </w:rPr>
  </w:style>
  <w:style w:type="paragraph" w:styleId="IntenseQuote">
    <w:name w:val="Intense Quote"/>
    <w:basedOn w:val="Normal"/>
    <w:next w:val="Normal"/>
    <w:link w:val="IntenseQuoteChar"/>
    <w:uiPriority w:val="30"/>
    <w:qFormat w:val="1"/>
    <w:rsid w:val="00243DE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43DE0"/>
    <w:rPr>
      <w:i w:val="1"/>
      <w:iCs w:val="1"/>
      <w:color w:val="0f4761" w:themeColor="accent1" w:themeShade="0000BF"/>
    </w:rPr>
  </w:style>
  <w:style w:type="character" w:styleId="IntenseReference">
    <w:name w:val="Intense Reference"/>
    <w:basedOn w:val="DefaultParagraphFont"/>
    <w:uiPriority w:val="32"/>
    <w:qFormat w:val="1"/>
    <w:rsid w:val="00243DE0"/>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ueusacab.cc.rs6.net/tn.jsp?f=001fr0lGzLrQ-8L_lYV4svXOFMRkUbE8KUZeZ19ntjfZrW0kmS9ae6TmyGvB0iIcnS-xZHInKM6yt-ZOZtiX8o1O7G6XbtXiGcT9Jj7ueFJ0Y_vNnjXHvRiIsirG_HwOsGiQtLj9g-iPSTfEwX6IcXD4yYVEIhB3_wBUvDfI0qOX3k=&amp;c=nfra6ptwyzihQj_aTt7OYGgnxtLhcgmCrCClXC5WfsNXVd7N-lp2wg==&amp;ch=2CWMsSwdIZ0I9CAsdwpc8aPxLnJTu_GXiyfVWeUL22HlLgiTuwAdTA==" TargetMode="External"/><Relationship Id="rId10" Type="http://schemas.openxmlformats.org/officeDocument/2006/relationships/hyperlink" Target="https://lueusacab.cc.rs6.net/tn.jsp?f=001fr0lGzLrQ-8L_lYV4svXOFMRkUbE8KUZeZ19ntjfZrW0kmS9ae6Tmy1e7Qk1vLCtJTtmoFsibwVYtniU_g-c7DarVe5XDKtXCV6l36OszPfz9ThqkjPI7vJSRUjpqjm3Q65vvAgb6h4QgiFopmmjMHHoLVCteB3UiUpIPNGMHvlxPSTwWwclhDcvgAyGN6q5p6VHmVUOzKOHGkizraAk6wPeBj_YbkXtcPOltfXtVvy_sUVfwqJx45ClLEpUk99koFcDiKYoE10NsoGjv43jLuKqDrm8iOfR&amp;c=nfra6ptwyzihQj_aTt7OYGgnxtLhcgmCrCClXC5WfsNXVd7N-lp2wg==&amp;ch=2CWMsSwdIZ0I9CAsdwpc8aPxLnJTu_GXiyfVWeUL22HlLgiTuwAdTA==" TargetMode="External"/><Relationship Id="rId13" Type="http://schemas.openxmlformats.org/officeDocument/2006/relationships/hyperlink" Target="https://lueusacab.cc.rs6.net/tn.jsp?f=001fr0lGzLrQ-8L_lYV4svXOFMRkUbE8KUZeZ19ntjfZrW0kmS9ae6Tm7r1PdglIY4Tqz53c1NCbeFl9rjuvPqv9-bhd2QPY7Z36mJwujPzto2oyFTL6uSzvqMZhKhULfsPa94zVs2L0eX9EHCeb1IQHDlqTghZOn6teo7K6LUyyqgnvyu4rHe9ziilxifgpICM&amp;c=nfra6ptwyzihQj_aTt7OYGgnxtLhcgmCrCClXC5WfsNXVd7N-lp2wg==&amp;ch=2CWMsSwdIZ0I9CAsdwpc8aPxLnJTu_GXiyfVWeUL22HlLgiTuwAdTA==" TargetMode="External"/><Relationship Id="rId12" Type="http://schemas.openxmlformats.org/officeDocument/2006/relationships/hyperlink" Target="https://lueusacab.cc.rs6.net/tn.jsp?f=001fr0lGzLrQ-8L_lYV4svXOFMRkUbE8KUZeZ19ntjfZrW0kmS9ae6TmyGvB0iIcnS-NIYohlTZLnmwrnF2eHh58bqRY1I6HVXu3IVwWZkDgxMeee1X8_3wxcHgqOY5QchOGIPOa9QIFq1SrTH51einhbdABerG2BeTyjNu278adqBNghBbzU7Oe1k_S1DDBprX9arW2YA0X3aZoMfTZ6nLcKaqGWaNx3QO&amp;c=nfra6ptwyzihQj_aTt7OYGgnxtLhcgmCrCClXC5WfsNXVd7N-lp2wg==&amp;ch=2CWMsSwdIZ0I9CAsdwpc8aPxLnJTu_GXiyfVWeUL22HlLgiTuwAdT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ueusacab.cc.rs6.net/tn.jsp?f=001fr0lGzLrQ-8L_lYV4svXOFMRkUbE8KUZeZ19ntjfZrW0kmS9ae6TmyGvB0iIcnS-Pco7n0fgpg4sO05Dc-A8Sf6GLvg_sJYonACNUQzGOk0e-Mm_DSGd91Cyh3GYkgIBDw-uqHitL1svYIHdM6uwLq6NEwyQmJKApYc6V5aszABGzuBQV4LHhemAcutT1c64pCI_KS6vRGgqv5a9e4zRZXaCD5hrGvLWo5tbBlttxqo=&amp;c=nfra6ptwyzihQj_aTt7OYGgnxtLhcgmCrCClXC5WfsNXVd7N-lp2wg==&amp;ch=2CWMsSwdIZ0I9CAsdwpc8aPxLnJTu_GXiyfVWeUL22HlLgiTuwAdTA==" TargetMode="External"/><Relationship Id="rId15" Type="http://schemas.openxmlformats.org/officeDocument/2006/relationships/hyperlink" Target="https://lueusacab.cc.rs6.net/tn.jsp?f=001fr0lGzLrQ-8L_lYV4svXOFMRkUbE8KUZeZ19ntjfZrW0kmS9ae6TmyGvB0iIcnS-x1M73MAfuPGQOWOjp8rtN0IUQTyZvK4iiYROBfwmeFqHcgMkWcsYdpIPCEshJyn6J2SDTRqzNDNn07HCAxLZbJHqoRbnWdVyNGXm0nO3i9237Acu9c_Nm4ZnmMOCvGSopmjYhJaYgNk=&amp;c=nfra6ptwyzihQj_aTt7OYGgnxtLhcgmCrCClXC5WfsNXVd7N-lp2wg==&amp;ch=2CWMsSwdIZ0I9CAsdwpc8aPxLnJTu_GXiyfVWeUL22HlLgiTuwAdTA==" TargetMode="External"/><Relationship Id="rId14" Type="http://schemas.openxmlformats.org/officeDocument/2006/relationships/hyperlink" Target="https://lueusacab.cc.rs6.net/tn.jsp?f=001fr0lGzLrQ-8L_lYV4svXOFMRkUbE8KUZeZ19ntjfZrW0kmS9ae6TmyGvB0iIcnS-muNiKfoKANHhDC0PtsU_Z3BGqU-bK8M1W99FkxDggdQY1FJ0olT-gD4-Z6LKoT0fN7ooXw11qTDOc9GiByq2ie6-I0OzYS7SIEpdhHtvbJYPSQPxfjcbIjsTcouvJZTX0OZQ9RY_Bw8=&amp;c=nfra6ptwyzihQj_aTt7OYGgnxtLhcgmCrCClXC5WfsNXVd7N-lp2wg==&amp;ch=2CWMsSwdIZ0I9CAsdwpc8aPxLnJTu_GXiyfVWeUL22HlLgiTuwAdTA==" TargetMode="External"/><Relationship Id="rId17" Type="http://schemas.openxmlformats.org/officeDocument/2006/relationships/hyperlink" Target="https://lueusacab.cc.rs6.net/tn.jsp?f=001fr0lGzLrQ-8L_lYV4svXOFMRkUbE8KUZeZ19ntjfZrW0kmS9ae6TmyGvB0iIcnS-k018fOhq1OTNuEqdoDbVC4Mq8Xh7sLvJ0uwEXpZJF5Z57fYrSmi2BNAzhRlodYa8AWPLLRGDtV0pTfA0qweuAo7-zUXPwqqa7pZxKCqhMPVFimy6DA5J1Wcn79Zv8vZ11aI0NU_ne0g=&amp;c=nfra6ptwyzihQj_aTt7OYGgnxtLhcgmCrCClXC5WfsNXVd7N-lp2wg==&amp;ch=2CWMsSwdIZ0I9CAsdwpc8aPxLnJTu_GXiyfVWeUL22HlLgiTuwAdTA==" TargetMode="External"/><Relationship Id="rId16" Type="http://schemas.openxmlformats.org/officeDocument/2006/relationships/hyperlink" Target="https://lueusacab.cc.rs6.net/tn.jsp?f=001fr0lGzLrQ-8L_lYV4svXOFMRkUbE8KUZeZ19ntjfZrW0kmS9ae6TmyGvB0iIcnS--eZb8rprGvTMQO_IjIwRxE95gKC_p5uYNhWXOpmXYQDtHBM4AqX0l3MBpE9f-nYAVjg1ApcxI3tZ-VRsTfwFx37-jxWZvFh0_iRySCbu_DSf8alwwz5M7pn7QLIeZpP2rPJLodyEUMQ=&amp;c=nfra6ptwyzihQj_aTt7OYGgnxtLhcgmCrCClXC5WfsNXVd7N-lp2wg==&amp;ch=2CWMsSwdIZ0I9CAsdwpc8aPxLnJTu_GXiyfVWeUL22HlLgiTuwAdTA=="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lueusacab.cc.rs6.net/tn.jsp?f=001fr0lGzLrQ-8L_lYV4svXOFMRkUbE8KUZeZ19ntjfZrW0kmS9ae6TmyGvB0iIcnS--M1DWxGFs5RyUxlvP7bpDyuI_hbz9FBie27Xu9xsntIHib6JRU8X8VShSEdqcBgo_x0ZnMitEKErzZtnbI7jvaASYVULdd_0VmSfBSr3J2CHaZvwCXKv0Lqm-pw6xkI-yK-59NDF330=&amp;c=nfra6ptwyzihQj_aTt7OYGgnxtLhcgmCrCClXC5WfsNXVd7N-lp2wg==&amp;ch=2CWMsSwdIZ0I9CAsdwpc8aPxLnJTu_GXiyfVWeUL22HlLgiTuwAdTA==" TargetMode="External"/><Relationship Id="rId7" Type="http://schemas.openxmlformats.org/officeDocument/2006/relationships/image" Target="media/image1.png"/><Relationship Id="rId8" Type="http://schemas.openxmlformats.org/officeDocument/2006/relationships/image" Target="media/image2.gif"/></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21lUw56RirXDd+RpKS8c6Z0m1w==">CgMxLjA4AHIhMXMzVkc2cVM1MENpVlBBRWM3SFV5UnVvVFJWeUwzQlMx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2026-02-04T03:09:00Z</dcterms:created>
  <dc:creator>Bob Zales</dc:creator>
</cp:coreProperties>
</file>