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rsidP="00D51D88">
            <w:pPr>
              <w:rPr>
                <w:rFonts w:ascii="Times New Roman" w:hAnsi="Times New Roman" w:cs="Times New Roman"/>
                <w:b/>
                <w:bCs/>
              </w:rPr>
            </w:pPr>
          </w:p>
        </w:tc>
        <w:tc>
          <w:tcPr>
            <w:tcW w:w="8820" w:type="dxa"/>
            <w:shd w:val="clear" w:color="auto" w:fill="FFFFFF"/>
            <w:tcMar>
              <w:top w:w="75" w:type="dxa"/>
              <w:left w:w="0" w:type="dxa"/>
              <w:bottom w:w="75" w:type="dxa"/>
              <w:right w:w="0" w:type="dxa"/>
            </w:tcMar>
            <w:hideMark/>
          </w:tcPr>
          <w:p w:rsidR="00D51D88" w:rsidRPr="00D51D88" w:rsidRDefault="00D51D88" w:rsidP="00D51D88">
            <w:pPr>
              <w:rPr>
                <w:rFonts w:ascii="Times New Roman" w:hAnsi="Times New Roman" w:cs="Times New Roman"/>
              </w:rPr>
            </w:pPr>
            <w:r w:rsidRPr="00D51D88">
              <w:rPr>
                <w:rFonts w:ascii="Times New Roman" w:hAnsi="Times New Roman" w:cs="Times New Roman"/>
                <w:color w:val="000000"/>
              </w:rPr>
              <w:t xml:space="preserve">KEYTRUDA has received FDA approval, in combination with chemotherapy, for the treatment of patients with locally recurrent </w:t>
            </w:r>
            <w:proofErr w:type="spellStart"/>
            <w:r w:rsidRPr="00D51D88">
              <w:rPr>
                <w:rFonts w:ascii="Times New Roman" w:hAnsi="Times New Roman" w:cs="Times New Roman"/>
                <w:color w:val="000000"/>
              </w:rPr>
              <w:t>unresectable</w:t>
            </w:r>
            <w:proofErr w:type="spellEnd"/>
            <w:r w:rsidRPr="00D51D88">
              <w:rPr>
                <w:rFonts w:ascii="Times New Roman" w:hAnsi="Times New Roman" w:cs="Times New Roman"/>
                <w:color w:val="000000"/>
              </w:rPr>
              <w:t xml:space="preserve"> or metastatic triple-negative breast cancer (TNBC) whose tumors express programmed death ligand 1 (PD-L1) [combined positive score (CPS ≥10)] as determined by an FDA-approved test. This indication is approved under accelerated approval based on progression-free survival. Continued approval for this indication may be contingent upon verification and description of clinical benefit in the confirmatory trials.</w:t>
            </w:r>
          </w:p>
          <w:p w:rsidR="00D51D88" w:rsidRPr="00D51D88" w:rsidRDefault="00D51D88">
            <w:pPr>
              <w:rPr>
                <w:rFonts w:ascii="Times New Roman" w:hAnsi="Times New Roman" w:cs="Times New Roman"/>
                <w:color w:val="000000"/>
              </w:rPr>
            </w:pPr>
          </w:p>
          <w:p w:rsidR="00D51D88" w:rsidRPr="00D51D88" w:rsidRDefault="00D51D88">
            <w:pPr>
              <w:rPr>
                <w:rFonts w:ascii="Times New Roman" w:hAnsi="Times New Roman" w:cs="Times New Roman"/>
              </w:rPr>
            </w:pPr>
            <w:r w:rsidRPr="00D51D88">
              <w:rPr>
                <w:rFonts w:ascii="Times New Roman" w:hAnsi="Times New Roman" w:cs="Times New Roman"/>
                <w:color w:val="000000"/>
              </w:rPr>
              <w:t>Select patients for treatment with KEYTRUDA in combination with chemotherapy based on the presence of positive PD-L1 expression in:</w:t>
            </w:r>
          </w:p>
        </w:tc>
      </w:tr>
      <w:tr w:rsidR="00D51D88" w:rsidRPr="00D51D88" w:rsidTr="00D51D88">
        <w:trPr>
          <w:jc w:val="center"/>
        </w:trPr>
        <w:tc>
          <w:tcPr>
            <w:tcW w:w="18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 </w:t>
            </w:r>
          </w:p>
        </w:tc>
        <w:tc>
          <w:tcPr>
            <w:tcW w:w="882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xml:space="preserve">–  locally recurrent </w:t>
            </w:r>
            <w:proofErr w:type="spellStart"/>
            <w:r w:rsidRPr="00D51D88">
              <w:rPr>
                <w:rFonts w:ascii="Times New Roman" w:hAnsi="Times New Roman" w:cs="Times New Roman"/>
                <w:color w:val="000000"/>
              </w:rPr>
              <w:t>unresectable</w:t>
            </w:r>
            <w:proofErr w:type="spellEnd"/>
            <w:r w:rsidRPr="00D51D88">
              <w:rPr>
                <w:rFonts w:ascii="Times New Roman" w:hAnsi="Times New Roman" w:cs="Times New Roman"/>
                <w:color w:val="000000"/>
              </w:rPr>
              <w:t xml:space="preserve"> or metastatic TNBC</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b/>
          <w:bCs/>
          <w:color w:val="000000"/>
        </w:rPr>
        <w:t>SELECTED SAFETY INFORMATION for KEYTRUDA</w:t>
      </w:r>
      <w:r w:rsidRPr="00D51D88">
        <w:rPr>
          <w:rFonts w:ascii="Times New Roman" w:hAnsi="Times New Roman" w:cs="Times New Roman"/>
          <w:b/>
          <w:bCs/>
          <w:color w:val="000000"/>
          <w:vertAlign w:val="superscript"/>
        </w:rPr>
        <w:t>®</w:t>
      </w:r>
      <w:r w:rsidRPr="00D51D88">
        <w:rPr>
          <w:rFonts w:ascii="Times New Roman" w:hAnsi="Times New Roman" w:cs="Times New Roman"/>
          <w:b/>
          <w:bCs/>
          <w:color w:val="000000"/>
        </w:rPr>
        <w:t> (</w:t>
      </w:r>
      <w:proofErr w:type="spellStart"/>
      <w:r w:rsidRPr="00D51D88">
        <w:rPr>
          <w:rFonts w:ascii="Times New Roman" w:hAnsi="Times New Roman" w:cs="Times New Roman"/>
          <w:b/>
          <w:bCs/>
          <w:color w:val="000000"/>
        </w:rPr>
        <w:t>pembrolizumab</w:t>
      </w:r>
      <w:proofErr w:type="spellEnd"/>
      <w:r w:rsidRPr="00D51D88">
        <w:rPr>
          <w:rFonts w:ascii="Times New Roman" w:hAnsi="Times New Roman" w:cs="Times New Roman"/>
          <w:b/>
          <w:bCs/>
          <w:color w:val="000000"/>
        </w:rPr>
        <w:t>) injection 100 mg</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xml:space="preserve">Immune-mediated adverse reactions, which may be severe or fatal, can occur in any organ system or tissue and can affect more than one body system simultaneously. Immune-mediated adverse reactions can occur at any time during or after treatment with KEYTRUDA, including pneumonitis, colitis, hepatitis, </w:t>
            </w:r>
            <w:proofErr w:type="spellStart"/>
            <w:r w:rsidRPr="00D51D88">
              <w:rPr>
                <w:rFonts w:ascii="Times New Roman" w:hAnsi="Times New Roman" w:cs="Times New Roman"/>
                <w:color w:val="000000"/>
              </w:rPr>
              <w:t>endocrinopathies</w:t>
            </w:r>
            <w:proofErr w:type="spellEnd"/>
            <w:r w:rsidRPr="00D51D88">
              <w:rPr>
                <w:rFonts w:ascii="Times New Roman" w:hAnsi="Times New Roman" w:cs="Times New Roman"/>
                <w:color w:val="000000"/>
              </w:rPr>
              <w:t>, nephritis, dermatologic reactions, solid organ transplant rejection, and complications of allogeneic hematopoietic stem cell transplantation. Early identification and management of immune-mediated adverse reactions are essential to ensure safe use of KEYTRUDA. Based on the severity of the adverse reaction, KEYTRUDA should be withheld or permanently discontinued and corticosteroids administered if appropriate. For more information regarding immune-mediated adverse reactions, please read the additional Selected Safety Information below.</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b/>
          <w:bCs/>
          <w:i/>
          <w:iCs/>
          <w:color w:val="000000"/>
        </w:rPr>
        <w:t>KEYNOTE-355</w:t>
      </w: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D51D88" w:rsidRPr="00D51D88" w:rsidTr="00D51D88">
        <w:trPr>
          <w:jc w:val="center"/>
        </w:trPr>
        <w:tc>
          <w:tcPr>
            <w:tcW w:w="6" w:type="dxa"/>
            <w:shd w:val="clear" w:color="auto" w:fill="FFFFFF"/>
            <w:tcMar>
              <w:top w:w="75" w:type="dxa"/>
              <w:left w:w="0" w:type="dxa"/>
              <w:bottom w:w="0" w:type="dxa"/>
              <w:right w:w="0" w:type="dxa"/>
            </w:tcMar>
            <w:vAlign w:val="cente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xml:space="preserve">The efficacy of KEYTRUDA in combination with paclitaxel, paclitaxel protein-bound, or gemcitabine and carboplatin was investigated in KEYNOTE-355 (NCT02819518), a multicenter, double-blind, randomized, placebo-controlled trial conducted in 847 patients with locally recurrent </w:t>
            </w:r>
            <w:proofErr w:type="spellStart"/>
            <w:r w:rsidRPr="00D51D88">
              <w:rPr>
                <w:rFonts w:ascii="Times New Roman" w:hAnsi="Times New Roman" w:cs="Times New Roman"/>
                <w:color w:val="000000"/>
              </w:rPr>
              <w:t>unresectable</w:t>
            </w:r>
            <w:proofErr w:type="spellEnd"/>
            <w:r w:rsidRPr="00D51D88">
              <w:rPr>
                <w:rFonts w:ascii="Times New Roman" w:hAnsi="Times New Roman" w:cs="Times New Roman"/>
                <w:color w:val="000000"/>
              </w:rPr>
              <w:t xml:space="preserve"> or metastatic TNBC, regardless of tumor PD-L1 expression, who had not been previously treated with chemotherapy in the metastatic setting. Patients with active autoimmune disease that required systemic therapy within 2 years of treatment or a medical condition that required immunosuppression were ineligible. Randomization was stratified by chemotherapy treatment (paclitaxel or paclitaxel protein-bound vs gemcitabine and carboplatin), tumor PD-L1 expression (CPS ≥1 vs CPS &lt;1) according to the PD-L1 IHC 22C3 </w:t>
            </w:r>
            <w:proofErr w:type="spellStart"/>
            <w:r w:rsidRPr="00D51D88">
              <w:rPr>
                <w:rFonts w:ascii="Times New Roman" w:hAnsi="Times New Roman" w:cs="Times New Roman"/>
                <w:color w:val="000000"/>
              </w:rPr>
              <w:t>pharmDx</w:t>
            </w:r>
            <w:proofErr w:type="spellEnd"/>
            <w:r w:rsidRPr="00D51D88">
              <w:rPr>
                <w:rFonts w:ascii="Times New Roman" w:hAnsi="Times New Roman" w:cs="Times New Roman"/>
                <w:color w:val="000000"/>
              </w:rPr>
              <w:t xml:space="preserve"> kit, and prior treatment with the same class of chemotherapy in the </w:t>
            </w:r>
            <w:proofErr w:type="spellStart"/>
            <w:r w:rsidRPr="00D51D88">
              <w:rPr>
                <w:rFonts w:ascii="Times New Roman" w:hAnsi="Times New Roman" w:cs="Times New Roman"/>
                <w:color w:val="000000"/>
              </w:rPr>
              <w:t>neoadjuvant</w:t>
            </w:r>
            <w:proofErr w:type="spellEnd"/>
            <w:r w:rsidRPr="00D51D88">
              <w:rPr>
                <w:rFonts w:ascii="Times New Roman" w:hAnsi="Times New Roman" w:cs="Times New Roman"/>
                <w:color w:val="000000"/>
              </w:rPr>
              <w:t xml:space="preserve"> setting (yes vs no).</w:t>
            </w:r>
          </w:p>
        </w:tc>
      </w:tr>
    </w:tbl>
    <w:p w:rsidR="00D51D88" w:rsidRPr="00D51D88" w:rsidRDefault="00D51D88" w:rsidP="00D51D88">
      <w:pPr>
        <w:rPr>
          <w:rFonts w:ascii="Times New Roman" w:hAnsi="Times New Roman" w:cs="Times New Roman"/>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D51D88" w:rsidRPr="00D51D88" w:rsidTr="00D51D88">
        <w:trPr>
          <w:jc w:val="center"/>
        </w:trPr>
        <w:tc>
          <w:tcPr>
            <w:tcW w:w="6" w:type="dxa"/>
            <w:shd w:val="clear" w:color="auto" w:fill="FFFFFF"/>
            <w:tcMar>
              <w:top w:w="75" w:type="dxa"/>
              <w:left w:w="0" w:type="dxa"/>
              <w:bottom w:w="0" w:type="dxa"/>
              <w:right w:w="0" w:type="dxa"/>
            </w:tcMar>
            <w:vAlign w:val="cente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Patients were randomized (2:1) to one of the following treatment arms; all study medications were administered via intravenous infusion:</w:t>
            </w:r>
          </w:p>
        </w:tc>
      </w:tr>
    </w:tbl>
    <w:p w:rsidR="00D51D88" w:rsidRPr="00D51D88" w:rsidRDefault="00D51D88" w:rsidP="00D51D88">
      <w:pPr>
        <w:rPr>
          <w:rFonts w:ascii="Times New Roman" w:hAnsi="Times New Roman" w:cs="Times New Roman"/>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KEYTRUDA 200 mg on Day 1 every 3 weeks in combination with paclitaxel protein-bound 100 mg/m</w:t>
            </w:r>
            <w:r w:rsidRPr="00D51D88">
              <w:rPr>
                <w:rFonts w:ascii="Times New Roman" w:hAnsi="Times New Roman" w:cs="Times New Roman"/>
                <w:color w:val="000000"/>
                <w:vertAlign w:val="superscript"/>
              </w:rPr>
              <w:t>2</w:t>
            </w:r>
            <w:r w:rsidRPr="00D51D88">
              <w:rPr>
                <w:rFonts w:ascii="Times New Roman" w:hAnsi="Times New Roman" w:cs="Times New Roman"/>
                <w:color w:val="000000"/>
              </w:rPr>
              <w:t> on Days 1, 8 and 15 every 28 days, paclitaxel 90 mg/m</w:t>
            </w:r>
            <w:r w:rsidRPr="00D51D88">
              <w:rPr>
                <w:rFonts w:ascii="Times New Roman" w:hAnsi="Times New Roman" w:cs="Times New Roman"/>
                <w:color w:val="000000"/>
                <w:vertAlign w:val="superscript"/>
              </w:rPr>
              <w:t>2</w:t>
            </w:r>
            <w:r w:rsidRPr="00D51D88">
              <w:rPr>
                <w:rFonts w:ascii="Times New Roman" w:hAnsi="Times New Roman" w:cs="Times New Roman"/>
                <w:color w:val="000000"/>
              </w:rPr>
              <w:t> on Days 1, 8, and 15 every 28 days, or gemcitabine 1000 mg/m</w:t>
            </w:r>
            <w:r w:rsidRPr="00D51D88">
              <w:rPr>
                <w:rFonts w:ascii="Times New Roman" w:hAnsi="Times New Roman" w:cs="Times New Roman"/>
                <w:color w:val="000000"/>
                <w:vertAlign w:val="superscript"/>
              </w:rPr>
              <w:t>2</w:t>
            </w:r>
            <w:r w:rsidRPr="00D51D88">
              <w:rPr>
                <w:rFonts w:ascii="Times New Roman" w:hAnsi="Times New Roman" w:cs="Times New Roman"/>
                <w:color w:val="000000"/>
              </w:rPr>
              <w:t> and carboplatin AUC 2 mg/mL/min on Days 1 and 8 every 21 days.</w:t>
            </w:r>
          </w:p>
        </w:tc>
      </w:tr>
      <w:tr w:rsidR="00D51D88" w:rsidRPr="00D51D88" w:rsidTr="00D51D88">
        <w:trPr>
          <w:jc w:val="center"/>
        </w:trPr>
        <w:tc>
          <w:tcPr>
            <w:tcW w:w="18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w:t>
            </w:r>
          </w:p>
        </w:tc>
        <w:tc>
          <w:tcPr>
            <w:tcW w:w="882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Placebo on Day 1 every 3 weeks in combination with paclitaxel protein-bound 100 mg/m</w:t>
            </w:r>
            <w:r w:rsidRPr="00D51D88">
              <w:rPr>
                <w:rFonts w:ascii="Times New Roman" w:hAnsi="Times New Roman" w:cs="Times New Roman"/>
                <w:color w:val="000000"/>
                <w:vertAlign w:val="superscript"/>
              </w:rPr>
              <w:t>2</w:t>
            </w:r>
            <w:r w:rsidRPr="00D51D88">
              <w:rPr>
                <w:rFonts w:ascii="Times New Roman" w:hAnsi="Times New Roman" w:cs="Times New Roman"/>
                <w:color w:val="000000"/>
              </w:rPr>
              <w:t> on Days 1, 8 and 15 every 28 days, paclitaxel 90 mg/m</w:t>
            </w:r>
            <w:r w:rsidRPr="00D51D88">
              <w:rPr>
                <w:rFonts w:ascii="Times New Roman" w:hAnsi="Times New Roman" w:cs="Times New Roman"/>
                <w:color w:val="000000"/>
                <w:vertAlign w:val="superscript"/>
              </w:rPr>
              <w:t>2</w:t>
            </w:r>
            <w:r w:rsidRPr="00D51D88">
              <w:rPr>
                <w:rFonts w:ascii="Times New Roman" w:hAnsi="Times New Roman" w:cs="Times New Roman"/>
                <w:color w:val="000000"/>
              </w:rPr>
              <w:t> on Days 1, 8, and 15 every 28 days, or gemcitabine 1000 mg/m</w:t>
            </w:r>
            <w:r w:rsidRPr="00D51D88">
              <w:rPr>
                <w:rFonts w:ascii="Times New Roman" w:hAnsi="Times New Roman" w:cs="Times New Roman"/>
                <w:color w:val="000000"/>
                <w:vertAlign w:val="superscript"/>
              </w:rPr>
              <w:t>2</w:t>
            </w:r>
            <w:r w:rsidRPr="00D51D88">
              <w:rPr>
                <w:rFonts w:ascii="Times New Roman" w:hAnsi="Times New Roman" w:cs="Times New Roman"/>
                <w:color w:val="000000"/>
              </w:rPr>
              <w:t> and carboplatin AUC 2 mg/mL/min on Days 1 and 8 every 21 days.</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color w:val="000000"/>
        </w:rPr>
        <w:t>Assessment of tumor status was performed at Weeks 8, 16, and 24, then every 9 weeks for the first year, and every 12 weeks thereafter. The main efficacy outcome measure was PFS as assessed by BICR according to RECIST v1.1, modified to follow a maximum of 10 target lesions and a maximum of 5 target lesions per organ tested in the subgroup of patients with CPS ≥10. Additional efficacy outcome measures were OS as well as ORR and DOR as assessed by BICR.</w:t>
      </w: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D51D88" w:rsidRPr="00D51D88" w:rsidTr="00D51D88">
        <w:trPr>
          <w:jc w:val="center"/>
        </w:trPr>
        <w:tc>
          <w:tcPr>
            <w:tcW w:w="9000" w:type="dxa"/>
            <w:shd w:val="clear" w:color="auto" w:fill="FFFFFF"/>
            <w:tcMar>
              <w:top w:w="75" w:type="dxa"/>
              <w:left w:w="0" w:type="dxa"/>
              <w:bottom w:w="0" w:type="dxa"/>
              <w:right w:w="0" w:type="dxa"/>
            </w:tcMar>
            <w:vAlign w:val="cente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The study population characteristics for patients were: median age of 53 years (range: 22 to 85), 21% age 65 or older; 100% female; 68% White, 21% Asian, and 4% Black; 60% ECOG PS of 0 and 40% ECOG PS of 1; and 68% were post-menopausal status. Seventy-five percent of patients had tumor PD-L1 expression CPS ≥1 and 38% had tumor PD-L1 expression CPS ≥10.</w:t>
            </w:r>
          </w:p>
        </w:tc>
      </w:tr>
    </w:tbl>
    <w:p w:rsidR="00D51D88" w:rsidRPr="00D51D88" w:rsidRDefault="00D51D88" w:rsidP="00D51D88">
      <w:pPr>
        <w:rPr>
          <w:rFonts w:ascii="Times New Roman" w:hAnsi="Times New Roman" w:cs="Times New Roman"/>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D51D88" w:rsidRPr="00D51D88" w:rsidTr="00D51D88">
        <w:trPr>
          <w:jc w:val="center"/>
        </w:trPr>
        <w:tc>
          <w:tcPr>
            <w:tcW w:w="9000" w:type="dxa"/>
            <w:shd w:val="clear" w:color="auto" w:fill="FFFFFF"/>
            <w:tcMar>
              <w:top w:w="75" w:type="dxa"/>
              <w:left w:w="0" w:type="dxa"/>
              <w:bottom w:w="150" w:type="dxa"/>
              <w:right w:w="0" w:type="dxa"/>
            </w:tcMar>
            <w:vAlign w:val="cente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The table below summarize the efficacy results for KEYNOTE-355 in the subgroup of patients with CPS ≥10.</w:t>
            </w:r>
          </w:p>
        </w:tc>
      </w:tr>
    </w:tbl>
    <w:p w:rsidR="00D51D88" w:rsidRPr="00D51D88" w:rsidRDefault="00D51D88" w:rsidP="00D51D88">
      <w:pPr>
        <w:rPr>
          <w:rFonts w:ascii="Times New Roman" w:hAnsi="Times New Roman" w:cs="Times New Roman"/>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D51D88" w:rsidRPr="00D51D88" w:rsidTr="00D51D88">
        <w:trPr>
          <w:jc w:val="center"/>
        </w:trPr>
        <w:tc>
          <w:tcPr>
            <w:tcW w:w="9000" w:type="dxa"/>
            <w:shd w:val="clear" w:color="auto" w:fill="FFFFFF"/>
            <w:tcMar>
              <w:top w:w="0" w:type="dxa"/>
              <w:left w:w="0" w:type="dxa"/>
              <w:bottom w:w="45" w:type="dxa"/>
              <w:right w:w="0" w:type="dxa"/>
            </w:tcMar>
            <w:vAlign w:val="center"/>
            <w:hideMark/>
          </w:tcPr>
          <w:p w:rsidR="00D51D88" w:rsidRPr="00D51D88" w:rsidRDefault="00D51D88">
            <w:pPr>
              <w:jc w:val="center"/>
              <w:rPr>
                <w:rFonts w:ascii="Times New Roman" w:hAnsi="Times New Roman" w:cs="Times New Roman"/>
                <w:b/>
                <w:bCs/>
              </w:rPr>
            </w:pPr>
            <w:r w:rsidRPr="00D51D88">
              <w:rPr>
                <w:rFonts w:ascii="Times New Roman" w:hAnsi="Times New Roman" w:cs="Times New Roman"/>
                <w:b/>
                <w:bCs/>
                <w:color w:val="000000"/>
              </w:rPr>
              <w:lastRenderedPageBreak/>
              <w:t>Efficacy Results in KEYNOTE-355 (CPS ≥10)</w:t>
            </w:r>
          </w:p>
        </w:tc>
      </w:tr>
      <w:tr w:rsidR="00D51D88" w:rsidRPr="00D51D88" w:rsidTr="00D51D88">
        <w:trPr>
          <w:jc w:val="center"/>
        </w:trPr>
        <w:tc>
          <w:tcPr>
            <w:tcW w:w="9000" w:type="dxa"/>
            <w:shd w:val="clear" w:color="auto" w:fill="FFFFFF"/>
            <w:tcMar>
              <w:top w:w="0" w:type="dxa"/>
              <w:left w:w="0" w:type="dxa"/>
              <w:bottom w:w="45" w:type="dxa"/>
              <w:right w:w="0" w:type="dxa"/>
            </w:tcMar>
            <w:vAlign w:val="center"/>
          </w:tcPr>
          <w:p w:rsidR="00D51D88" w:rsidRPr="00D51D88" w:rsidRDefault="00D51D88" w:rsidP="00D51D88">
            <w:pPr>
              <w:rPr>
                <w:rFonts w:ascii="Times New Roman" w:hAnsi="Times New Roman" w:cs="Times New Roman"/>
                <w:b/>
                <w:bCs/>
                <w:color w:val="000000"/>
              </w:rPr>
            </w:pPr>
          </w:p>
        </w:tc>
      </w:tr>
    </w:tbl>
    <w:p w:rsidR="00D51D88" w:rsidRPr="00D51D88" w:rsidRDefault="00D51D88" w:rsidP="00D51D88">
      <w:pPr>
        <w:rPr>
          <w:rFonts w:ascii="Times New Roman" w:hAnsi="Times New Roman" w:cs="Times New Roman"/>
          <w:vanish/>
        </w:rPr>
      </w:pPr>
    </w:p>
    <w:tbl>
      <w:tblPr>
        <w:tblW w:w="8550" w:type="dxa"/>
        <w:jc w:val="center"/>
        <w:shd w:val="clear" w:color="auto" w:fill="FFFFFF"/>
        <w:tblCellMar>
          <w:left w:w="0" w:type="dxa"/>
          <w:right w:w="0" w:type="dxa"/>
        </w:tblCellMar>
        <w:tblLook w:val="04A0" w:firstRow="1" w:lastRow="0" w:firstColumn="1" w:lastColumn="0" w:noHBand="0" w:noVBand="1"/>
      </w:tblPr>
      <w:tblGrid>
        <w:gridCol w:w="4387"/>
        <w:gridCol w:w="2185"/>
        <w:gridCol w:w="1978"/>
      </w:tblGrid>
      <w:tr w:rsidR="00D51D88" w:rsidRPr="00D51D88" w:rsidTr="00D51D88">
        <w:trPr>
          <w:jc w:val="center"/>
        </w:trPr>
        <w:tc>
          <w:tcPr>
            <w:tcW w:w="4125" w:type="dxa"/>
            <w:tcBorders>
              <w:top w:val="single" w:sz="8"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Endpoint</w:t>
            </w:r>
          </w:p>
        </w:tc>
        <w:tc>
          <w:tcPr>
            <w:tcW w:w="2055" w:type="dxa"/>
            <w:tcBorders>
              <w:top w:val="single" w:sz="8" w:space="0" w:color="auto"/>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b/>
                <w:bCs/>
              </w:rPr>
            </w:pPr>
            <w:r w:rsidRPr="00D51D88">
              <w:rPr>
                <w:rFonts w:ascii="Times New Roman" w:hAnsi="Times New Roman" w:cs="Times New Roman"/>
                <w:b/>
                <w:bCs/>
                <w:color w:val="000000"/>
              </w:rPr>
              <w:t>KEYTRUDA</w:t>
            </w:r>
            <w:r w:rsidRPr="00D51D88">
              <w:rPr>
                <w:rFonts w:ascii="Times New Roman" w:hAnsi="Times New Roman" w:cs="Times New Roman"/>
                <w:b/>
                <w:bCs/>
                <w:color w:val="000000"/>
              </w:rPr>
              <w:br/>
              <w:t>200 mg every 3 weeks</w:t>
            </w:r>
            <w:r w:rsidRPr="00D51D88">
              <w:rPr>
                <w:rFonts w:ascii="Times New Roman" w:hAnsi="Times New Roman" w:cs="Times New Roman"/>
                <w:b/>
                <w:bCs/>
                <w:color w:val="000000"/>
              </w:rPr>
              <w:br/>
              <w:t>with chemotherapy</w:t>
            </w:r>
            <w:r w:rsidRPr="00D51D88">
              <w:rPr>
                <w:rFonts w:ascii="Times New Roman" w:hAnsi="Times New Roman" w:cs="Times New Roman"/>
                <w:b/>
                <w:bCs/>
                <w:color w:val="000000"/>
              </w:rPr>
              <w:br/>
              <w:t>n=220</w:t>
            </w:r>
          </w:p>
        </w:tc>
        <w:tc>
          <w:tcPr>
            <w:tcW w:w="1860" w:type="dxa"/>
            <w:tcBorders>
              <w:top w:val="single" w:sz="8" w:space="0" w:color="auto"/>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b/>
                <w:bCs/>
              </w:rPr>
            </w:pPr>
            <w:r w:rsidRPr="00D51D88">
              <w:rPr>
                <w:rFonts w:ascii="Times New Roman" w:hAnsi="Times New Roman" w:cs="Times New Roman"/>
                <w:b/>
                <w:bCs/>
                <w:color w:val="000000"/>
              </w:rPr>
              <w:t>Placebo</w:t>
            </w:r>
            <w:r w:rsidRPr="00D51D88">
              <w:rPr>
                <w:rFonts w:ascii="Times New Roman" w:hAnsi="Times New Roman" w:cs="Times New Roman"/>
                <w:b/>
                <w:bCs/>
                <w:color w:val="000000"/>
              </w:rPr>
              <w:br/>
              <w:t>every 3 weeks</w:t>
            </w:r>
            <w:r w:rsidRPr="00D51D88">
              <w:rPr>
                <w:rFonts w:ascii="Times New Roman" w:hAnsi="Times New Roman" w:cs="Times New Roman"/>
                <w:b/>
                <w:bCs/>
                <w:color w:val="000000"/>
              </w:rPr>
              <w:br/>
              <w:t>with chemotherapy</w:t>
            </w:r>
            <w:r w:rsidRPr="00D51D88">
              <w:rPr>
                <w:rFonts w:ascii="Times New Roman" w:hAnsi="Times New Roman" w:cs="Times New Roman"/>
                <w:b/>
                <w:bCs/>
                <w:color w:val="000000"/>
              </w:rPr>
              <w:br/>
              <w:t>n=103</w:t>
            </w:r>
          </w:p>
        </w:tc>
      </w:tr>
      <w:tr w:rsidR="00D51D88" w:rsidRPr="00D51D88" w:rsidTr="00D51D88">
        <w:trPr>
          <w:jc w:val="center"/>
        </w:trPr>
        <w:tc>
          <w:tcPr>
            <w:tcW w:w="4125" w:type="dxa"/>
            <w:gridSpan w:val="3"/>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PFS</w:t>
            </w:r>
          </w:p>
        </w:tc>
      </w:tr>
      <w:tr w:rsidR="00D51D88" w:rsidRPr="00D51D88" w:rsidTr="00D51D88">
        <w:trPr>
          <w:jc w:val="center"/>
        </w:trPr>
        <w:tc>
          <w:tcPr>
            <w:tcW w:w="4125" w:type="dxa"/>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Number of patients with event (%)</w:t>
            </w:r>
          </w:p>
        </w:tc>
        <w:tc>
          <w:tcPr>
            <w:tcW w:w="2055"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136 (62%)</w:t>
            </w:r>
          </w:p>
        </w:tc>
        <w:tc>
          <w:tcPr>
            <w:tcW w:w="1860"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79 (77%)</w:t>
            </w:r>
          </w:p>
        </w:tc>
      </w:tr>
      <w:tr w:rsidR="00D51D88" w:rsidRPr="00D51D88" w:rsidTr="00D51D88">
        <w:trPr>
          <w:jc w:val="center"/>
        </w:trPr>
        <w:tc>
          <w:tcPr>
            <w:tcW w:w="4125" w:type="dxa"/>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Median in months (95% CI)</w:t>
            </w:r>
          </w:p>
        </w:tc>
        <w:tc>
          <w:tcPr>
            <w:tcW w:w="2055"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9.7 (7.6, 11.3)</w:t>
            </w:r>
          </w:p>
        </w:tc>
        <w:tc>
          <w:tcPr>
            <w:tcW w:w="1860"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5.6 (5.3, 7.5)</w:t>
            </w:r>
          </w:p>
        </w:tc>
      </w:tr>
      <w:tr w:rsidR="00D51D88" w:rsidRPr="00D51D88" w:rsidTr="00D51D88">
        <w:trPr>
          <w:jc w:val="center"/>
        </w:trPr>
        <w:tc>
          <w:tcPr>
            <w:tcW w:w="4125" w:type="dxa"/>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Hazard ratio* (95% CI)</w:t>
            </w:r>
          </w:p>
        </w:tc>
        <w:tc>
          <w:tcPr>
            <w:tcW w:w="2055" w:type="dxa"/>
            <w:gridSpan w:val="2"/>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0.65 (0.49, 0.86)</w:t>
            </w:r>
          </w:p>
        </w:tc>
        <w:bookmarkStart w:id="0" w:name="_GoBack"/>
        <w:bookmarkEnd w:id="0"/>
      </w:tr>
      <w:tr w:rsidR="00D51D88" w:rsidRPr="00D51D88" w:rsidTr="00D51D88">
        <w:trPr>
          <w:jc w:val="center"/>
        </w:trPr>
        <w:tc>
          <w:tcPr>
            <w:tcW w:w="4125" w:type="dxa"/>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p-Value</w:t>
            </w:r>
            <w:r w:rsidRPr="00D51D88">
              <w:rPr>
                <w:rFonts w:ascii="Times New Roman" w:hAnsi="Times New Roman" w:cs="Times New Roman"/>
                <w:color w:val="000000"/>
                <w:vertAlign w:val="superscript"/>
              </w:rPr>
              <w:t>†</w:t>
            </w:r>
          </w:p>
        </w:tc>
        <w:tc>
          <w:tcPr>
            <w:tcW w:w="2055" w:type="dxa"/>
            <w:gridSpan w:val="2"/>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0.0012</w:t>
            </w:r>
          </w:p>
        </w:tc>
      </w:tr>
      <w:tr w:rsidR="00D51D88" w:rsidRPr="00D51D88" w:rsidTr="00D51D88">
        <w:trPr>
          <w:jc w:val="center"/>
        </w:trPr>
        <w:tc>
          <w:tcPr>
            <w:tcW w:w="4125" w:type="dxa"/>
            <w:gridSpan w:val="3"/>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ORR</w:t>
            </w:r>
          </w:p>
        </w:tc>
      </w:tr>
      <w:tr w:rsidR="00D51D88" w:rsidRPr="00D51D88" w:rsidTr="00D51D88">
        <w:trPr>
          <w:jc w:val="center"/>
        </w:trPr>
        <w:tc>
          <w:tcPr>
            <w:tcW w:w="4125" w:type="dxa"/>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Objective confirmed response rate</w:t>
            </w:r>
            <w:r w:rsidRPr="00D51D88">
              <w:rPr>
                <w:rFonts w:ascii="Times New Roman" w:hAnsi="Times New Roman" w:cs="Times New Roman"/>
                <w:color w:val="000000"/>
              </w:rPr>
              <w:br/>
              <w:t>   (95% CI)</w:t>
            </w:r>
          </w:p>
        </w:tc>
        <w:tc>
          <w:tcPr>
            <w:tcW w:w="2055" w:type="dxa"/>
            <w:tcBorders>
              <w:top w:val="nil"/>
              <w:left w:val="nil"/>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53% (46, 60)</w:t>
            </w:r>
          </w:p>
        </w:tc>
        <w:tc>
          <w:tcPr>
            <w:tcW w:w="1860" w:type="dxa"/>
            <w:tcBorders>
              <w:top w:val="nil"/>
              <w:left w:val="nil"/>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40% (30, 50)</w:t>
            </w:r>
          </w:p>
        </w:tc>
      </w:tr>
      <w:tr w:rsidR="00D51D88" w:rsidRPr="00D51D88" w:rsidTr="00D51D88">
        <w:trPr>
          <w:jc w:val="center"/>
        </w:trPr>
        <w:tc>
          <w:tcPr>
            <w:tcW w:w="4125" w:type="dxa"/>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Complete response rate</w:t>
            </w:r>
          </w:p>
        </w:tc>
        <w:tc>
          <w:tcPr>
            <w:tcW w:w="2055"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17%</w:t>
            </w:r>
          </w:p>
        </w:tc>
        <w:tc>
          <w:tcPr>
            <w:tcW w:w="1860"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13%</w:t>
            </w:r>
          </w:p>
        </w:tc>
      </w:tr>
      <w:tr w:rsidR="00D51D88" w:rsidRPr="00D51D88" w:rsidTr="00D51D88">
        <w:trPr>
          <w:jc w:val="center"/>
        </w:trPr>
        <w:tc>
          <w:tcPr>
            <w:tcW w:w="4125" w:type="dxa"/>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Partial response rate</w:t>
            </w:r>
          </w:p>
        </w:tc>
        <w:tc>
          <w:tcPr>
            <w:tcW w:w="2055"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36%</w:t>
            </w:r>
          </w:p>
        </w:tc>
        <w:tc>
          <w:tcPr>
            <w:tcW w:w="1860"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27%</w:t>
            </w:r>
          </w:p>
        </w:tc>
      </w:tr>
      <w:tr w:rsidR="00D51D88" w:rsidRPr="00D51D88" w:rsidTr="00D51D88">
        <w:trPr>
          <w:jc w:val="center"/>
        </w:trPr>
        <w:tc>
          <w:tcPr>
            <w:tcW w:w="4125" w:type="dxa"/>
            <w:gridSpan w:val="3"/>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DOR</w:t>
            </w:r>
          </w:p>
        </w:tc>
      </w:tr>
      <w:tr w:rsidR="00D51D88" w:rsidRPr="00D51D88" w:rsidTr="00D51D88">
        <w:trPr>
          <w:jc w:val="center"/>
        </w:trPr>
        <w:tc>
          <w:tcPr>
            <w:tcW w:w="4125" w:type="dxa"/>
            <w:tcBorders>
              <w:top w:val="nil"/>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Median in months (95% CI)</w:t>
            </w:r>
          </w:p>
        </w:tc>
        <w:tc>
          <w:tcPr>
            <w:tcW w:w="2055"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19.3 (9.9, 29.8)</w:t>
            </w:r>
          </w:p>
        </w:tc>
        <w:tc>
          <w:tcPr>
            <w:tcW w:w="1860" w:type="dxa"/>
            <w:tcBorders>
              <w:top w:val="nil"/>
              <w:left w:val="nil"/>
              <w:bottom w:val="single" w:sz="8" w:space="0" w:color="auto"/>
              <w:right w:val="single" w:sz="8" w:space="0" w:color="auto"/>
            </w:tcBorders>
            <w:shd w:val="clear" w:color="auto" w:fill="FFFFFF"/>
            <w:tcMar>
              <w:top w:w="75" w:type="dxa"/>
              <w:left w:w="75" w:type="dxa"/>
              <w:bottom w:w="75" w:type="dxa"/>
              <w:right w:w="75" w:type="dxa"/>
            </w:tcMar>
            <w:vAlign w:val="center"/>
            <w:hideMark/>
          </w:tcPr>
          <w:p w:rsidR="00D51D88" w:rsidRPr="00D51D88" w:rsidRDefault="00D51D88">
            <w:pPr>
              <w:jc w:val="center"/>
              <w:rPr>
                <w:rFonts w:ascii="Times New Roman" w:hAnsi="Times New Roman" w:cs="Times New Roman"/>
              </w:rPr>
            </w:pPr>
            <w:r w:rsidRPr="00D51D88">
              <w:rPr>
                <w:rFonts w:ascii="Times New Roman" w:hAnsi="Times New Roman" w:cs="Times New Roman"/>
                <w:color w:val="000000"/>
              </w:rPr>
              <w:t>7.3 (5.3, 15.8)</w:t>
            </w:r>
          </w:p>
        </w:tc>
      </w:tr>
    </w:tbl>
    <w:p w:rsidR="00D51D88" w:rsidRPr="00D51D88" w:rsidRDefault="00D51D88" w:rsidP="00D51D88">
      <w:pPr>
        <w:rPr>
          <w:rFonts w:ascii="Times New Roman" w:hAnsi="Times New Roman" w:cs="Times New Roman"/>
          <w:vanish/>
        </w:rPr>
      </w:pPr>
    </w:p>
    <w:tbl>
      <w:tblPr>
        <w:tblW w:w="8400" w:type="dxa"/>
        <w:jc w:val="center"/>
        <w:shd w:val="clear" w:color="auto" w:fill="FFFFFF"/>
        <w:tblCellMar>
          <w:left w:w="0" w:type="dxa"/>
          <w:right w:w="0" w:type="dxa"/>
        </w:tblCellMar>
        <w:tblLook w:val="04A0" w:firstRow="1" w:lastRow="0" w:firstColumn="1" w:lastColumn="0" w:noHBand="0" w:noVBand="1"/>
      </w:tblPr>
      <w:tblGrid>
        <w:gridCol w:w="110"/>
        <w:gridCol w:w="8290"/>
      </w:tblGrid>
      <w:tr w:rsidR="00D51D88" w:rsidRPr="00D51D88" w:rsidTr="00D51D88">
        <w:trPr>
          <w:jc w:val="center"/>
        </w:trPr>
        <w:tc>
          <w:tcPr>
            <w:tcW w:w="75" w:type="dxa"/>
            <w:shd w:val="clear" w:color="auto" w:fill="FFFFFF"/>
            <w:tcMar>
              <w:top w:w="45" w:type="dxa"/>
              <w:left w:w="0" w:type="dxa"/>
              <w:bottom w:w="0" w:type="dxa"/>
              <w:right w:w="0" w:type="dxa"/>
            </w:tcMar>
            <w:hideMark/>
          </w:tcPr>
          <w:p w:rsidR="00D51D88" w:rsidRPr="00D51D88" w:rsidRDefault="00D51D88">
            <w:pPr>
              <w:jc w:val="right"/>
              <w:rPr>
                <w:rFonts w:ascii="Times New Roman" w:hAnsi="Times New Roman" w:cs="Times New Roman"/>
              </w:rPr>
            </w:pPr>
            <w:r w:rsidRPr="00D51D88">
              <w:rPr>
                <w:rFonts w:ascii="Times New Roman" w:hAnsi="Times New Roman" w:cs="Times New Roman"/>
                <w:color w:val="000000"/>
              </w:rPr>
              <w:t>*</w:t>
            </w:r>
          </w:p>
        </w:tc>
        <w:tc>
          <w:tcPr>
            <w:tcW w:w="8325" w:type="dxa"/>
            <w:shd w:val="clear" w:color="auto" w:fill="FFFFFF"/>
            <w:tcMar>
              <w:top w:w="45" w:type="dxa"/>
              <w:left w:w="0" w:type="dxa"/>
              <w:bottom w:w="0"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Based on stratified Cox regression model</w:t>
            </w:r>
          </w:p>
        </w:tc>
      </w:tr>
      <w:tr w:rsidR="00D51D88" w:rsidRPr="00D51D88" w:rsidTr="00D51D88">
        <w:trPr>
          <w:jc w:val="center"/>
        </w:trPr>
        <w:tc>
          <w:tcPr>
            <w:tcW w:w="75" w:type="dxa"/>
            <w:shd w:val="clear" w:color="auto" w:fill="FFFFFF"/>
            <w:tcMar>
              <w:top w:w="0" w:type="dxa"/>
              <w:left w:w="0" w:type="dxa"/>
              <w:bottom w:w="225" w:type="dxa"/>
              <w:right w:w="0" w:type="dxa"/>
            </w:tcMar>
            <w:hideMark/>
          </w:tcPr>
          <w:p w:rsidR="00D51D88" w:rsidRPr="00D51D88" w:rsidRDefault="00D51D88">
            <w:pPr>
              <w:jc w:val="right"/>
              <w:rPr>
                <w:rFonts w:ascii="Times New Roman" w:hAnsi="Times New Roman" w:cs="Times New Roman"/>
              </w:rPr>
            </w:pPr>
            <w:r w:rsidRPr="00D51D88">
              <w:rPr>
                <w:rFonts w:ascii="Times New Roman" w:hAnsi="Times New Roman" w:cs="Times New Roman"/>
                <w:color w:val="000000"/>
                <w:vertAlign w:val="superscript"/>
              </w:rPr>
              <w:t>†</w:t>
            </w:r>
          </w:p>
        </w:tc>
        <w:tc>
          <w:tcPr>
            <w:tcW w:w="8325" w:type="dxa"/>
            <w:shd w:val="clear" w:color="auto" w:fill="FFFFFF"/>
            <w:tcMar>
              <w:top w:w="0" w:type="dxa"/>
              <w:left w:w="0" w:type="dxa"/>
              <w:bottom w:w="22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One-sided p-Value based on stratified log-rank test</w:t>
            </w:r>
          </w:p>
        </w:tc>
      </w:tr>
    </w:tbl>
    <w:p w:rsidR="00D51D88" w:rsidRPr="00D51D88" w:rsidRDefault="00D51D88" w:rsidP="00D51D88">
      <w:pPr>
        <w:rPr>
          <w:rFonts w:ascii="Times New Roman" w:hAnsi="Times New Roman" w:cs="Times New Roman"/>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D51D88" w:rsidRPr="00D51D88" w:rsidTr="00D51D88">
        <w:trPr>
          <w:jc w:val="center"/>
        </w:trPr>
        <w:tc>
          <w:tcPr>
            <w:tcW w:w="9000" w:type="dxa"/>
            <w:shd w:val="clear" w:color="auto" w:fill="FFFFFF"/>
            <w:tcMar>
              <w:top w:w="0" w:type="dxa"/>
              <w:left w:w="0" w:type="dxa"/>
              <w:bottom w:w="300" w:type="dxa"/>
              <w:right w:w="0" w:type="dxa"/>
            </w:tcMar>
            <w:vAlign w:val="cente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AUC=area under the curve; BICR=blinded independent central review; DOR=duration of response; ECOG PS=Eastern</w:t>
            </w:r>
            <w:r w:rsidRPr="00D51D88">
              <w:rPr>
                <w:rFonts w:ascii="Times New Roman" w:hAnsi="Times New Roman" w:cs="Times New Roman"/>
                <w:color w:val="000000"/>
              </w:rPr>
              <w:br/>
              <w:t>Cooperative Oncology Group performance status; IHC=immunohistochemistry; ORR=objective response rate; OS=overall survival</w:t>
            </w:r>
            <w:proofErr w:type="gramStart"/>
            <w:r w:rsidRPr="00D51D88">
              <w:rPr>
                <w:rFonts w:ascii="Times New Roman" w:hAnsi="Times New Roman" w:cs="Times New Roman"/>
                <w:color w:val="000000"/>
              </w:rPr>
              <w:t>;</w:t>
            </w:r>
            <w:proofErr w:type="gramEnd"/>
            <w:r w:rsidRPr="00D51D88">
              <w:rPr>
                <w:rFonts w:ascii="Times New Roman" w:hAnsi="Times New Roman" w:cs="Times New Roman"/>
                <w:color w:val="000000"/>
              </w:rPr>
              <w:br/>
              <w:t>PFS=progression-free survival; RECIST v1.1=Response Evaluation Criteria In Solid Tumors v1.1.</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b/>
          <w:bCs/>
          <w:color w:val="000000"/>
        </w:rPr>
        <w:t>SELECTED SAFETY INFORMATION </w:t>
      </w:r>
      <w:r w:rsidRPr="00D51D88">
        <w:rPr>
          <w:rFonts w:ascii="Times New Roman" w:hAnsi="Times New Roman" w:cs="Times New Roman"/>
          <w:b/>
          <w:bCs/>
          <w:i/>
          <w:iCs/>
          <w:color w:val="000000"/>
        </w:rPr>
        <w:t>(continued)</w:t>
      </w: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D51D88" w:rsidRPr="00D51D88" w:rsidTr="00D51D88">
        <w:trPr>
          <w:jc w:val="center"/>
        </w:trPr>
        <w:tc>
          <w:tcPr>
            <w:tcW w:w="9000" w:type="dxa"/>
            <w:shd w:val="clear" w:color="auto" w:fill="FFFFFF"/>
            <w:tcMar>
              <w:top w:w="75" w:type="dxa"/>
              <w:left w:w="0" w:type="dxa"/>
              <w:bottom w:w="45" w:type="dxa"/>
              <w:right w:w="0" w:type="dxa"/>
            </w:tcMar>
            <w:vAlign w:val="cente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Severe and Fatal Immune-Mediated Adverse Reactions</w:t>
            </w:r>
          </w:p>
        </w:tc>
      </w:tr>
    </w:tbl>
    <w:p w:rsidR="00D51D88" w:rsidRPr="00D51D88" w:rsidRDefault="00D51D88" w:rsidP="00D51D88">
      <w:pPr>
        <w:rPr>
          <w:rFonts w:ascii="Times New Roman" w:hAnsi="Times New Roman" w:cs="Times New Roman"/>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w:t>
            </w:r>
          </w:p>
        </w:tc>
        <w:tc>
          <w:tcPr>
            <w:tcW w:w="882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KEYTRUDA is a monoclonal antibody that belongs to a class of drugs that bind to either the programmed death receptor-1 (PD-1) or the programmed death ligand 1 (PD-L1), blocking the PD-1/PD-L1 pathway, thereby removing inhibition of the immune response, potentially breaking peripheral tolerance and inducing immune-mediated adverse reactions. Immune-mediated adverse reactions, which may be severe or fatal, can occur in any organ system or tissue, can affect more than one body system simultaneously, and can occur at any time after starting treatment or after discontinuation of treatment.</w:t>
            </w:r>
          </w:p>
        </w:tc>
      </w:tr>
      <w:tr w:rsidR="00D51D88" w:rsidRPr="00D51D88" w:rsidTr="00D51D88">
        <w:trPr>
          <w:jc w:val="center"/>
        </w:trPr>
        <w:tc>
          <w:tcPr>
            <w:tcW w:w="18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w:t>
            </w:r>
          </w:p>
        </w:tc>
        <w:tc>
          <w:tcPr>
            <w:tcW w:w="882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Monitor patients closely for symptoms and signs that may be clinical manifestations of underlying immune-mediated adverse reactions. Early identification and management are essential to ensure safe use of anti–PD-1/PD-L1 treatments. Evaluate liver enzymes, creatinine, and thyroid function at baseline and periodically during treatment. In cases of suspected immune-mediated adverse reactions, initiate appropriate workup to exclude alternative etiologies, including infection. Institute medical management promptly, including specialty consultation as appropriate.</w:t>
            </w:r>
          </w:p>
        </w:tc>
      </w:tr>
      <w:tr w:rsidR="00D51D88" w:rsidRPr="00D51D88" w:rsidTr="00D51D88">
        <w:trPr>
          <w:jc w:val="center"/>
        </w:trPr>
        <w:tc>
          <w:tcPr>
            <w:tcW w:w="18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b/>
                <w:bCs/>
              </w:rPr>
            </w:pPr>
            <w:r w:rsidRPr="00D51D88">
              <w:rPr>
                <w:rFonts w:ascii="Times New Roman" w:hAnsi="Times New Roman" w:cs="Times New Roman"/>
                <w:b/>
                <w:bCs/>
                <w:color w:val="000000"/>
              </w:rPr>
              <w:t>•</w:t>
            </w:r>
          </w:p>
        </w:tc>
        <w:tc>
          <w:tcPr>
            <w:tcW w:w="882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xml:space="preserve">Withhold or permanently discontinue KEYTRUDA depending on severity of the immune-mediated adverse reaction. In general, if KEYTRUDA requires interruption or discontinuation, administer systemic corticosteroid therapy (1 to 2 mg/kg/day prednisone or equivalent) until improvement to Grade 1 or less. Upon improvement to Grade 1 or less, initiate corticosteroid taper and continue to </w:t>
            </w:r>
            <w:r w:rsidRPr="00D51D88">
              <w:rPr>
                <w:rFonts w:ascii="Times New Roman" w:hAnsi="Times New Roman" w:cs="Times New Roman"/>
                <w:color w:val="000000"/>
              </w:rPr>
              <w:lastRenderedPageBreak/>
              <w:t xml:space="preserve">taper over at least 1 month. Consider administration of other systemic </w:t>
            </w:r>
            <w:proofErr w:type="spellStart"/>
            <w:r w:rsidRPr="00D51D88">
              <w:rPr>
                <w:rFonts w:ascii="Times New Roman" w:hAnsi="Times New Roman" w:cs="Times New Roman"/>
                <w:color w:val="000000"/>
              </w:rPr>
              <w:t>immunosuppressants</w:t>
            </w:r>
            <w:proofErr w:type="spellEnd"/>
            <w:r w:rsidRPr="00D51D88">
              <w:rPr>
                <w:rFonts w:ascii="Times New Roman" w:hAnsi="Times New Roman" w:cs="Times New Roman"/>
                <w:color w:val="000000"/>
              </w:rPr>
              <w:t xml:space="preserve"> in patients whose adverse reactions are not controlled with corticosteroid therapy.</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color w:val="000000"/>
          <w:u w:val="single"/>
        </w:rPr>
        <w:lastRenderedPageBreak/>
        <w:t>Immune-Mediated Pneumonitis</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KEYTRUDA can cause immune-mediated pneumonitis. The incidence is higher in patients who have received prior thoracic radiation. Immune-mediated pneumonitis occurred in 3.4% (94/2799) of patients receiving KEYTRUDA, including fatal (0.1%), Grade 4 (0.3%), Grade 3 (0.9%), and Grade 2 (1.3%) reactions. Systemic corticosteroids were required in 67% (63/94) of patients. Pneumonitis led to permanent discontinuation of KEYTRUDA in 1.3% (36) and withholding in 0.9% (26) of patients. All patients who were withheld reinitiated KEYTRUDA after symptom improvement; of these, 23% had recurrence. Pneumonitis resolved in 59% of the 94 patients.</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color w:val="000000"/>
          <w:u w:val="single"/>
        </w:rPr>
        <w:t>Immune-Mediated Colitis</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KEYTRUDA can cause immune-mediated colitis, which may present with diarrhea. Cytomegalovirus infection/reactivation has been reported in patients with corticosteroid-refractory immune-mediated colitis. In cases of corticosteroid-refractory colitis, consider repeating infectious workup to exclude alternative etiologies. Immune-mediated colitis occurred in 1.7% (48/2799) of patients receiving KEYTRUDA, including Grade 4 (&lt;0.1%), Grade 3 (1.1%), and Grade 2 (0.4%) reactions. Systemic corticosteroids were required in 69% (33/48); additional immunosuppressant therapy was required in 4.2% of patients. Colitis led to permanent discontinuation of KEYTRUDA in 0.5% (15) and withholding in 0.5% (13) of patients. All patients who were withheld reinitiated KEYTRUDA after symptom improvement; of these, 23% had recurrence. Colitis resolved in 85% of the 48 patients.</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color w:val="000000"/>
          <w:u w:val="single"/>
        </w:rPr>
        <w:t>Hepatotoxicity and Immune-Mediated Hepatitis</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KEYTRUDA can cause immune-mediated hepatitis. Immune-mediated hepatitis occurred in 0.7% (19/2799) of patients receiving KEYTRUDA, including Grade 4 (&lt;0.1%), Grade 3 (0.4%), and Grade 2 (0.1%) reactions. Systemic corticosteroids were required in 68% (13/19) of patients; additional immunosuppressant therapy was required in 11% of patients. Hepatitis led to permanent discontinuation of KEYTRUDA in 0.2% (6) and withholding in 0.3% (9) of patients. All patients who were withheld reinitiated KEYTRUDA after symptom improvement; of these, none had recurrence. Hepatitis resolved in 79% of the 19 patients.</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color w:val="000000"/>
          <w:u w:val="single"/>
        </w:rPr>
        <w:t xml:space="preserve">Immune-Mediated </w:t>
      </w:r>
      <w:proofErr w:type="spellStart"/>
      <w:r w:rsidRPr="00D51D88">
        <w:rPr>
          <w:rFonts w:ascii="Times New Roman" w:hAnsi="Times New Roman" w:cs="Times New Roman"/>
          <w:color w:val="000000"/>
          <w:u w:val="single"/>
        </w:rPr>
        <w:t>Endocrinopathies</w:t>
      </w:r>
      <w:proofErr w:type="spellEnd"/>
    </w:p>
    <w:p w:rsidR="00D51D88" w:rsidRPr="00D51D88" w:rsidRDefault="00D51D88" w:rsidP="00D51D88">
      <w:pPr>
        <w:pStyle w:val="mtop5"/>
        <w:spacing w:before="75" w:beforeAutospacing="0" w:after="75" w:afterAutospacing="0"/>
        <w:rPr>
          <w:rFonts w:ascii="Times New Roman" w:hAnsi="Times New Roman" w:cs="Times New Roman"/>
          <w:color w:val="000000"/>
        </w:rPr>
      </w:pPr>
      <w:r w:rsidRPr="00D51D88">
        <w:rPr>
          <w:rFonts w:ascii="Times New Roman" w:hAnsi="Times New Roman" w:cs="Times New Roman"/>
          <w:i/>
          <w:iCs/>
          <w:color w:val="000000"/>
        </w:rPr>
        <w:t>Adrenal Insufficiency</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KEYTRUDA can cause primary or secondary adrenal insufficiency. For Grade 2 or higher, initiate symptomatic treatment, including hormone replacement as clinically indicated. Withhold KEYTRUDA depending on severity. Adrenal insufficiency occurred in 0.8% (22/2799) of patients receiving KEYTRUDA, including Grade 4 (&lt;0.1%), Grade 3 (0.3%), and Grade 2 (0.3%) reactions. Systemic corticosteroids were required in 77% (17/22) of patients; of these, the majority remained on systemic corticosteroids. Adrenal insufficiency led to permanent discontinuation of KEYTRUDA in &lt;0.1% (1) and withholding in 0.3% (8) of patients. All patients who were withheld reinitiated KEYTRUDA after symptom improvement.</w:t>
            </w:r>
          </w:p>
        </w:tc>
      </w:tr>
    </w:tbl>
    <w:p w:rsidR="00D51D88" w:rsidRPr="00D51D88" w:rsidRDefault="00D51D88" w:rsidP="00D51D88">
      <w:pPr>
        <w:rPr>
          <w:rFonts w:ascii="Times New Roman" w:hAnsi="Times New Roman" w:cs="Times New Roman"/>
        </w:rPr>
      </w:pPr>
      <w:proofErr w:type="spellStart"/>
      <w:r w:rsidRPr="00D51D88">
        <w:rPr>
          <w:rFonts w:ascii="Times New Roman" w:hAnsi="Times New Roman" w:cs="Times New Roman"/>
          <w:i/>
          <w:iCs/>
          <w:color w:val="000000"/>
        </w:rPr>
        <w:t>Hypophysitis</w:t>
      </w:r>
      <w:proofErr w:type="spellEnd"/>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xml:space="preserve">KEYTRUDA can cause immune-mediated </w:t>
            </w:r>
            <w:proofErr w:type="spellStart"/>
            <w:r w:rsidRPr="00D51D88">
              <w:rPr>
                <w:rFonts w:ascii="Times New Roman" w:hAnsi="Times New Roman" w:cs="Times New Roman"/>
                <w:color w:val="000000"/>
              </w:rPr>
              <w:t>hypophysitis</w:t>
            </w:r>
            <w:proofErr w:type="spellEnd"/>
            <w:r w:rsidRPr="00D51D88">
              <w:rPr>
                <w:rFonts w:ascii="Times New Roman" w:hAnsi="Times New Roman" w:cs="Times New Roman"/>
                <w:color w:val="000000"/>
              </w:rPr>
              <w:t xml:space="preserve">. </w:t>
            </w:r>
            <w:proofErr w:type="spellStart"/>
            <w:r w:rsidRPr="00D51D88">
              <w:rPr>
                <w:rFonts w:ascii="Times New Roman" w:hAnsi="Times New Roman" w:cs="Times New Roman"/>
                <w:color w:val="000000"/>
              </w:rPr>
              <w:t>Hypophysitis</w:t>
            </w:r>
            <w:proofErr w:type="spellEnd"/>
            <w:r w:rsidRPr="00D51D88">
              <w:rPr>
                <w:rFonts w:ascii="Times New Roman" w:hAnsi="Times New Roman" w:cs="Times New Roman"/>
                <w:color w:val="000000"/>
              </w:rPr>
              <w:t xml:space="preserve"> can present with acute symptoms associated with mass effect such as headache, photophobia, or visual field defects. </w:t>
            </w:r>
            <w:proofErr w:type="spellStart"/>
            <w:r w:rsidRPr="00D51D88">
              <w:rPr>
                <w:rFonts w:ascii="Times New Roman" w:hAnsi="Times New Roman" w:cs="Times New Roman"/>
                <w:color w:val="000000"/>
              </w:rPr>
              <w:t>Hypophysitis</w:t>
            </w:r>
            <w:proofErr w:type="spellEnd"/>
            <w:r w:rsidRPr="00D51D88">
              <w:rPr>
                <w:rFonts w:ascii="Times New Roman" w:hAnsi="Times New Roman" w:cs="Times New Roman"/>
                <w:color w:val="000000"/>
              </w:rPr>
              <w:t xml:space="preserve"> can cause hypopituitarism. Initiate hormone replacement as indicated. Withhold or permanently discontinue KEYTRUDA depending on severity. </w:t>
            </w:r>
            <w:proofErr w:type="spellStart"/>
            <w:r w:rsidRPr="00D51D88">
              <w:rPr>
                <w:rFonts w:ascii="Times New Roman" w:hAnsi="Times New Roman" w:cs="Times New Roman"/>
                <w:color w:val="000000"/>
              </w:rPr>
              <w:t>Hypophysitis</w:t>
            </w:r>
            <w:proofErr w:type="spellEnd"/>
            <w:r w:rsidRPr="00D51D88">
              <w:rPr>
                <w:rFonts w:ascii="Times New Roman" w:hAnsi="Times New Roman" w:cs="Times New Roman"/>
                <w:color w:val="000000"/>
              </w:rPr>
              <w:t xml:space="preserve"> occurred in 0.6% (17/2799) of patients receiving KEYTRUDA, including Grade 4 (&lt;0.1%), Grade 3 (0.3%), and Grade 2 (0.2%) reactions. Systemic corticosteroids were required in 94% (16/17) of patients; of these, the majority remained on systemic corticosteroids. </w:t>
            </w:r>
            <w:proofErr w:type="spellStart"/>
            <w:r w:rsidRPr="00D51D88">
              <w:rPr>
                <w:rFonts w:ascii="Times New Roman" w:hAnsi="Times New Roman" w:cs="Times New Roman"/>
                <w:color w:val="000000"/>
              </w:rPr>
              <w:t>Hypophysitis</w:t>
            </w:r>
            <w:proofErr w:type="spellEnd"/>
            <w:r w:rsidRPr="00D51D88">
              <w:rPr>
                <w:rFonts w:ascii="Times New Roman" w:hAnsi="Times New Roman" w:cs="Times New Roman"/>
                <w:color w:val="000000"/>
              </w:rPr>
              <w:t xml:space="preserve"> led to permanent discontinuation of KEYTRUDA in 0.1% (4) and withholding in 0.3% (7) of patients. All patients who were withheld reinitiated KEYTRUDA after symptom improvement.</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i/>
          <w:iCs/>
          <w:color w:val="000000"/>
        </w:rPr>
        <w:t>Thyroid Disorders</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lastRenderedPageBreak/>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xml:space="preserve">KEYTRUDA can cause immune-mediated thyroid disorders. Thyroiditis can present with or without </w:t>
            </w:r>
            <w:proofErr w:type="spellStart"/>
            <w:r w:rsidRPr="00D51D88">
              <w:rPr>
                <w:rFonts w:ascii="Times New Roman" w:hAnsi="Times New Roman" w:cs="Times New Roman"/>
                <w:color w:val="000000"/>
              </w:rPr>
              <w:t>endocrinopathy</w:t>
            </w:r>
            <w:proofErr w:type="spellEnd"/>
            <w:r w:rsidRPr="00D51D88">
              <w:rPr>
                <w:rFonts w:ascii="Times New Roman" w:hAnsi="Times New Roman" w:cs="Times New Roman"/>
                <w:color w:val="000000"/>
              </w:rPr>
              <w:t>. Hypothyroidism can follow hyperthyroidism. Initiate hormone replacement for hypothyroidism or institute medical management of hyperthyroidism as clinically indicated. Withhold or permanently discontinue KEYTRUDA depending on severity. Thyroiditis occurred in 0.6% (16/2799) of patients receiving KEYTRUDA, including Grade 2 (0.3%). None discontinued, but KEYTRUDA was withheld in &lt;0.1% (1) of patients.</w:t>
            </w:r>
          </w:p>
        </w:tc>
      </w:tr>
      <w:tr w:rsidR="00D51D88" w:rsidRPr="00D51D88" w:rsidTr="00D51D88">
        <w:trPr>
          <w:jc w:val="center"/>
        </w:trPr>
        <w:tc>
          <w:tcPr>
            <w:tcW w:w="18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0"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Hyperthyroidism occurred in 3.4% (96/2799) of patients receiving KEYTRUDA, including Grade 3 (0.1%) and Grade 2 (0.8%). It led to permanent discontinuation of KEYTRUDA in &lt;0.1% (2) and withholding in 0.3% (7) of patients. All patients who were withheld reinitiated KEYTRUDA after symptom improvement. Hypothyroidism occurred in 8% (237/2799) of patients receiving KEYTRUDA, including Grade 3 (0.1%) and Grade 2 (6.2%). It led to permanent discontinuation of KEYTRUDA in &lt;0.1% (1) and withholding in 0.5% (14) of patients. All patients who were withheld reinitiated KEYTRUDA after symptom improvement. The majority of patients with hypothyroidism required long-term thyroid hormone replacement.</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i/>
          <w:iCs/>
          <w:color w:val="000000"/>
        </w:rPr>
        <w:t>Type 1 Diabetes Mellitus (DM), Which Can Present With Diabetic Ketoacidosis</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Monitor patients for hyperglycemia or other signs and symptoms of diabetes. Initiate treatment with insulin as clinically indicated. Withhold KEYTRUDA depending on severity. Type 1 DM occurred in 0.2% (6/2799) of patients receiving KEYTRUDA. It led to permanent discontinuation in &lt;0.1% (1) and withholding of KEYTRUDA in &lt;0.1% (1) of patients. All patients who were withheld reinitiated KEYTRUDA after symptom improvement.</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color w:val="000000"/>
          <w:u w:val="single"/>
        </w:rPr>
        <w:t xml:space="preserve">Immune-Mediated Nephritis </w:t>
      </w:r>
      <w:proofErr w:type="gramStart"/>
      <w:r w:rsidRPr="00D51D88">
        <w:rPr>
          <w:rFonts w:ascii="Times New Roman" w:hAnsi="Times New Roman" w:cs="Times New Roman"/>
          <w:color w:val="000000"/>
          <w:u w:val="single"/>
        </w:rPr>
        <w:t>With</w:t>
      </w:r>
      <w:proofErr w:type="gramEnd"/>
      <w:r w:rsidRPr="00D51D88">
        <w:rPr>
          <w:rFonts w:ascii="Times New Roman" w:hAnsi="Times New Roman" w:cs="Times New Roman"/>
          <w:color w:val="000000"/>
          <w:u w:val="single"/>
        </w:rPr>
        <w:t xml:space="preserve"> Renal Dysfunction</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KEYTRUDA can cause immune-mediated nephritis. Immune-mediated nephritis occurred in 0.3% (9/2799) of patients receiving KEYTRUDA, including Grade 4 (&lt;0.1%), Grade 3 (0.1%), and Grade 2 (0.1%) reactions. Systemic corticosteroids were required in 89% (8/9) of patients. Nephritis led to permanent discontinuation of KEYTRUDA in 0.1% (3) and withholding in 0.1% (3) of patients. All patients who were withheld reinitiated KEYTRUDA after symptom improvement; of these, none had recurrence. Nephritis resolved in 56% of the 9 patients.</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color w:val="000000"/>
          <w:u w:val="single"/>
        </w:rPr>
        <w:t>Immune-Mediated Dermatologic Adverse Reactions</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xml:space="preserve">KEYTRUDA can cause immune-mediated rash or dermatitis. </w:t>
            </w:r>
            <w:proofErr w:type="spellStart"/>
            <w:r w:rsidRPr="00D51D88">
              <w:rPr>
                <w:rFonts w:ascii="Times New Roman" w:hAnsi="Times New Roman" w:cs="Times New Roman"/>
                <w:color w:val="000000"/>
              </w:rPr>
              <w:t>Exfoliative</w:t>
            </w:r>
            <w:proofErr w:type="spellEnd"/>
            <w:r w:rsidRPr="00D51D88">
              <w:rPr>
                <w:rFonts w:ascii="Times New Roman" w:hAnsi="Times New Roman" w:cs="Times New Roman"/>
                <w:color w:val="000000"/>
              </w:rPr>
              <w:t xml:space="preserve"> dermatitis, including Stevens-Johnson syndrome, drug rash with eosinophilia and systemic symptoms, and toxic epidermal necrolysis, has occurred with anti–PD-1/PD-L1 treatments. Topical emollients and/or topical corticosteroids may be adequate to treat mild to moderate </w:t>
            </w:r>
            <w:proofErr w:type="spellStart"/>
            <w:r w:rsidRPr="00D51D88">
              <w:rPr>
                <w:rFonts w:ascii="Times New Roman" w:hAnsi="Times New Roman" w:cs="Times New Roman"/>
                <w:color w:val="000000"/>
              </w:rPr>
              <w:t>nonexfoliative</w:t>
            </w:r>
            <w:proofErr w:type="spellEnd"/>
            <w:r w:rsidRPr="00D51D88">
              <w:rPr>
                <w:rFonts w:ascii="Times New Roman" w:hAnsi="Times New Roman" w:cs="Times New Roman"/>
                <w:color w:val="000000"/>
              </w:rPr>
              <w:t xml:space="preserve"> rashes. Withhold or permanently discontinue KEYTRUDA depending on severity. Immune-mediated dermatologic adverse reactions occurred in 1.4% (38/2799) of patients receiving KEYTRUDA, including Grade 3 (1%) and Grade 2 (0.1%) reactions. Systemic corticosteroids were required in 40% (15/38) of patients. These reactions led to permanent discontinuation in 0.1% (2) and withholding of KEYTRUDA in 0.6% (16) of patients. All patients who were withheld reinitiated KEYTRUDA after symptom improvement; of these, 6% had recurrence. The reactions resolved in 79% of the 38 patients.</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color w:val="000000"/>
          <w:u w:val="single"/>
        </w:rPr>
        <w:t>Other Immune-Mediated Adverse Reactions</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The following clinically significant immune-mediated adverse reactions occurred at an incidence of &lt;1% (unless otherwise noted) in patients who received KEYTRUDA or were reported with the use of other anti–PD-1/PD-L1 treatments. Severe or fatal cases have been reported for some of these adverse reactions. </w:t>
            </w:r>
            <w:r w:rsidRPr="00D51D88">
              <w:rPr>
                <w:rFonts w:ascii="Times New Roman" w:hAnsi="Times New Roman" w:cs="Times New Roman"/>
                <w:i/>
                <w:iCs/>
                <w:color w:val="000000"/>
              </w:rPr>
              <w:t>Cardiac/Vascular</w:t>
            </w:r>
            <w:r w:rsidRPr="00D51D88">
              <w:rPr>
                <w:rFonts w:ascii="Times New Roman" w:hAnsi="Times New Roman" w:cs="Times New Roman"/>
                <w:color w:val="000000"/>
              </w:rPr>
              <w:t>: Myocarditis, pericarditis, vasculitis; </w:t>
            </w:r>
            <w:r w:rsidRPr="00D51D88">
              <w:rPr>
                <w:rFonts w:ascii="Times New Roman" w:hAnsi="Times New Roman" w:cs="Times New Roman"/>
                <w:i/>
                <w:iCs/>
                <w:color w:val="000000"/>
              </w:rPr>
              <w:t>Nervous System</w:t>
            </w:r>
            <w:r w:rsidRPr="00D51D88">
              <w:rPr>
                <w:rFonts w:ascii="Times New Roman" w:hAnsi="Times New Roman" w:cs="Times New Roman"/>
                <w:color w:val="000000"/>
              </w:rPr>
              <w:t xml:space="preserve">: Meningitis, encephalitis, myelitis and demyelination, </w:t>
            </w:r>
            <w:proofErr w:type="spellStart"/>
            <w:r w:rsidRPr="00D51D88">
              <w:rPr>
                <w:rFonts w:ascii="Times New Roman" w:hAnsi="Times New Roman" w:cs="Times New Roman"/>
                <w:color w:val="000000"/>
              </w:rPr>
              <w:t>myasthenic</w:t>
            </w:r>
            <w:proofErr w:type="spellEnd"/>
            <w:r w:rsidRPr="00D51D88">
              <w:rPr>
                <w:rFonts w:ascii="Times New Roman" w:hAnsi="Times New Roman" w:cs="Times New Roman"/>
                <w:color w:val="000000"/>
              </w:rPr>
              <w:t xml:space="preserve"> syndrome/myasthenia gravis (including exacerbation), </w:t>
            </w:r>
            <w:proofErr w:type="spellStart"/>
            <w:r w:rsidRPr="00D51D88">
              <w:rPr>
                <w:rFonts w:ascii="Times New Roman" w:hAnsi="Times New Roman" w:cs="Times New Roman"/>
                <w:color w:val="000000"/>
              </w:rPr>
              <w:t>Guillain-Barré</w:t>
            </w:r>
            <w:proofErr w:type="spellEnd"/>
            <w:r w:rsidRPr="00D51D88">
              <w:rPr>
                <w:rFonts w:ascii="Times New Roman" w:hAnsi="Times New Roman" w:cs="Times New Roman"/>
                <w:color w:val="000000"/>
              </w:rPr>
              <w:t xml:space="preserve"> syndrome, nerve paresis, autoimmune neuropathy; </w:t>
            </w:r>
            <w:r w:rsidRPr="00D51D88">
              <w:rPr>
                <w:rFonts w:ascii="Times New Roman" w:hAnsi="Times New Roman" w:cs="Times New Roman"/>
                <w:i/>
                <w:iCs/>
                <w:color w:val="000000"/>
              </w:rPr>
              <w:t>Ocular</w:t>
            </w:r>
            <w:r w:rsidRPr="00D51D88">
              <w:rPr>
                <w:rFonts w:ascii="Times New Roman" w:hAnsi="Times New Roman" w:cs="Times New Roman"/>
                <w:color w:val="000000"/>
              </w:rPr>
              <w:t>: Uveitis, iritis and other ocular inflammatory toxicities can occur. Some cases can be associated with retinal detachment. Various grades of visual impairment, including blindness, can occur. If uveitis occurs in combination with other immune-mediated adverse reactions, consider a Vogt-</w:t>
            </w:r>
            <w:proofErr w:type="spellStart"/>
            <w:r w:rsidRPr="00D51D88">
              <w:rPr>
                <w:rFonts w:ascii="Times New Roman" w:hAnsi="Times New Roman" w:cs="Times New Roman"/>
                <w:color w:val="000000"/>
              </w:rPr>
              <w:t>Koyanagi</w:t>
            </w:r>
            <w:proofErr w:type="spellEnd"/>
            <w:r w:rsidRPr="00D51D88">
              <w:rPr>
                <w:rFonts w:ascii="Times New Roman" w:hAnsi="Times New Roman" w:cs="Times New Roman"/>
                <w:color w:val="000000"/>
              </w:rPr>
              <w:t>-Harada-like syndrome, as this may require treatment with systemic steroids to reduce the risk of permanent vision loss; </w:t>
            </w:r>
            <w:r w:rsidRPr="00D51D88">
              <w:rPr>
                <w:rFonts w:ascii="Times New Roman" w:hAnsi="Times New Roman" w:cs="Times New Roman"/>
                <w:i/>
                <w:iCs/>
                <w:color w:val="000000"/>
              </w:rPr>
              <w:t>Gastrointestinal</w:t>
            </w:r>
            <w:r w:rsidRPr="00D51D88">
              <w:rPr>
                <w:rFonts w:ascii="Times New Roman" w:hAnsi="Times New Roman" w:cs="Times New Roman"/>
                <w:color w:val="000000"/>
              </w:rPr>
              <w:t xml:space="preserve">: Pancreatitis, to include increases in serum amylase and lipase levels, gastritis, </w:t>
            </w:r>
            <w:proofErr w:type="spellStart"/>
            <w:r w:rsidRPr="00D51D88">
              <w:rPr>
                <w:rFonts w:ascii="Times New Roman" w:hAnsi="Times New Roman" w:cs="Times New Roman"/>
                <w:color w:val="000000"/>
              </w:rPr>
              <w:t>duodenitis</w:t>
            </w:r>
            <w:proofErr w:type="spellEnd"/>
            <w:r w:rsidRPr="00D51D88">
              <w:rPr>
                <w:rFonts w:ascii="Times New Roman" w:hAnsi="Times New Roman" w:cs="Times New Roman"/>
                <w:color w:val="000000"/>
              </w:rPr>
              <w:t>; </w:t>
            </w:r>
            <w:r w:rsidRPr="00D51D88">
              <w:rPr>
                <w:rFonts w:ascii="Times New Roman" w:hAnsi="Times New Roman" w:cs="Times New Roman"/>
                <w:i/>
                <w:iCs/>
                <w:color w:val="000000"/>
              </w:rPr>
              <w:t>Musculoskeletal and Connective Tissue</w:t>
            </w:r>
            <w:r w:rsidRPr="00D51D88">
              <w:rPr>
                <w:rFonts w:ascii="Times New Roman" w:hAnsi="Times New Roman" w:cs="Times New Roman"/>
                <w:color w:val="000000"/>
              </w:rPr>
              <w:t>: Myositis/</w:t>
            </w:r>
            <w:proofErr w:type="spellStart"/>
            <w:r w:rsidRPr="00D51D88">
              <w:rPr>
                <w:rFonts w:ascii="Times New Roman" w:hAnsi="Times New Roman" w:cs="Times New Roman"/>
                <w:color w:val="000000"/>
              </w:rPr>
              <w:t>polymyositis</w:t>
            </w:r>
            <w:proofErr w:type="spellEnd"/>
            <w:r w:rsidRPr="00D51D88">
              <w:rPr>
                <w:rFonts w:ascii="Times New Roman" w:hAnsi="Times New Roman" w:cs="Times New Roman"/>
                <w:color w:val="000000"/>
              </w:rPr>
              <w:t xml:space="preserve">, </w:t>
            </w:r>
            <w:r w:rsidRPr="00D51D88">
              <w:rPr>
                <w:rFonts w:ascii="Times New Roman" w:hAnsi="Times New Roman" w:cs="Times New Roman"/>
                <w:color w:val="000000"/>
              </w:rPr>
              <w:lastRenderedPageBreak/>
              <w:t xml:space="preserve">rhabdomyolysis (and associated sequelae, including renal failure), arthritis (1.5%), polymyalgia </w:t>
            </w:r>
            <w:proofErr w:type="spellStart"/>
            <w:r w:rsidRPr="00D51D88">
              <w:rPr>
                <w:rFonts w:ascii="Times New Roman" w:hAnsi="Times New Roman" w:cs="Times New Roman"/>
                <w:color w:val="000000"/>
              </w:rPr>
              <w:t>rheumatica</w:t>
            </w:r>
            <w:proofErr w:type="spellEnd"/>
            <w:r w:rsidRPr="00D51D88">
              <w:rPr>
                <w:rFonts w:ascii="Times New Roman" w:hAnsi="Times New Roman" w:cs="Times New Roman"/>
                <w:color w:val="000000"/>
              </w:rPr>
              <w:t>; </w:t>
            </w:r>
            <w:r w:rsidRPr="00D51D88">
              <w:rPr>
                <w:rFonts w:ascii="Times New Roman" w:hAnsi="Times New Roman" w:cs="Times New Roman"/>
                <w:i/>
                <w:iCs/>
                <w:color w:val="000000"/>
              </w:rPr>
              <w:t>Endocrine</w:t>
            </w:r>
            <w:r w:rsidRPr="00D51D88">
              <w:rPr>
                <w:rFonts w:ascii="Times New Roman" w:hAnsi="Times New Roman" w:cs="Times New Roman"/>
                <w:color w:val="000000"/>
              </w:rPr>
              <w:t>: Hypoparathyroidism; </w:t>
            </w:r>
            <w:r w:rsidRPr="00D51D88">
              <w:rPr>
                <w:rFonts w:ascii="Times New Roman" w:hAnsi="Times New Roman" w:cs="Times New Roman"/>
                <w:i/>
                <w:iCs/>
                <w:color w:val="000000"/>
              </w:rPr>
              <w:t>Hematologic/Immune</w:t>
            </w:r>
            <w:r w:rsidRPr="00D51D88">
              <w:rPr>
                <w:rFonts w:ascii="Times New Roman" w:hAnsi="Times New Roman" w:cs="Times New Roman"/>
                <w:color w:val="000000"/>
              </w:rPr>
              <w:t xml:space="preserve">: Hemolytic anemia, aplastic anemia, </w:t>
            </w:r>
            <w:proofErr w:type="spellStart"/>
            <w:r w:rsidRPr="00D51D88">
              <w:rPr>
                <w:rFonts w:ascii="Times New Roman" w:hAnsi="Times New Roman" w:cs="Times New Roman"/>
                <w:color w:val="000000"/>
              </w:rPr>
              <w:t>hemophagocytic</w:t>
            </w:r>
            <w:proofErr w:type="spellEnd"/>
            <w:r w:rsidRPr="00D51D88">
              <w:rPr>
                <w:rFonts w:ascii="Times New Roman" w:hAnsi="Times New Roman" w:cs="Times New Roman"/>
                <w:color w:val="000000"/>
              </w:rPr>
              <w:t xml:space="preserve"> </w:t>
            </w:r>
            <w:proofErr w:type="spellStart"/>
            <w:r w:rsidRPr="00D51D88">
              <w:rPr>
                <w:rFonts w:ascii="Times New Roman" w:hAnsi="Times New Roman" w:cs="Times New Roman"/>
                <w:color w:val="000000"/>
              </w:rPr>
              <w:t>lymphohistiocytosis</w:t>
            </w:r>
            <w:proofErr w:type="spellEnd"/>
            <w:r w:rsidRPr="00D51D88">
              <w:rPr>
                <w:rFonts w:ascii="Times New Roman" w:hAnsi="Times New Roman" w:cs="Times New Roman"/>
                <w:color w:val="000000"/>
              </w:rPr>
              <w:t>, systemic inflammatory response syndrome, histiocytic necrotizing lymphadenitis (Kikuchi lymphadenitis), sarcoidosis, immune thrombocytopenic purpura, solid organ transplant rejection.</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b/>
          <w:bCs/>
          <w:color w:val="000000"/>
        </w:rPr>
        <w:lastRenderedPageBreak/>
        <w:t>Infusion-Related Reactions</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KEYTRUDA can cause severe or life-threatening infusion-related reactions, including hypersensitivity and anaphylaxis, which have been reported in 0.2% of 2799 patients receiving KEYTRUDA. Monitor for signs and symptoms of infusion-related reactions. Interrupt or slow the rate of infusion for Grade 1 or Grade 2 reactions. For Grade 3 or Grade 4 reactions, stop infusion and permanently discontinue KEYTRUDA.</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b/>
          <w:bCs/>
          <w:color w:val="000000"/>
        </w:rPr>
        <w:t>Complications of Allogeneic Hematopoietic Stem Cell Transplantation (HSCT)</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xml:space="preserve">Fatal and other serious complications can occur in patients who receive allogeneic HSCT before or after anti–PD-1/PD-L1 treatments. Transplant-related complications include </w:t>
            </w:r>
            <w:proofErr w:type="spellStart"/>
            <w:r w:rsidRPr="00D51D88">
              <w:rPr>
                <w:rFonts w:ascii="Times New Roman" w:hAnsi="Times New Roman" w:cs="Times New Roman"/>
                <w:color w:val="000000"/>
              </w:rPr>
              <w:t>hyperacute</w:t>
            </w:r>
            <w:proofErr w:type="spellEnd"/>
            <w:r w:rsidRPr="00D51D88">
              <w:rPr>
                <w:rFonts w:ascii="Times New Roman" w:hAnsi="Times New Roman" w:cs="Times New Roman"/>
                <w:color w:val="000000"/>
              </w:rPr>
              <w:t xml:space="preserve"> graft-versus-host disease (GVHD), acute and chronic GVHD, hepatic </w:t>
            </w:r>
            <w:proofErr w:type="spellStart"/>
            <w:r w:rsidRPr="00D51D88">
              <w:rPr>
                <w:rFonts w:ascii="Times New Roman" w:hAnsi="Times New Roman" w:cs="Times New Roman"/>
                <w:color w:val="000000"/>
              </w:rPr>
              <w:t>veno</w:t>
            </w:r>
            <w:proofErr w:type="spellEnd"/>
            <w:r w:rsidRPr="00D51D88">
              <w:rPr>
                <w:rFonts w:ascii="Times New Roman" w:hAnsi="Times New Roman" w:cs="Times New Roman"/>
                <w:color w:val="000000"/>
              </w:rPr>
              <w:t>-occlusive disease after reduced intensity conditioning, and steroid-requiring febrile syndrome (without an identified infectious cause). These complications may occur despite intervening therapy between anti– programmed death receptor-1 (PD-1)/PD-L1 treatments and allogeneic HSCT. Follow patients closely for evidence of these complications and intervene promptly. Consider the benefit vs risks of using anti–PD-1/PD-L1 treatments prior to or after an allogeneic HSCT.</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b/>
          <w:bCs/>
          <w:color w:val="000000"/>
        </w:rPr>
        <w:t xml:space="preserve">Increased Mortality in Patients </w:t>
      </w:r>
      <w:proofErr w:type="gramStart"/>
      <w:r w:rsidRPr="00D51D88">
        <w:rPr>
          <w:rFonts w:ascii="Times New Roman" w:hAnsi="Times New Roman" w:cs="Times New Roman"/>
          <w:b/>
          <w:bCs/>
          <w:color w:val="000000"/>
        </w:rPr>
        <w:t>With</w:t>
      </w:r>
      <w:proofErr w:type="gramEnd"/>
      <w:r w:rsidRPr="00D51D88">
        <w:rPr>
          <w:rFonts w:ascii="Times New Roman" w:hAnsi="Times New Roman" w:cs="Times New Roman"/>
          <w:b/>
          <w:bCs/>
          <w:color w:val="000000"/>
        </w:rPr>
        <w:t xml:space="preserve"> Multiple Myeloma</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In trials in patients with multiple myeloma, the addition of KEYTRUDA to a thalidomide analogue plus dexamethasone resulted in increased mortality. Treatment of these patients with an anti–PD-1/PD-L1 treatment in this combination is not recommended outside of controlled trials.</w:t>
            </w:r>
          </w:p>
        </w:tc>
      </w:tr>
    </w:tbl>
    <w:p w:rsidR="00D51D88" w:rsidRPr="00D51D88" w:rsidRDefault="00D51D88" w:rsidP="00D51D88">
      <w:pPr>
        <w:rPr>
          <w:rFonts w:ascii="Times New Roman" w:hAnsi="Times New Roman" w:cs="Times New Roman"/>
        </w:rPr>
      </w:pPr>
      <w:proofErr w:type="spellStart"/>
      <w:r w:rsidRPr="00D51D88">
        <w:rPr>
          <w:rFonts w:ascii="Times New Roman" w:hAnsi="Times New Roman" w:cs="Times New Roman"/>
          <w:b/>
          <w:bCs/>
          <w:color w:val="000000"/>
        </w:rPr>
        <w:t>Embryofetal</w:t>
      </w:r>
      <w:proofErr w:type="spellEnd"/>
      <w:r w:rsidRPr="00D51D88">
        <w:rPr>
          <w:rFonts w:ascii="Times New Roman" w:hAnsi="Times New Roman" w:cs="Times New Roman"/>
          <w:b/>
          <w:bCs/>
          <w:color w:val="000000"/>
        </w:rPr>
        <w:t xml:space="preserve"> Toxicity</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Based on its mechanism of action, KEYTRUDA can cause fetal harm when administered to a pregnant woman. Advise women of this potential risk. In females of reproductive potential, verify pregnancy status prior to initiating KEYTRUDA and advise them to use effective contraception during treatment and for 4 months after the last dose.</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b/>
          <w:bCs/>
          <w:color w:val="000000"/>
        </w:rPr>
        <w:t>Adverse Reactions</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75"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 xml:space="preserve">In KEYNOTE-355, when KEYTRUDA and chemotherapy (paclitaxel, paclitaxel protein-bound, or gemcitabine and carboplatin) were administered to patients with locally recurrent </w:t>
            </w:r>
            <w:proofErr w:type="spellStart"/>
            <w:r w:rsidRPr="00D51D88">
              <w:rPr>
                <w:rFonts w:ascii="Times New Roman" w:hAnsi="Times New Roman" w:cs="Times New Roman"/>
                <w:color w:val="000000"/>
              </w:rPr>
              <w:t>unresectable</w:t>
            </w:r>
            <w:proofErr w:type="spellEnd"/>
            <w:r w:rsidRPr="00D51D88">
              <w:rPr>
                <w:rFonts w:ascii="Times New Roman" w:hAnsi="Times New Roman" w:cs="Times New Roman"/>
                <w:color w:val="000000"/>
              </w:rPr>
              <w:t xml:space="preserve"> or metastatic TNBC who had not been previously treated with chemotherapy in the metastatic setting (n=596), fatal adverse reactions occurred in 2.5% of patients, including cardio-respiratory arrest (0.7%) and septic shock (0.3%). Serious adverse reactions occurred in 30% of patients receiving KEYTRUDA in combination with chemotherapy; the serious reactions in ≥2% were pneumonia (2.9%), anemia (2.2%), and thrombocytopenia (2%). KEYTRUDA was discontinued in 11% of patients due to adverse reactions. The most common reactions resulting in permanent discontinuation (≥1%) were increased ALT (2.2%), increased AST (1.5%), and pneumonitis (1.2%). The most common adverse reactions (≥20%) in patients receiving KEYTRUDA in combination with chemotherapy were fatigue (48%), nausea (44%), alopecia (34%), diarrhea and constipation (28% each), vomiting and rash (26% each), cough (23%), decreased appetite (21%), and headache (20%).</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b/>
          <w:bCs/>
          <w:color w:val="000000"/>
        </w:rPr>
        <w:t>Lactation</w:t>
      </w:r>
    </w:p>
    <w:tbl>
      <w:tblPr>
        <w:tblW w:w="9000" w:type="dxa"/>
        <w:jc w:val="center"/>
        <w:shd w:val="clear" w:color="auto" w:fill="FFFFFF"/>
        <w:tblCellMar>
          <w:left w:w="0" w:type="dxa"/>
          <w:right w:w="0" w:type="dxa"/>
        </w:tblCellMar>
        <w:tblLook w:val="04A0" w:firstRow="1" w:lastRow="0" w:firstColumn="1" w:lastColumn="0" w:noHBand="0" w:noVBand="1"/>
      </w:tblPr>
      <w:tblGrid>
        <w:gridCol w:w="180"/>
        <w:gridCol w:w="8820"/>
      </w:tblGrid>
      <w:tr w:rsidR="00D51D88" w:rsidRPr="00D51D88" w:rsidTr="00D51D88">
        <w:trPr>
          <w:jc w:val="center"/>
        </w:trPr>
        <w:tc>
          <w:tcPr>
            <w:tcW w:w="180" w:type="dxa"/>
            <w:shd w:val="clear" w:color="auto" w:fill="FFFFFF"/>
            <w:tcMar>
              <w:top w:w="75" w:type="dxa"/>
              <w:left w:w="0" w:type="dxa"/>
              <w:bottom w:w="300"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w:t>
            </w:r>
          </w:p>
        </w:tc>
        <w:tc>
          <w:tcPr>
            <w:tcW w:w="8820" w:type="dxa"/>
            <w:shd w:val="clear" w:color="auto" w:fill="FFFFFF"/>
            <w:tcMar>
              <w:top w:w="75" w:type="dxa"/>
              <w:left w:w="0" w:type="dxa"/>
              <w:bottom w:w="300" w:type="dxa"/>
              <w:right w:w="0" w:type="dxa"/>
            </w:tcMar>
            <w:hideMark/>
          </w:tcPr>
          <w:p w:rsidR="00D51D88" w:rsidRPr="00D51D88" w:rsidRDefault="00D51D88">
            <w:pPr>
              <w:rPr>
                <w:rFonts w:ascii="Times New Roman" w:hAnsi="Times New Roman" w:cs="Times New Roman"/>
              </w:rPr>
            </w:pPr>
            <w:r w:rsidRPr="00D51D88">
              <w:rPr>
                <w:rFonts w:ascii="Times New Roman" w:hAnsi="Times New Roman" w:cs="Times New Roman"/>
                <w:color w:val="000000"/>
              </w:rPr>
              <w:t>Because of the potential for serious adverse reactions in breastfed children, advise women not to breastfeed during treatment and for 4 months after the final dose</w:t>
            </w:r>
          </w:p>
        </w:tc>
      </w:tr>
    </w:tbl>
    <w:p w:rsidR="00D51D88" w:rsidRPr="00D51D88" w:rsidRDefault="00D51D88" w:rsidP="00D51D88">
      <w:pPr>
        <w:rPr>
          <w:rFonts w:ascii="Times New Roman" w:hAnsi="Times New Roman" w:cs="Times New Roman"/>
        </w:rPr>
      </w:pPr>
      <w:r w:rsidRPr="00D51D88">
        <w:rPr>
          <w:rFonts w:ascii="Times New Roman" w:hAnsi="Times New Roman" w:cs="Times New Roman"/>
          <w:b/>
          <w:bCs/>
          <w:color w:val="000000"/>
        </w:rPr>
        <w:t>Before prescribing KEYTRUDA</w:t>
      </w:r>
      <w:r w:rsidRPr="00D51D88">
        <w:rPr>
          <w:rFonts w:ascii="Times New Roman" w:hAnsi="Times New Roman" w:cs="Times New Roman"/>
          <w:b/>
          <w:bCs/>
          <w:color w:val="000000"/>
          <w:vertAlign w:val="superscript"/>
        </w:rPr>
        <w:t>®</w:t>
      </w:r>
      <w:r w:rsidRPr="00D51D88">
        <w:rPr>
          <w:rFonts w:ascii="Times New Roman" w:hAnsi="Times New Roman" w:cs="Times New Roman"/>
          <w:b/>
          <w:bCs/>
          <w:color w:val="000000"/>
        </w:rPr>
        <w:t> (</w:t>
      </w:r>
      <w:proofErr w:type="spellStart"/>
      <w:r w:rsidRPr="00D51D88">
        <w:rPr>
          <w:rFonts w:ascii="Times New Roman" w:hAnsi="Times New Roman" w:cs="Times New Roman"/>
          <w:b/>
          <w:bCs/>
          <w:color w:val="000000"/>
        </w:rPr>
        <w:t>pembrolizumab</w:t>
      </w:r>
      <w:proofErr w:type="spellEnd"/>
      <w:r w:rsidRPr="00D51D88">
        <w:rPr>
          <w:rFonts w:ascii="Times New Roman" w:hAnsi="Times New Roman" w:cs="Times New Roman"/>
          <w:b/>
          <w:bCs/>
          <w:color w:val="000000"/>
        </w:rPr>
        <w:t>), please read the </w:t>
      </w:r>
      <w:hyperlink r:id="rId5" w:tgtFrame="_blank" w:history="1">
        <w:r w:rsidRPr="00D51D88">
          <w:rPr>
            <w:rStyle w:val="Hyperlink"/>
            <w:rFonts w:ascii="Times New Roman" w:hAnsi="Times New Roman" w:cs="Times New Roman"/>
            <w:b/>
            <w:bCs/>
            <w:color w:val="215E9E"/>
          </w:rPr>
          <w:t>Prescribing Information</w:t>
        </w:r>
      </w:hyperlink>
      <w:r w:rsidRPr="00D51D88">
        <w:rPr>
          <w:rFonts w:ascii="Times New Roman" w:hAnsi="Times New Roman" w:cs="Times New Roman"/>
          <w:b/>
          <w:bCs/>
          <w:color w:val="000000"/>
        </w:rPr>
        <w:t>.</w:t>
      </w:r>
      <w:r w:rsidRPr="00D51D88">
        <w:rPr>
          <w:rFonts w:ascii="Times New Roman" w:hAnsi="Times New Roman" w:cs="Times New Roman"/>
          <w:b/>
          <w:bCs/>
          <w:color w:val="000000"/>
        </w:rPr>
        <w:br/>
        <w:t>The </w:t>
      </w:r>
      <w:hyperlink r:id="rId6" w:tgtFrame="_blank" w:history="1">
        <w:r w:rsidRPr="00D51D88">
          <w:rPr>
            <w:rStyle w:val="Hyperlink"/>
            <w:rFonts w:ascii="Times New Roman" w:hAnsi="Times New Roman" w:cs="Times New Roman"/>
            <w:b/>
            <w:bCs/>
            <w:color w:val="215E9E"/>
          </w:rPr>
          <w:t>Medication Guide</w:t>
        </w:r>
      </w:hyperlink>
      <w:r w:rsidRPr="00D51D88">
        <w:rPr>
          <w:rFonts w:ascii="Times New Roman" w:hAnsi="Times New Roman" w:cs="Times New Roman"/>
          <w:b/>
          <w:bCs/>
          <w:color w:val="000000"/>
        </w:rPr>
        <w:t> also is available.</w:t>
      </w:r>
    </w:p>
    <w:p w:rsidR="001657AC" w:rsidRPr="00D51D88" w:rsidRDefault="00D51D88" w:rsidP="00D51D88">
      <w:pPr>
        <w:rPr>
          <w:rFonts w:ascii="Times New Roman" w:hAnsi="Times New Roman" w:cs="Times New Roman"/>
        </w:rPr>
      </w:pPr>
      <w:r w:rsidRPr="00D51D88">
        <w:rPr>
          <w:rFonts w:ascii="Times New Roman" w:hAnsi="Times New Roman" w:cs="Times New Roman"/>
          <w:b/>
          <w:bCs/>
          <w:color w:val="000000"/>
        </w:rPr>
        <w:t>For prescribers: </w:t>
      </w:r>
      <w:hyperlink r:id="rId7" w:tgtFrame="_blank" w:history="1">
        <w:r w:rsidRPr="00D51D88">
          <w:rPr>
            <w:rStyle w:val="Hyperlink"/>
            <w:rFonts w:ascii="Times New Roman" w:hAnsi="Times New Roman" w:cs="Times New Roman"/>
            <w:b/>
            <w:bCs/>
            <w:color w:val="215E9E"/>
          </w:rPr>
          <w:t>please click</w:t>
        </w:r>
      </w:hyperlink>
      <w:r w:rsidRPr="00D51D88">
        <w:rPr>
          <w:rFonts w:ascii="Times New Roman" w:hAnsi="Times New Roman" w:cs="Times New Roman"/>
          <w:b/>
          <w:bCs/>
          <w:color w:val="000000"/>
        </w:rPr>
        <w:t> here for state-required price disclosures.</w:t>
      </w:r>
    </w:p>
    <w:sectPr w:rsidR="001657AC" w:rsidRPr="00D51D88" w:rsidSect="00D51D88">
      <w:pgSz w:w="12240" w:h="15840"/>
      <w:pgMar w:top="108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51540"/>
    <w:multiLevelType w:val="hybridMultilevel"/>
    <w:tmpl w:val="BCB60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D88"/>
    <w:rsid w:val="001657AC"/>
    <w:rsid w:val="009F3102"/>
    <w:rsid w:val="00D5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6F65D"/>
  <w15:chartTrackingRefBased/>
  <w15:docId w15:val="{7420784D-FEC2-48A1-8763-2E4F4A7AF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D8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1D88"/>
    <w:rPr>
      <w:color w:val="0563C1"/>
      <w:u w:val="single"/>
    </w:rPr>
  </w:style>
  <w:style w:type="paragraph" w:customStyle="1" w:styleId="mtop5">
    <w:name w:val="m_top_5"/>
    <w:basedOn w:val="Normal"/>
    <w:rsid w:val="00D51D88"/>
    <w:pPr>
      <w:spacing w:before="100" w:beforeAutospacing="1" w:after="100" w:afterAutospacing="1"/>
    </w:pPr>
  </w:style>
  <w:style w:type="paragraph" w:styleId="ListParagraph">
    <w:name w:val="List Paragraph"/>
    <w:basedOn w:val="Normal"/>
    <w:uiPriority w:val="34"/>
    <w:qFormat/>
    <w:rsid w:val="00D51D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05921">
      <w:bodyDiv w:val="1"/>
      <w:marLeft w:val="0"/>
      <w:marRight w:val="0"/>
      <w:marTop w:val="0"/>
      <w:marBottom w:val="0"/>
      <w:divBdr>
        <w:top w:val="none" w:sz="0" w:space="0" w:color="auto"/>
        <w:left w:val="none" w:sz="0" w:space="0" w:color="auto"/>
        <w:bottom w:val="none" w:sz="0" w:space="0" w:color="auto"/>
        <w:right w:val="none" w:sz="0" w:space="0" w:color="auto"/>
      </w:divBdr>
    </w:div>
    <w:div w:id="14934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erckconnect.com/pricing-disclos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rck.com/product/usa/pi_circulars/k/keytruda/keytruda_mg.pdf" TargetMode="External"/><Relationship Id="rId5" Type="http://schemas.openxmlformats.org/officeDocument/2006/relationships/hyperlink" Target="https://www.merck.com/product/usa/pi_circulars/k/keytruda/keytruda_pi.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2900</Words>
  <Characters>16533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Alfaro</dc:creator>
  <cp:keywords/>
  <dc:description/>
  <cp:lastModifiedBy>Wendy Alfaro</cp:lastModifiedBy>
  <cp:revision>1</cp:revision>
  <dcterms:created xsi:type="dcterms:W3CDTF">2020-12-09T23:43:00Z</dcterms:created>
  <dcterms:modified xsi:type="dcterms:W3CDTF">2020-12-10T00:24:00Z</dcterms:modified>
</cp:coreProperties>
</file>