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D7" w:rsidRPr="006949D7" w:rsidRDefault="006949D7">
      <w:pPr>
        <w:rPr>
          <w:b/>
          <w:bCs/>
          <w:sz w:val="28"/>
          <w:szCs w:val="28"/>
        </w:rPr>
      </w:pPr>
      <w:r w:rsidRPr="006949D7">
        <w:rPr>
          <w:b/>
          <w:bCs/>
          <w:sz w:val="28"/>
          <w:szCs w:val="28"/>
        </w:rPr>
        <w:t>340B-P: Reforming the 340B Program to Ensure Direct Benefits for Patients</w:t>
      </w:r>
    </w:p>
    <w:p w:rsidR="006949D7" w:rsidRPr="006949D7" w:rsidRDefault="006949D7">
      <w:pPr>
        <w:rPr>
          <w:b/>
          <w:bCs/>
        </w:rPr>
      </w:pPr>
      <w:r w:rsidRPr="006949D7">
        <w:rPr>
          <w:b/>
          <w:bCs/>
        </w:rPr>
        <w:t>Overview</w:t>
      </w:r>
    </w:p>
    <w:p w:rsidR="006949D7" w:rsidRDefault="006949D7" w:rsidP="006949D7">
      <w:pPr>
        <w:spacing w:line="240" w:lineRule="auto"/>
      </w:pPr>
      <w:r>
        <w:t>COA is proposing a significant shift in the structure of the current 340B program to ensure that patients benefit directly from manufacturer discounts on outpatient drugs. The proposal contains 3 key components:</w:t>
      </w:r>
    </w:p>
    <w:p w:rsidR="006949D7" w:rsidRDefault="006949D7" w:rsidP="006949D7">
      <w:pPr>
        <w:pStyle w:val="ListParagraph"/>
        <w:numPr>
          <w:ilvl w:val="0"/>
          <w:numId w:val="1"/>
        </w:numPr>
        <w:spacing w:line="240" w:lineRule="auto"/>
      </w:pPr>
      <w:r>
        <w:t>Shifting eligibility from certain Covered Entities (CEs) to patients</w:t>
      </w:r>
    </w:p>
    <w:p w:rsidR="006949D7" w:rsidRDefault="006949D7" w:rsidP="006949D7">
      <w:pPr>
        <w:pStyle w:val="ListParagraph"/>
        <w:numPr>
          <w:ilvl w:val="0"/>
          <w:numId w:val="1"/>
        </w:numPr>
        <w:spacing w:line="240" w:lineRule="auto"/>
      </w:pPr>
      <w:r>
        <w:t>Collecting current discounts on 340B products to establish a Patient Assistance Fund</w:t>
      </w:r>
    </w:p>
    <w:p w:rsidR="006949D7" w:rsidRDefault="006949D7" w:rsidP="006949D7">
      <w:pPr>
        <w:pStyle w:val="ListParagraph"/>
        <w:numPr>
          <w:ilvl w:val="0"/>
          <w:numId w:val="1"/>
        </w:numPr>
        <w:spacing w:line="240" w:lineRule="auto"/>
      </w:pPr>
      <w:r>
        <w:t>Using funds to reduce patient cost-sharing on outpatient drugs</w:t>
      </w:r>
    </w:p>
    <w:p w:rsidR="006949D7" w:rsidRDefault="006949D7" w:rsidP="006949D7">
      <w:pPr>
        <w:spacing w:line="240" w:lineRule="auto"/>
      </w:pPr>
      <w:r>
        <w:t xml:space="preserve">In </w:t>
      </w:r>
      <w:r w:rsidR="006267B0">
        <w:t>2020</w:t>
      </w:r>
      <w:r>
        <w:t>, it was projected that $</w:t>
      </w:r>
      <w:r w:rsidR="006267B0">
        <w:t>38</w:t>
      </w:r>
      <w:r>
        <w:t xml:space="preserve"> billion in discounts were provided by manufacturers for outpatient drugs acquired via the 340B program. Of this total, DSH hospitals benefited from $</w:t>
      </w:r>
      <w:r w:rsidR="006267B0">
        <w:t>30.8</w:t>
      </w:r>
      <w:r>
        <w:t xml:space="preserve"> billion in discounts. However, there is very little accountability for DSH hospitals to ensure that these discounts are used in ways that directly benefit patients. Therefore, COA is proposing a “follow-the-patient” model that would allow for lower-income patients to benefit from the extensive discounts currently available to DSH hospitals </w:t>
      </w:r>
      <w:r w:rsidR="00533FDA">
        <w:t xml:space="preserve">for outpatient drugs </w:t>
      </w:r>
      <w:r>
        <w:t xml:space="preserve">regardless of where they </w:t>
      </w:r>
      <w:r w:rsidR="00533FDA">
        <w:t>seek care</w:t>
      </w:r>
      <w:r>
        <w:t xml:space="preserve">. </w:t>
      </w:r>
    </w:p>
    <w:p w:rsidR="006949D7" w:rsidRPr="006949D7" w:rsidRDefault="006949D7" w:rsidP="006949D7">
      <w:pPr>
        <w:rPr>
          <w:b/>
          <w:bCs/>
        </w:rPr>
      </w:pPr>
      <w:r>
        <w:rPr>
          <w:b/>
          <w:bCs/>
        </w:rPr>
        <w:t>Eligibility Changes</w:t>
      </w:r>
    </w:p>
    <w:p w:rsidR="006949D7" w:rsidRDefault="00D470FA" w:rsidP="006949D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AD948" wp14:editId="241ECAA4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359150" cy="850900"/>
                <wp:effectExtent l="0" t="0" r="31750" b="2540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850900"/>
                        </a:xfrm>
                        <a:prstGeom prst="homePlate">
                          <a:avLst>
                            <a:gd name="adj" fmla="val 25974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9D7" w:rsidRDefault="006949D7" w:rsidP="006949D7">
                            <w:pPr>
                              <w:jc w:val="center"/>
                            </w:pPr>
                            <w:r>
                              <w:t>DSH hospitals would no longer qualify as 340B CEs and would not have access to discounted products</w:t>
                            </w:r>
                          </w:p>
                          <w:p w:rsidR="006949D7" w:rsidRPr="006949D7" w:rsidRDefault="006949D7" w:rsidP="006949D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49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Note: This proposal would not impact other 340B CEs </w:t>
                            </w:r>
                            <w:r w:rsidR="00181F7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such as</w:t>
                            </w:r>
                            <w:r w:rsidRPr="006949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1C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specialized clinics,</w:t>
                            </w:r>
                            <w:r w:rsidR="00181F7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centers,</w:t>
                            </w:r>
                            <w:r w:rsidR="00FE1C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grantees, or other hospital types</w:t>
                            </w:r>
                          </w:p>
                          <w:p w:rsidR="006949D7" w:rsidRDefault="006949D7" w:rsidP="0069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D9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0;margin-top:2.4pt;width:264.5pt;height:6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" adj="20179" fillcolor="#1f3763 [1604]" strokecolor="#1f3763 [1604]" strokeweight="1pt">
                <v:textbox>
                  <w:txbxContent>
                    <w:p w:rsidR="006949D7" w:rsidRDefault="006949D7" w:rsidP="006949D7">
                      <w:pPr>
                        <w:jc w:val="center"/>
                      </w:pPr>
                      <w:r>
                        <w:t>DSH hospitals would no longer qualify as 340B CEs and would not have access to discounted products</w:t>
                      </w:r>
                    </w:p>
                    <w:p w:rsidR="006949D7" w:rsidRPr="006949D7" w:rsidRDefault="006949D7" w:rsidP="006949D7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49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Note: This proposal would not impact other 340B CEs </w:t>
                      </w:r>
                      <w:r w:rsidR="00181F7E">
                        <w:rPr>
                          <w:i/>
                          <w:iCs/>
                          <w:sz w:val="16"/>
                          <w:szCs w:val="16"/>
                        </w:rPr>
                        <w:t>such as</w:t>
                      </w:r>
                      <w:r w:rsidRPr="006949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E1C30">
                        <w:rPr>
                          <w:i/>
                          <w:iCs/>
                          <w:sz w:val="16"/>
                          <w:szCs w:val="16"/>
                        </w:rPr>
                        <w:t>specialized clinics,</w:t>
                      </w:r>
                      <w:r w:rsidR="00181F7E">
                        <w:rPr>
                          <w:i/>
                          <w:iCs/>
                          <w:sz w:val="16"/>
                          <w:szCs w:val="16"/>
                        </w:rPr>
                        <w:t xml:space="preserve"> centers,</w:t>
                      </w:r>
                      <w:r w:rsidR="00FE1C30">
                        <w:rPr>
                          <w:i/>
                          <w:iCs/>
                          <w:sz w:val="16"/>
                          <w:szCs w:val="16"/>
                        </w:rPr>
                        <w:t xml:space="preserve"> grantees, or other hospital types</w:t>
                      </w:r>
                    </w:p>
                    <w:p w:rsidR="006949D7" w:rsidRDefault="006949D7" w:rsidP="0069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134C3" wp14:editId="20293786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2628900" cy="8826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82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419" w:rsidRDefault="006949D7" w:rsidP="00CE6419">
                            <w:pPr>
                              <w:spacing w:after="120"/>
                              <w:jc w:val="center"/>
                            </w:pPr>
                            <w:r>
                              <w:t>Patients with incomes &lt;400% FPL would be eligible for 340B patient assistanc</w:t>
                            </w:r>
                            <w:r w:rsidR="0066282B">
                              <w:t>e</w:t>
                            </w:r>
                          </w:p>
                          <w:p w:rsidR="006949D7" w:rsidRPr="0066282B" w:rsidRDefault="006949D7" w:rsidP="00CE6419">
                            <w:pPr>
                              <w:spacing w:after="120"/>
                              <w:jc w:val="center"/>
                            </w:pPr>
                            <w:r w:rsidRPr="006949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Exclusions: Medicaid enrollees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34C3" id="Rectangle 4" o:spid="_x0000_s1027" style="position:absolute;margin-left:276pt;margin-top:.7pt;width:207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" fillcolor="#4472c4 [3204]" strokecolor="#1f3763 [1604]" strokeweight="1pt">
                <v:textbox>
                  <w:txbxContent>
                    <w:p w:rsidR="00CE6419" w:rsidRDefault="006949D7" w:rsidP="00CE6419">
                      <w:pPr>
                        <w:spacing w:after="120"/>
                        <w:jc w:val="center"/>
                      </w:pPr>
                      <w:r>
                        <w:t>Patients with incomes &lt;400% FPL would be eligible for 340B patient assistanc</w:t>
                      </w:r>
                      <w:r w:rsidR="0066282B">
                        <w:t>e</w:t>
                      </w:r>
                    </w:p>
                    <w:p w:rsidR="006949D7" w:rsidRPr="0066282B" w:rsidRDefault="006949D7" w:rsidP="00CE6419">
                      <w:pPr>
                        <w:spacing w:after="120"/>
                        <w:jc w:val="center"/>
                      </w:pPr>
                      <w:r w:rsidRPr="006949D7">
                        <w:rPr>
                          <w:i/>
                          <w:iCs/>
                          <w:sz w:val="16"/>
                          <w:szCs w:val="16"/>
                        </w:rPr>
                        <w:t>Exclusions: Medicaid enrollees</w:t>
                      </w:r>
                    </w:p>
                  </w:txbxContent>
                </v:textbox>
              </v:rect>
            </w:pict>
          </mc:Fallback>
        </mc:AlternateContent>
      </w:r>
    </w:p>
    <w:p w:rsidR="006949D7" w:rsidRDefault="006949D7" w:rsidP="006949D7">
      <w:pPr>
        <w:rPr>
          <w:u w:val="single"/>
        </w:rPr>
      </w:pPr>
    </w:p>
    <w:p w:rsidR="006949D7" w:rsidRDefault="006949D7" w:rsidP="006949D7">
      <w:pPr>
        <w:spacing w:line="240" w:lineRule="auto"/>
        <w:rPr>
          <w:u w:val="single"/>
        </w:rPr>
      </w:pPr>
    </w:p>
    <w:p w:rsidR="00D470FA" w:rsidRDefault="00D470FA" w:rsidP="006949D7">
      <w:pPr>
        <w:spacing w:line="240" w:lineRule="auto"/>
      </w:pPr>
    </w:p>
    <w:p w:rsidR="006949D7" w:rsidRDefault="006949D7" w:rsidP="006949D7">
      <w:pPr>
        <w:spacing w:line="240" w:lineRule="auto"/>
      </w:pPr>
      <w:r>
        <w:t xml:space="preserve">In establishing a follow-the-patient model, individuals </w:t>
      </w:r>
      <w:r w:rsidR="00C56003">
        <w:t>with</w:t>
      </w:r>
      <w:r>
        <w:t xml:space="preserve"> limited cost sharing for prescription drugs due to Medicaid will be excluded. However, the uninsured population and individuals with other sources of coverage may face burdensome levels of cost-sharing on drugs. Therefore, this proposal seeks to reduce the burden for individuals with incomes less than 400% of the Federal Poverty Level. Assistance will be provided on a sliding scale based on income, as detailed below.</w:t>
      </w:r>
    </w:p>
    <w:p w:rsidR="006949D7" w:rsidRPr="006949D7" w:rsidRDefault="006949D7" w:rsidP="006949D7">
      <w:pPr>
        <w:spacing w:after="0"/>
        <w:rPr>
          <w:b/>
          <w:bCs/>
        </w:rPr>
      </w:pPr>
      <w:r w:rsidRPr="006949D7">
        <w:rPr>
          <w:b/>
          <w:bCs/>
        </w:rPr>
        <w:t>Patient Assistance Fund</w:t>
      </w:r>
    </w:p>
    <w:p w:rsidR="006949D7" w:rsidRDefault="006949D7" w:rsidP="006949D7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3C652" wp14:editId="3443A105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333500" cy="1104900"/>
                <wp:effectExtent l="0" t="0" r="38100" b="1905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04900"/>
                        </a:xfrm>
                        <a:prstGeom prst="homePlate">
                          <a:avLst>
                            <a:gd name="adj" fmla="val 25974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9D7" w:rsidRPr="006949D7" w:rsidRDefault="006949D7" w:rsidP="006949D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49D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~$</w:t>
                            </w:r>
                            <w:r w:rsidR="006267B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30.8B</w:t>
                            </w:r>
                            <w:r w:rsidRPr="006949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949D7" w:rsidRDefault="006949D7" w:rsidP="00C56003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Discounts </w:t>
                            </w:r>
                            <w:r w:rsidR="00C56003">
                              <w:t xml:space="preserve">Redirected </w:t>
                            </w:r>
                            <w:r>
                              <w:t>to Fund Patient Assistance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C652" id="Arrow: Pentagon 5" o:spid="_x0000_s1028" type="#_x0000_t15" style="position:absolute;margin-left:0;margin-top:13.75pt;width:105pt;height:8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" adj="16951" fillcolor="#1f3763 [1604]" strokecolor="#1f3763 [1604]" strokeweight="1pt">
                <v:textbox>
                  <w:txbxContent>
                    <w:p w:rsidR="006949D7" w:rsidRPr="006949D7" w:rsidRDefault="006949D7" w:rsidP="006949D7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949D7">
                        <w:rPr>
                          <w:b/>
                          <w:bCs/>
                          <w:sz w:val="40"/>
                          <w:szCs w:val="40"/>
                        </w:rPr>
                        <w:t>~$</w:t>
                      </w:r>
                      <w:r w:rsidR="006267B0">
                        <w:rPr>
                          <w:b/>
                          <w:bCs/>
                          <w:sz w:val="40"/>
                          <w:szCs w:val="40"/>
                        </w:rPr>
                        <w:t>30.8B</w:t>
                      </w:r>
                      <w:r w:rsidRPr="006949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949D7" w:rsidRDefault="006949D7" w:rsidP="00C56003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Discounts </w:t>
                      </w:r>
                      <w:r w:rsidR="00C56003">
                        <w:t xml:space="preserve">Redirected </w:t>
                      </w:r>
                      <w:r>
                        <w:t>to Fund Patient Assistance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262" w:type="dxa"/>
        <w:tblInd w:w="2174" w:type="dxa"/>
        <w:tblLook w:val="04A0" w:firstRow="1" w:lastRow="0" w:firstColumn="1" w:lastColumn="0" w:noHBand="0" w:noVBand="1"/>
      </w:tblPr>
      <w:tblGrid>
        <w:gridCol w:w="1815"/>
        <w:gridCol w:w="1815"/>
        <w:gridCol w:w="1816"/>
        <w:gridCol w:w="1816"/>
      </w:tblGrid>
      <w:tr w:rsidR="006949D7" w:rsidTr="001E0883">
        <w:trPr>
          <w:trHeight w:val="287"/>
        </w:trPr>
        <w:tc>
          <w:tcPr>
            <w:tcW w:w="1815" w:type="dxa"/>
            <w:shd w:val="clear" w:color="auto" w:fill="4472C4" w:themeFill="accent1"/>
            <w:vAlign w:val="center"/>
          </w:tcPr>
          <w:p w:rsidR="006949D7" w:rsidRDefault="006949D7" w:rsidP="001E08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Coverage</w:t>
            </w:r>
          </w:p>
        </w:tc>
        <w:tc>
          <w:tcPr>
            <w:tcW w:w="1815" w:type="dxa"/>
            <w:shd w:val="clear" w:color="auto" w:fill="4472C4" w:themeFill="accent1"/>
            <w:vAlign w:val="center"/>
          </w:tcPr>
          <w:p w:rsidR="006949D7" w:rsidRPr="006949D7" w:rsidRDefault="006949D7" w:rsidP="001E08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Income Eligibility</w:t>
            </w:r>
          </w:p>
        </w:tc>
        <w:tc>
          <w:tcPr>
            <w:tcW w:w="1816" w:type="dxa"/>
            <w:shd w:val="clear" w:color="auto" w:fill="4472C4" w:themeFill="accent1"/>
            <w:vAlign w:val="center"/>
          </w:tcPr>
          <w:p w:rsidR="006949D7" w:rsidRPr="006949D7" w:rsidRDefault="006949D7" w:rsidP="001E0883">
            <w:pPr>
              <w:jc w:val="center"/>
              <w:rPr>
                <w:b/>
                <w:bCs/>
                <w:color w:val="FFFFFF" w:themeColor="background1"/>
              </w:rPr>
            </w:pPr>
            <w:r w:rsidRPr="006949D7">
              <w:rPr>
                <w:b/>
                <w:bCs/>
                <w:color w:val="FFFFFF" w:themeColor="background1"/>
              </w:rPr>
              <w:t>Reduction to Patient Liability</w:t>
            </w:r>
          </w:p>
        </w:tc>
        <w:tc>
          <w:tcPr>
            <w:tcW w:w="1816" w:type="dxa"/>
            <w:shd w:val="clear" w:color="auto" w:fill="4472C4" w:themeFill="accent1"/>
            <w:vAlign w:val="center"/>
          </w:tcPr>
          <w:p w:rsidR="006949D7" w:rsidRPr="006949D7" w:rsidRDefault="006949D7" w:rsidP="001E0883">
            <w:pPr>
              <w:jc w:val="center"/>
              <w:rPr>
                <w:b/>
                <w:bCs/>
                <w:color w:val="FFFFFF" w:themeColor="background1"/>
              </w:rPr>
            </w:pPr>
            <w:r w:rsidRPr="006949D7">
              <w:rPr>
                <w:b/>
                <w:bCs/>
                <w:color w:val="FFFFFF" w:themeColor="background1"/>
              </w:rPr>
              <w:t>Savings to Patients</w:t>
            </w:r>
          </w:p>
        </w:tc>
      </w:tr>
      <w:tr w:rsidR="006949D7" w:rsidTr="006949D7">
        <w:trPr>
          <w:trHeight w:val="287"/>
        </w:trPr>
        <w:tc>
          <w:tcPr>
            <w:tcW w:w="1815" w:type="dxa"/>
            <w:vAlign w:val="center"/>
          </w:tcPr>
          <w:p w:rsidR="006949D7" w:rsidRDefault="006949D7" w:rsidP="006949D7">
            <w:r>
              <w:t>Uninsured</w:t>
            </w:r>
          </w:p>
        </w:tc>
        <w:tc>
          <w:tcPr>
            <w:tcW w:w="1815" w:type="dxa"/>
          </w:tcPr>
          <w:p w:rsidR="006949D7" w:rsidRDefault="006949D7" w:rsidP="000C754B">
            <w:r>
              <w:t>&lt;400% FPL</w:t>
            </w:r>
          </w:p>
        </w:tc>
        <w:tc>
          <w:tcPr>
            <w:tcW w:w="1816" w:type="dxa"/>
          </w:tcPr>
          <w:p w:rsidR="006949D7" w:rsidRDefault="006949D7" w:rsidP="000C754B">
            <w:pPr>
              <w:jc w:val="center"/>
            </w:pPr>
            <w:r>
              <w:t>80%</w:t>
            </w:r>
          </w:p>
        </w:tc>
        <w:tc>
          <w:tcPr>
            <w:tcW w:w="1816" w:type="dxa"/>
          </w:tcPr>
          <w:p w:rsidR="006949D7" w:rsidRDefault="006949D7" w:rsidP="000C754B">
            <w:pPr>
              <w:jc w:val="center"/>
            </w:pPr>
            <w:r>
              <w:t>$9.</w:t>
            </w:r>
            <w:r w:rsidR="006267B0">
              <w:t>9</w:t>
            </w:r>
            <w:r>
              <w:t>B</w:t>
            </w:r>
          </w:p>
        </w:tc>
      </w:tr>
      <w:tr w:rsidR="006949D7" w:rsidTr="006949D7">
        <w:trPr>
          <w:trHeight w:val="287"/>
        </w:trPr>
        <w:tc>
          <w:tcPr>
            <w:tcW w:w="1815" w:type="dxa"/>
            <w:vMerge w:val="restart"/>
            <w:vAlign w:val="center"/>
          </w:tcPr>
          <w:p w:rsidR="006949D7" w:rsidRPr="006949D7" w:rsidRDefault="006949D7" w:rsidP="006949D7">
            <w:r>
              <w:t>Insured</w:t>
            </w:r>
          </w:p>
          <w:p w:rsidR="006949D7" w:rsidRPr="006949D7" w:rsidRDefault="006949D7" w:rsidP="006949D7">
            <w:pPr>
              <w:rPr>
                <w:i/>
                <w:iCs/>
              </w:rPr>
            </w:pPr>
            <w:r w:rsidRPr="006949D7">
              <w:rPr>
                <w:i/>
                <w:iCs/>
                <w:sz w:val="16"/>
                <w:szCs w:val="16"/>
              </w:rPr>
              <w:t>(Non-Medicaid, Non-</w:t>
            </w:r>
            <w:proofErr w:type="spellStart"/>
            <w:r w:rsidRPr="006949D7">
              <w:rPr>
                <w:i/>
                <w:iCs/>
                <w:sz w:val="16"/>
                <w:szCs w:val="16"/>
              </w:rPr>
              <w:t>Medigap</w:t>
            </w:r>
            <w:proofErr w:type="spellEnd"/>
            <w:r w:rsidRPr="006949D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15" w:type="dxa"/>
          </w:tcPr>
          <w:p w:rsidR="006949D7" w:rsidRDefault="006949D7" w:rsidP="000C754B">
            <w:r>
              <w:t>&lt;200% FPL</w:t>
            </w:r>
          </w:p>
        </w:tc>
        <w:tc>
          <w:tcPr>
            <w:tcW w:w="1816" w:type="dxa"/>
          </w:tcPr>
          <w:p w:rsidR="006949D7" w:rsidRDefault="006267B0" w:rsidP="000C754B">
            <w:pPr>
              <w:jc w:val="center"/>
            </w:pPr>
            <w:r>
              <w:t>65</w:t>
            </w:r>
            <w:r w:rsidR="006949D7">
              <w:t>%</w:t>
            </w:r>
          </w:p>
        </w:tc>
        <w:tc>
          <w:tcPr>
            <w:tcW w:w="1816" w:type="dxa"/>
          </w:tcPr>
          <w:p w:rsidR="006949D7" w:rsidRDefault="006949D7" w:rsidP="000C754B">
            <w:pPr>
              <w:jc w:val="center"/>
            </w:pPr>
            <w:r>
              <w:t>$</w:t>
            </w:r>
            <w:r w:rsidR="006267B0">
              <w:t>11.2B</w:t>
            </w:r>
          </w:p>
        </w:tc>
      </w:tr>
      <w:tr w:rsidR="006949D7" w:rsidTr="006949D7">
        <w:trPr>
          <w:trHeight w:val="287"/>
        </w:trPr>
        <w:tc>
          <w:tcPr>
            <w:tcW w:w="1815" w:type="dxa"/>
            <w:vMerge/>
          </w:tcPr>
          <w:p w:rsidR="006949D7" w:rsidRDefault="006949D7" w:rsidP="000C754B"/>
        </w:tc>
        <w:tc>
          <w:tcPr>
            <w:tcW w:w="1815" w:type="dxa"/>
          </w:tcPr>
          <w:p w:rsidR="006949D7" w:rsidRDefault="006949D7" w:rsidP="000C754B">
            <w:r>
              <w:t>200-300% FPL</w:t>
            </w:r>
          </w:p>
        </w:tc>
        <w:tc>
          <w:tcPr>
            <w:tcW w:w="1816" w:type="dxa"/>
          </w:tcPr>
          <w:p w:rsidR="006949D7" w:rsidRDefault="006267B0" w:rsidP="000C754B">
            <w:pPr>
              <w:jc w:val="center"/>
            </w:pPr>
            <w:r>
              <w:t>55</w:t>
            </w:r>
            <w:r w:rsidR="006949D7">
              <w:t>%</w:t>
            </w:r>
          </w:p>
        </w:tc>
        <w:tc>
          <w:tcPr>
            <w:tcW w:w="1816" w:type="dxa"/>
          </w:tcPr>
          <w:p w:rsidR="006949D7" w:rsidRDefault="006949D7" w:rsidP="000C754B">
            <w:pPr>
              <w:jc w:val="center"/>
            </w:pPr>
            <w:r>
              <w:t>$</w:t>
            </w:r>
            <w:r w:rsidR="006267B0">
              <w:t>7.1B</w:t>
            </w:r>
          </w:p>
        </w:tc>
      </w:tr>
      <w:tr w:rsidR="006949D7" w:rsidTr="006949D7">
        <w:trPr>
          <w:trHeight w:val="287"/>
        </w:trPr>
        <w:tc>
          <w:tcPr>
            <w:tcW w:w="1815" w:type="dxa"/>
            <w:vMerge/>
          </w:tcPr>
          <w:p w:rsidR="006949D7" w:rsidRDefault="006949D7" w:rsidP="000C754B"/>
        </w:tc>
        <w:tc>
          <w:tcPr>
            <w:tcW w:w="1815" w:type="dxa"/>
          </w:tcPr>
          <w:p w:rsidR="006949D7" w:rsidRDefault="006949D7" w:rsidP="000C754B">
            <w:r>
              <w:t>300-400% FPL</w:t>
            </w:r>
          </w:p>
        </w:tc>
        <w:tc>
          <w:tcPr>
            <w:tcW w:w="1816" w:type="dxa"/>
          </w:tcPr>
          <w:p w:rsidR="006949D7" w:rsidRDefault="006267B0" w:rsidP="000C754B">
            <w:pPr>
              <w:jc w:val="center"/>
            </w:pPr>
            <w:r>
              <w:t>45</w:t>
            </w:r>
            <w:r w:rsidR="006949D7">
              <w:t>%</w:t>
            </w:r>
          </w:p>
        </w:tc>
        <w:tc>
          <w:tcPr>
            <w:tcW w:w="1816" w:type="dxa"/>
          </w:tcPr>
          <w:p w:rsidR="006949D7" w:rsidRDefault="006949D7" w:rsidP="000C754B">
            <w:pPr>
              <w:jc w:val="center"/>
            </w:pPr>
            <w:r>
              <w:t>$</w:t>
            </w:r>
            <w:r w:rsidR="006267B0">
              <w:t>3.2</w:t>
            </w:r>
            <w:r>
              <w:t>B</w:t>
            </w:r>
          </w:p>
        </w:tc>
      </w:tr>
    </w:tbl>
    <w:p w:rsidR="006949D7" w:rsidRDefault="006949D7" w:rsidP="006949D7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2E41B9" wp14:editId="66111AB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565650" cy="26035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D7" w:rsidRPr="006949D7" w:rsidRDefault="006949D7" w:rsidP="006949D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49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Note: Our analysis assumes that approximately half of individuals &lt;200% FPL will likely have access to free </w:t>
                            </w:r>
                            <w:r w:rsidR="00622DC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or significantly discounted drugs in accordance with</w:t>
                            </w:r>
                            <w:r w:rsidRPr="006949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hospital charity care policies.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4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8.3pt;margin-top:2.05pt;width:359.5pt;height:2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" stroked="f">
                <v:textbox inset="0,0,0,0">
                  <w:txbxContent>
                    <w:p w:rsidR="006949D7" w:rsidRPr="006949D7" w:rsidRDefault="006949D7" w:rsidP="006949D7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49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Note: Our analysis assumes that approximately half of individuals &lt;200% FPL will likely have access to free </w:t>
                      </w:r>
                      <w:r w:rsidR="00622DCD">
                        <w:rPr>
                          <w:i/>
                          <w:iCs/>
                          <w:sz w:val="16"/>
                          <w:szCs w:val="16"/>
                        </w:rPr>
                        <w:t>or significantly discounted drugs in accordance with</w:t>
                      </w:r>
                      <w:r w:rsidRPr="006949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hospital charity care policies.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9D7" w:rsidRPr="006949D7" w:rsidRDefault="006949D7" w:rsidP="006949D7">
      <w:pPr>
        <w:spacing w:line="240" w:lineRule="auto"/>
      </w:pPr>
      <w:r>
        <w:t xml:space="preserve">Discounts provided to address patient cost-sharing would make a significant impact on patient OOP spending. For the uninsured population, which may be liable for the full cost of a drug, the assistance fund would effectively limit their cost-sharing to 20% of the drug’s cost, bringing their liability in line with insured individuals. For insured individuals with income under 200% FPL, a </w:t>
      </w:r>
      <w:r w:rsidR="006267B0">
        <w:t>65</w:t>
      </w:r>
      <w:r>
        <w:t xml:space="preserve">% reduction in cost sharing would result in an enrollee with 20% coinsurance for a product effectively facing only </w:t>
      </w:r>
      <w:r w:rsidR="006267B0">
        <w:t>7</w:t>
      </w:r>
      <w:r>
        <w:t>% in cost-sharing.</w:t>
      </w:r>
      <w:r w:rsidR="005F23E8">
        <w:t xml:space="preserve"> </w:t>
      </w:r>
    </w:p>
    <w:sectPr w:rsidR="006949D7" w:rsidRPr="0069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211"/>
    <w:multiLevelType w:val="hybridMultilevel"/>
    <w:tmpl w:val="8A0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D7"/>
    <w:rsid w:val="00181F7E"/>
    <w:rsid w:val="001E0883"/>
    <w:rsid w:val="00431EDC"/>
    <w:rsid w:val="00533FDA"/>
    <w:rsid w:val="005F23E8"/>
    <w:rsid w:val="00622DCD"/>
    <w:rsid w:val="006267B0"/>
    <w:rsid w:val="0066282B"/>
    <w:rsid w:val="006949D7"/>
    <w:rsid w:val="007C28E5"/>
    <w:rsid w:val="00910D5C"/>
    <w:rsid w:val="00B87C00"/>
    <w:rsid w:val="00C56003"/>
    <w:rsid w:val="00CE6419"/>
    <w:rsid w:val="00CE6AAF"/>
    <w:rsid w:val="00D470FA"/>
    <w:rsid w:val="00E67ADC"/>
    <w:rsid w:val="00F06602"/>
    <w:rsid w:val="00F24B0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8462"/>
  <w15:chartTrackingRefBased/>
  <w15:docId w15:val="{2450C416-DC67-4732-8092-295951A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7"/>
    <w:pPr>
      <w:ind w:left="720"/>
      <w:contextualSpacing/>
    </w:pPr>
  </w:style>
  <w:style w:type="table" w:styleId="TableGrid">
    <w:name w:val="Table Grid"/>
    <w:basedOn w:val="TableNormal"/>
    <w:uiPriority w:val="39"/>
    <w:rsid w:val="006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8C4DED16D4CBC03CCD4F9EE31DA" ma:contentTypeVersion="19" ma:contentTypeDescription="Create a new document." ma:contentTypeScope="" ma:versionID="706baf12e734252eea9181b34f901ea8">
  <xsd:schema xmlns:xsd="http://www.w3.org/2001/XMLSchema" xmlns:xs="http://www.w3.org/2001/XMLSchema" xmlns:p="http://schemas.microsoft.com/office/2006/metadata/properties" xmlns:ns1="http://schemas.microsoft.com/sharepoint/v3" xmlns:ns3="8aa56b2e-a5f0-4b0e-9729-f09164cecd68" xmlns:ns4="e57e54fd-46aa-40b9-8c94-aa5292e3a064" targetNamespace="http://schemas.microsoft.com/office/2006/metadata/properties" ma:root="true" ma:fieldsID="0ff9459069945313f9b027b1db3bfa91" ns1:_="" ns3:_="" ns4:_="">
    <xsd:import namespace="http://schemas.microsoft.com/sharepoint/v3"/>
    <xsd:import namespace="8aa56b2e-a5f0-4b0e-9729-f09164cecd68"/>
    <xsd:import namespace="e57e54fd-46aa-40b9-8c94-aa5292e3a06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6b2e-a5f0-4b0e-9729-f09164cecd6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54fd-46aa-40b9-8c94-aa5292e3a06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aa56b2e-a5f0-4b0e-9729-f09164cecd68" xsi:nil="true"/>
    <_ip_UnifiedCompliancePolicyUIAction xmlns="http://schemas.microsoft.com/sharepoint/v3" xsi:nil="true"/>
    <MigrationWizIdDocumentLibraryPermissions xmlns="8aa56b2e-a5f0-4b0e-9729-f09164cecd68" xsi:nil="true"/>
    <MigrationWizIdPermissionLevels xmlns="8aa56b2e-a5f0-4b0e-9729-f09164cecd68" xsi:nil="true"/>
    <MigrationWizIdSecurityGroups xmlns="8aa56b2e-a5f0-4b0e-9729-f09164cecd68" xsi:nil="true"/>
    <_ip_UnifiedCompliancePolicyProperties xmlns="http://schemas.microsoft.com/sharepoint/v3" xsi:nil="true"/>
    <MigrationWizId xmlns="8aa56b2e-a5f0-4b0e-9729-f09164cecd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6676E-6CDA-4406-8A77-B37321A3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a56b2e-a5f0-4b0e-9729-f09164cecd68"/>
    <ds:schemaRef ds:uri="e57e54fd-46aa-40b9-8c94-aa5292e3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FD68D-FF9D-4616-917C-555D2DC8185D}">
  <ds:schemaRefs>
    <ds:schemaRef ds:uri="http://schemas.microsoft.com/office/2006/metadata/properties"/>
    <ds:schemaRef ds:uri="http://schemas.microsoft.com/office/infopath/2007/PartnerControls"/>
    <ds:schemaRef ds:uri="8aa56b2e-a5f0-4b0e-9729-f09164cecd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C33D31-F068-4B0A-A23F-5BB087A95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Kolton</dc:creator>
  <cp:keywords/>
  <dc:description/>
  <cp:lastModifiedBy>Wendy Alfaro</cp:lastModifiedBy>
  <cp:revision>1</cp:revision>
  <dcterms:created xsi:type="dcterms:W3CDTF">2021-08-10T21:30:00Z</dcterms:created>
  <dcterms:modified xsi:type="dcterms:W3CDTF">2021-08-10T21:30:00Z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0x010100B7AC08C4DED16D4CBC03CCD4F9EE31DA</vt:lpwstr>
  </property>
</Properties>
</file>