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5D9586" w14:textId="39F6752C" w:rsidR="007B36D5" w:rsidRDefault="007B36D5" w:rsidP="007B36D5">
      <w:pPr>
        <w:shd w:val="clear" w:color="auto" w:fill="FFFFFF" w:themeFill="background1"/>
        <w:spacing w:before="240" w:after="120"/>
        <w:jc w:val="center"/>
        <w:rPr>
          <w:b/>
          <w:bCs/>
          <w:sz w:val="22"/>
          <w:szCs w:val="28"/>
        </w:rPr>
      </w:pPr>
      <w:r>
        <w:rPr>
          <w:b/>
          <w:iCs/>
        </w:rPr>
        <w:t>Bills Passed since 2/20/25:</w:t>
      </w:r>
    </w:p>
    <w:p w14:paraId="386FBA11" w14:textId="77777777" w:rsidR="007B36D5" w:rsidRDefault="007B36D5" w:rsidP="007B36D5">
      <w:pPr>
        <w:tabs>
          <w:tab w:val="left" w:pos="5479"/>
        </w:tabs>
        <w:spacing w:after="120"/>
        <w:jc w:val="both"/>
        <w:rPr>
          <w:b/>
          <w:iCs/>
          <w:sz w:val="22"/>
          <w:szCs w:val="22"/>
        </w:rPr>
      </w:pPr>
    </w:p>
    <w:p w14:paraId="1C5D8FD6" w14:textId="77777777" w:rsidR="007B36D5" w:rsidRDefault="007B36D5" w:rsidP="007B36D5">
      <w:pPr>
        <w:spacing w:after="120"/>
        <w:jc w:val="both"/>
        <w:rPr>
          <w:bCs/>
          <w:iCs/>
          <w:sz w:val="22"/>
          <w:szCs w:val="22"/>
        </w:rPr>
      </w:pPr>
      <w:r>
        <w:rPr>
          <w:b/>
          <w:iCs/>
          <w:sz w:val="22"/>
          <w:szCs w:val="22"/>
        </w:rPr>
        <w:t>S. 150 (Blackmon)</w:t>
      </w:r>
      <w:r>
        <w:rPr>
          <w:bCs/>
          <w:iCs/>
          <w:sz w:val="22"/>
          <w:szCs w:val="22"/>
        </w:rPr>
        <w:t xml:space="preserve"> – </w:t>
      </w:r>
      <w:r>
        <w:rPr>
          <w:bCs/>
          <w:iCs/>
          <w:sz w:val="22"/>
          <w:szCs w:val="22"/>
          <w:u w:val="single"/>
        </w:rPr>
        <w:t>Rental Kart Age Act</w:t>
      </w:r>
      <w:r>
        <w:rPr>
          <w:bCs/>
          <w:iCs/>
          <w:sz w:val="22"/>
          <w:szCs w:val="22"/>
        </w:rPr>
        <w:t xml:space="preserve">: A bill to permit individuals either eighteen years of age and older or individuals fifteen years of age and older who possess a valid driver’s license or permit to operate rental karts. The bill amends the term “super-karts” to “rental-karts” and includes in the definition open-wheel motorsport vehicles capable of exceeding forty miles per hour. Rental-karts are distinguished from concession go-karts and may or may not be operated within the containment system of a track. Rental karts operated by individuals under the age of eighteen must be equipped with an occupant restraint system. </w:t>
      </w:r>
    </w:p>
    <w:p w14:paraId="4C63B778" w14:textId="77777777" w:rsidR="007B36D5" w:rsidRDefault="007B36D5" w:rsidP="007B36D5">
      <w:pPr>
        <w:spacing w:after="120"/>
        <w:jc w:val="both"/>
        <w:rPr>
          <w:bCs/>
          <w:iCs/>
          <w:sz w:val="22"/>
          <w:szCs w:val="22"/>
        </w:rPr>
      </w:pPr>
      <w:r>
        <w:rPr>
          <w:b/>
          <w:iCs/>
          <w:sz w:val="22"/>
          <w:szCs w:val="22"/>
        </w:rPr>
        <w:t>S. 233 (Leber)</w:t>
      </w:r>
      <w:r>
        <w:rPr>
          <w:bCs/>
          <w:iCs/>
          <w:sz w:val="22"/>
          <w:szCs w:val="22"/>
        </w:rPr>
        <w:t xml:space="preserve"> – </w:t>
      </w:r>
      <w:r>
        <w:rPr>
          <w:bCs/>
          <w:iCs/>
          <w:sz w:val="22"/>
          <w:szCs w:val="22"/>
          <w:u w:val="single"/>
        </w:rPr>
        <w:t>Sexually Violent Predator Act</w:t>
      </w:r>
      <w:r>
        <w:rPr>
          <w:bCs/>
          <w:iCs/>
          <w:sz w:val="22"/>
          <w:szCs w:val="22"/>
        </w:rPr>
        <w:t>: A bill to amend the definition of "likely to engage in acts of sexual violence" in relation to the Sexually Violent Predator Act to mean that a person’s propensity to commit acts of sexual violence is of such a degree to pose a menace to the health and safety of others. The proposed change is a reversion to a definition that was previously codified until 2023.</w:t>
      </w:r>
    </w:p>
    <w:p w14:paraId="28824F50" w14:textId="77777777" w:rsidR="007B36D5" w:rsidRDefault="007B36D5" w:rsidP="007B36D5">
      <w:pPr>
        <w:spacing w:after="120"/>
        <w:jc w:val="both"/>
        <w:rPr>
          <w:bCs/>
          <w:iCs/>
          <w:sz w:val="22"/>
          <w:szCs w:val="22"/>
        </w:rPr>
      </w:pPr>
      <w:r>
        <w:rPr>
          <w:b/>
          <w:iCs/>
          <w:sz w:val="22"/>
          <w:szCs w:val="22"/>
        </w:rPr>
        <w:t>S. 235 (Kimbrell)</w:t>
      </w:r>
      <w:r>
        <w:rPr>
          <w:bCs/>
          <w:iCs/>
          <w:sz w:val="22"/>
          <w:szCs w:val="22"/>
        </w:rPr>
        <w:t xml:space="preserve"> – </w:t>
      </w:r>
      <w:r>
        <w:rPr>
          <w:bCs/>
          <w:iCs/>
          <w:sz w:val="22"/>
          <w:szCs w:val="22"/>
          <w:u w:val="single"/>
        </w:rPr>
        <w:t>Prostitution</w:t>
      </w:r>
      <w:r>
        <w:rPr>
          <w:bCs/>
          <w:iCs/>
          <w:sz w:val="22"/>
          <w:szCs w:val="22"/>
        </w:rPr>
        <w:t xml:space="preserve">: A bill to distinguish among separate code sections certain offenses relating to prostitution and facilitating prostitution and to prohibit in an additional section the solicitation or offering of money to a prostituted person for the purpose of engaging in prostitution. The bill provides penalties for violations and adds that it is an affirmative defense to the charge of prostitution if the person charged committed the violation under duress or coercion </w:t>
      </w:r>
      <w:proofErr w:type="gramStart"/>
      <w:r>
        <w:rPr>
          <w:bCs/>
          <w:iCs/>
          <w:sz w:val="22"/>
          <w:szCs w:val="22"/>
        </w:rPr>
        <w:t>as a result of</w:t>
      </w:r>
      <w:proofErr w:type="gramEnd"/>
      <w:r>
        <w:rPr>
          <w:bCs/>
          <w:iCs/>
          <w:sz w:val="22"/>
          <w:szCs w:val="22"/>
        </w:rPr>
        <w:t xml:space="preserve"> being trafficked. </w:t>
      </w:r>
    </w:p>
    <w:p w14:paraId="2A2965F0" w14:textId="77777777" w:rsidR="007B36D5" w:rsidRDefault="007B36D5" w:rsidP="007B36D5">
      <w:pPr>
        <w:spacing w:after="120"/>
        <w:jc w:val="both"/>
        <w:rPr>
          <w:bCs/>
          <w:iCs/>
          <w:sz w:val="22"/>
          <w:szCs w:val="22"/>
        </w:rPr>
      </w:pPr>
      <w:r>
        <w:rPr>
          <w:b/>
          <w:iCs/>
          <w:sz w:val="22"/>
          <w:szCs w:val="22"/>
        </w:rPr>
        <w:t>S. 244 (Massey)</w:t>
      </w:r>
      <w:r>
        <w:rPr>
          <w:bCs/>
          <w:iCs/>
          <w:sz w:val="22"/>
          <w:szCs w:val="22"/>
        </w:rPr>
        <w:t xml:space="preserve"> – </w:t>
      </w:r>
      <w:r>
        <w:rPr>
          <w:bCs/>
          <w:iCs/>
          <w:sz w:val="22"/>
          <w:szCs w:val="22"/>
          <w:u w:val="single"/>
        </w:rPr>
        <w:t>Tort Reform</w:t>
      </w:r>
      <w:r>
        <w:rPr>
          <w:bCs/>
          <w:iCs/>
          <w:sz w:val="22"/>
          <w:szCs w:val="22"/>
        </w:rPr>
        <w:t xml:space="preserve">: A bill to amend civil liability laws by requiring that a jury apportion fault to a defendant, as well as the plaintiff and any non-parties who may have contributed to damages. After fault is allocated, any defendant with a share of fault greater than 50% of the total fault is jointly and severally liable for a plaintiff’s economic damages. Defendants shall </w:t>
      </w:r>
      <w:proofErr w:type="gramStart"/>
      <w:r>
        <w:rPr>
          <w:bCs/>
          <w:iCs/>
          <w:sz w:val="22"/>
          <w:szCs w:val="22"/>
        </w:rPr>
        <w:t>be severally</w:t>
      </w:r>
      <w:proofErr w:type="gramEnd"/>
      <w:r>
        <w:rPr>
          <w:bCs/>
          <w:iCs/>
          <w:sz w:val="22"/>
          <w:szCs w:val="22"/>
        </w:rPr>
        <w:t xml:space="preserve"> liable for non-economic and punitive damages. The bill further incorporates specific limitations on commercial host liability (dram shop) and requires alcohol server training for </w:t>
      </w:r>
      <w:proofErr w:type="gramStart"/>
      <w:r>
        <w:rPr>
          <w:bCs/>
          <w:iCs/>
          <w:sz w:val="22"/>
          <w:szCs w:val="22"/>
        </w:rPr>
        <w:t>on-premise</w:t>
      </w:r>
      <w:proofErr w:type="gramEnd"/>
      <w:r>
        <w:rPr>
          <w:bCs/>
          <w:iCs/>
          <w:sz w:val="22"/>
          <w:szCs w:val="22"/>
        </w:rPr>
        <w:t xml:space="preserve"> service. Additional provisions aimed at reducing insurance costs are included, including a reduction in the mandatory liquor liability insurance coverage requirement.</w:t>
      </w:r>
    </w:p>
    <w:p w14:paraId="113872AB" w14:textId="77777777" w:rsidR="007B36D5" w:rsidRDefault="007B36D5" w:rsidP="007B36D5">
      <w:pPr>
        <w:spacing w:after="120"/>
        <w:jc w:val="both"/>
        <w:rPr>
          <w:bCs/>
          <w:iCs/>
          <w:sz w:val="22"/>
          <w:szCs w:val="22"/>
        </w:rPr>
      </w:pPr>
      <w:r>
        <w:rPr>
          <w:b/>
          <w:iCs/>
          <w:sz w:val="22"/>
          <w:szCs w:val="22"/>
        </w:rPr>
        <w:t>S. 336 (Alexander)</w:t>
      </w:r>
      <w:r>
        <w:rPr>
          <w:bCs/>
          <w:iCs/>
          <w:sz w:val="22"/>
          <w:szCs w:val="22"/>
        </w:rPr>
        <w:t xml:space="preserve"> – </w:t>
      </w:r>
      <w:r>
        <w:rPr>
          <w:bCs/>
          <w:iCs/>
          <w:sz w:val="22"/>
          <w:szCs w:val="22"/>
          <w:u w:val="single"/>
        </w:rPr>
        <w:t>Judicial Elections</w:t>
      </w:r>
      <w:r>
        <w:rPr>
          <w:bCs/>
          <w:iCs/>
          <w:sz w:val="22"/>
          <w:szCs w:val="22"/>
        </w:rPr>
        <w:t xml:space="preserve">: A bill to codify that the General Assembly shall meet in joint session for the election of judges on the first Wednesday of March at noon. Currently, the date and time for the joint session is set by concurrent resolution. </w:t>
      </w:r>
    </w:p>
    <w:p w14:paraId="3D93D2BA" w14:textId="77777777" w:rsidR="007B36D5" w:rsidRDefault="007B36D5" w:rsidP="007B36D5">
      <w:pPr>
        <w:spacing w:after="120"/>
        <w:jc w:val="both"/>
        <w:rPr>
          <w:bCs/>
          <w:iCs/>
          <w:sz w:val="22"/>
          <w:szCs w:val="22"/>
        </w:rPr>
      </w:pPr>
      <w:r>
        <w:rPr>
          <w:b/>
          <w:iCs/>
          <w:sz w:val="22"/>
          <w:szCs w:val="22"/>
        </w:rPr>
        <w:t>S. 367 (Campsen)</w:t>
      </w:r>
      <w:r>
        <w:rPr>
          <w:bCs/>
          <w:iCs/>
          <w:sz w:val="22"/>
          <w:szCs w:val="22"/>
        </w:rPr>
        <w:t xml:space="preserve"> – </w:t>
      </w:r>
      <w:r>
        <w:rPr>
          <w:bCs/>
          <w:iCs/>
          <w:sz w:val="22"/>
          <w:szCs w:val="22"/>
          <w:u w:val="single"/>
        </w:rPr>
        <w:t>Derelict &amp; Abandoned Vessels</w:t>
      </w:r>
      <w:r>
        <w:rPr>
          <w:bCs/>
          <w:iCs/>
          <w:sz w:val="22"/>
          <w:szCs w:val="22"/>
        </w:rPr>
        <w:t>: A bill to establish a framework for the Department of Natural Resources and other law enforcement agencies to declare vessels that are wrecked or junked to be abandoned or derelict, and to provide a process for their removal as well as for the removal of sunken vessels.</w:t>
      </w:r>
    </w:p>
    <w:p w14:paraId="6B0803C8" w14:textId="77777777" w:rsidR="007B36D5" w:rsidRDefault="007B36D5" w:rsidP="007B36D5">
      <w:pPr>
        <w:spacing w:after="120"/>
        <w:jc w:val="both"/>
        <w:rPr>
          <w:bCs/>
          <w:iCs/>
          <w:sz w:val="22"/>
          <w:szCs w:val="22"/>
        </w:rPr>
      </w:pPr>
      <w:r>
        <w:rPr>
          <w:b/>
          <w:iCs/>
          <w:sz w:val="22"/>
          <w:szCs w:val="22"/>
        </w:rPr>
        <w:t>H. 3814 (Rep. Hixon)</w:t>
      </w:r>
      <w:r>
        <w:rPr>
          <w:bCs/>
          <w:iCs/>
          <w:sz w:val="22"/>
          <w:szCs w:val="22"/>
        </w:rPr>
        <w:t xml:space="preserve"> – </w:t>
      </w:r>
      <w:r>
        <w:rPr>
          <w:bCs/>
          <w:iCs/>
          <w:sz w:val="22"/>
          <w:szCs w:val="22"/>
          <w:u w:val="single"/>
        </w:rPr>
        <w:t>Surface Water Study Committee</w:t>
      </w:r>
      <w:r>
        <w:rPr>
          <w:bCs/>
          <w:iCs/>
          <w:sz w:val="22"/>
          <w:szCs w:val="22"/>
        </w:rPr>
        <w:t>: A joint resolution to authorize the Surface Water Study Committee to study the current state of groundwater and other topics and to delay the due date of the committee’s report to the General Assembly from March 1, 2025, to March 2, 2026.</w:t>
      </w:r>
    </w:p>
    <w:p w14:paraId="5F2169B4" w14:textId="3141F060" w:rsidR="007B36D5" w:rsidRDefault="007B36D5" w:rsidP="007B36D5">
      <w:pPr>
        <w:tabs>
          <w:tab w:val="left" w:pos="5479"/>
        </w:tabs>
        <w:spacing w:after="120"/>
        <w:jc w:val="both"/>
        <w:rPr>
          <w:bCs/>
          <w:iCs/>
          <w:sz w:val="22"/>
          <w:szCs w:val="22"/>
        </w:rPr>
      </w:pPr>
      <w:r>
        <w:rPr>
          <w:b/>
          <w:iCs/>
          <w:sz w:val="22"/>
          <w:szCs w:val="22"/>
        </w:rPr>
        <w:t>S. 126 (Johnson)</w:t>
      </w:r>
      <w:r>
        <w:rPr>
          <w:bCs/>
          <w:iCs/>
          <w:sz w:val="22"/>
          <w:szCs w:val="22"/>
        </w:rPr>
        <w:t xml:space="preserve"> – </w:t>
      </w:r>
      <w:r>
        <w:rPr>
          <w:bCs/>
          <w:iCs/>
          <w:sz w:val="22"/>
          <w:szCs w:val="22"/>
          <w:u w:val="single"/>
        </w:rPr>
        <w:t>LEO and Judicial Privacy Protection</w:t>
      </w:r>
      <w:r>
        <w:rPr>
          <w:bCs/>
          <w:iCs/>
          <w:sz w:val="22"/>
          <w:szCs w:val="22"/>
        </w:rPr>
        <w:t>: A bill to amend the Law Enforcement and Judicial Personal Privacy Protection Acts signed into law in 2023. The bill adds property tax map numbers within the definition of “personal contact information” and defines “disclosed records.” The bill amends the process whereby law enforcement officers and judges request that personal contact information in disclosed records be restricted and incorporates certain exceptions for the disclosure of personal contact information. The bill further allows local and state governments to request certain supplemental information in addition to the initial request documentation and clarifies who may access personal contact information, among other things.</w:t>
      </w:r>
    </w:p>
    <w:p w14:paraId="1FE0FD07" w14:textId="77777777" w:rsidR="007B36D5" w:rsidRDefault="007B36D5" w:rsidP="007B36D5">
      <w:pPr>
        <w:spacing w:after="120"/>
        <w:jc w:val="both"/>
        <w:rPr>
          <w:color w:val="000000" w:themeColor="text1"/>
          <w:sz w:val="22"/>
          <w:szCs w:val="22"/>
        </w:rPr>
      </w:pPr>
      <w:r>
        <w:rPr>
          <w:b/>
          <w:bCs/>
          <w:color w:val="000000" w:themeColor="text1"/>
          <w:sz w:val="22"/>
          <w:szCs w:val="22"/>
        </w:rPr>
        <w:lastRenderedPageBreak/>
        <w:t>S. 165 (Campsen)</w:t>
      </w:r>
      <w:r>
        <w:rPr>
          <w:color w:val="000000" w:themeColor="text1"/>
          <w:sz w:val="22"/>
          <w:szCs w:val="22"/>
        </w:rPr>
        <w:t xml:space="preserve"> – </w:t>
      </w:r>
      <w:r>
        <w:rPr>
          <w:color w:val="000000" w:themeColor="text1"/>
          <w:sz w:val="22"/>
          <w:szCs w:val="22"/>
          <w:u w:val="single"/>
        </w:rPr>
        <w:t>SC Conservation Education Act</w:t>
      </w:r>
      <w:r>
        <w:rPr>
          <w:color w:val="000000" w:themeColor="text1"/>
          <w:sz w:val="22"/>
          <w:szCs w:val="22"/>
        </w:rPr>
        <w:t>: A bill to establish the South Carolina Conservation Education Fund for the purpose of connecting youth with nature through classroom and outdoor natural resource conservation education.</w:t>
      </w:r>
    </w:p>
    <w:p w14:paraId="1557B8D5" w14:textId="77777777" w:rsidR="007B36D5" w:rsidRDefault="007B36D5" w:rsidP="007B36D5">
      <w:pPr>
        <w:spacing w:after="120"/>
        <w:jc w:val="both"/>
        <w:rPr>
          <w:bCs/>
          <w:iCs/>
          <w:sz w:val="22"/>
          <w:szCs w:val="22"/>
        </w:rPr>
      </w:pPr>
      <w:r>
        <w:rPr>
          <w:b/>
          <w:iCs/>
          <w:sz w:val="22"/>
          <w:szCs w:val="22"/>
        </w:rPr>
        <w:t xml:space="preserve">S. 170 (Hembree) </w:t>
      </w:r>
      <w:r>
        <w:rPr>
          <w:bCs/>
          <w:iCs/>
          <w:sz w:val="22"/>
          <w:szCs w:val="22"/>
        </w:rPr>
        <w:t xml:space="preserve">– </w:t>
      </w:r>
      <w:r>
        <w:rPr>
          <w:bCs/>
          <w:iCs/>
          <w:sz w:val="22"/>
          <w:szCs w:val="22"/>
          <w:u w:val="single"/>
        </w:rPr>
        <w:t>Surgical Smoke</w:t>
      </w:r>
      <w:r>
        <w:rPr>
          <w:bCs/>
          <w:iCs/>
          <w:sz w:val="22"/>
          <w:szCs w:val="22"/>
        </w:rPr>
        <w:t>: A bill to provide that a hospital or ambulatory surgical facility must adopt and implement policies to prevent exposure to surgical smoke by requiring the use of a smoke evacuation system during any surgical procedure that is likely to generate surgical smoke. The bill incorporates certain hospitals for which the implementation of this requirement shall be delayed six months beyond the effective date.</w:t>
      </w:r>
    </w:p>
    <w:p w14:paraId="615A7B33" w14:textId="77777777" w:rsidR="007B36D5" w:rsidRDefault="007B36D5" w:rsidP="007B36D5">
      <w:pPr>
        <w:spacing w:after="120"/>
        <w:jc w:val="both"/>
        <w:rPr>
          <w:bCs/>
          <w:iCs/>
          <w:sz w:val="22"/>
          <w:szCs w:val="22"/>
        </w:rPr>
      </w:pPr>
      <w:r>
        <w:rPr>
          <w:b/>
          <w:iCs/>
          <w:sz w:val="22"/>
          <w:szCs w:val="22"/>
        </w:rPr>
        <w:t>S. 279 (Massey)</w:t>
      </w:r>
      <w:r>
        <w:rPr>
          <w:bCs/>
          <w:iCs/>
          <w:sz w:val="22"/>
          <w:szCs w:val="22"/>
        </w:rPr>
        <w:t xml:space="preserve"> – </w:t>
      </w:r>
      <w:r>
        <w:rPr>
          <w:bCs/>
          <w:iCs/>
          <w:sz w:val="22"/>
          <w:szCs w:val="22"/>
          <w:u w:val="single"/>
        </w:rPr>
        <w:t>Executive Director of DEW</w:t>
      </w:r>
      <w:r>
        <w:rPr>
          <w:bCs/>
          <w:iCs/>
          <w:sz w:val="22"/>
          <w:szCs w:val="22"/>
        </w:rPr>
        <w:t xml:space="preserve">: A bill to amend the method of appointing the executive director of the Department of Employment and Workforce by removing the requirement that up to three candidates for director first be nominated by the DEW Review Committee for the Governor’s consideration. The bill proposes that the Governor </w:t>
      </w:r>
      <w:proofErr w:type="gramStart"/>
      <w:r>
        <w:rPr>
          <w:bCs/>
          <w:iCs/>
          <w:sz w:val="22"/>
          <w:szCs w:val="22"/>
        </w:rPr>
        <w:t>appoint</w:t>
      </w:r>
      <w:proofErr w:type="gramEnd"/>
      <w:r>
        <w:rPr>
          <w:bCs/>
          <w:iCs/>
          <w:sz w:val="22"/>
          <w:szCs w:val="22"/>
        </w:rPr>
        <w:t xml:space="preserve"> the executive director with the advice and consent of the Senate.</w:t>
      </w:r>
    </w:p>
    <w:p w14:paraId="673539BA" w14:textId="77777777" w:rsidR="007B36D5" w:rsidRDefault="007B36D5" w:rsidP="007B36D5">
      <w:pPr>
        <w:spacing w:after="120"/>
        <w:jc w:val="both"/>
        <w:rPr>
          <w:bCs/>
          <w:iCs/>
          <w:sz w:val="22"/>
          <w:szCs w:val="22"/>
        </w:rPr>
      </w:pPr>
      <w:r>
        <w:rPr>
          <w:b/>
          <w:iCs/>
          <w:sz w:val="22"/>
          <w:szCs w:val="22"/>
        </w:rPr>
        <w:t>S. 287 (Alexander)</w:t>
      </w:r>
      <w:r>
        <w:rPr>
          <w:bCs/>
          <w:iCs/>
          <w:sz w:val="22"/>
          <w:szCs w:val="22"/>
        </w:rPr>
        <w:t xml:space="preserve"> – </w:t>
      </w:r>
      <w:r>
        <w:rPr>
          <w:bCs/>
          <w:iCs/>
          <w:sz w:val="22"/>
          <w:szCs w:val="22"/>
          <w:u w:val="single"/>
        </w:rPr>
        <w:t>Electronic Nicotine Delivery</w:t>
      </w:r>
      <w:r>
        <w:rPr>
          <w:bCs/>
          <w:iCs/>
          <w:sz w:val="22"/>
          <w:szCs w:val="22"/>
        </w:rPr>
        <w:t>: A bill to provide that all manufacturers of electronic nicotine delivery systems (ENDS) sold in the State shall annually provide a certification to the Attorney General verifying certain information. Products in compliance with the certifications required in the legislation shall be listed in a directory produced by the Attorney General. The Attorney General, the South Carolina Law Enforcement Division (SLED), the South Carolina Department of Revenue, or any state or local law enforcement agency shall have the power to enforce provisions regulating ENDS and to seize and destroy any ENDS products that are not listed on the directory.</w:t>
      </w:r>
    </w:p>
    <w:p w14:paraId="7FF48B7A" w14:textId="77777777" w:rsidR="007B36D5" w:rsidRDefault="007B36D5" w:rsidP="007B36D5">
      <w:pPr>
        <w:spacing w:after="120"/>
        <w:jc w:val="both"/>
        <w:rPr>
          <w:b/>
          <w:iCs/>
          <w:sz w:val="22"/>
          <w:szCs w:val="22"/>
        </w:rPr>
      </w:pPr>
      <w:r>
        <w:rPr>
          <w:b/>
          <w:iCs/>
          <w:sz w:val="22"/>
          <w:szCs w:val="22"/>
        </w:rPr>
        <w:t>H. 3529 (Rep. W. Newton)</w:t>
      </w:r>
      <w:r>
        <w:rPr>
          <w:bCs/>
          <w:iCs/>
          <w:sz w:val="22"/>
          <w:szCs w:val="22"/>
        </w:rPr>
        <w:t xml:space="preserve"> – </w:t>
      </w:r>
      <w:r>
        <w:rPr>
          <w:bCs/>
          <w:iCs/>
          <w:sz w:val="22"/>
          <w:szCs w:val="22"/>
          <w:u w:val="single"/>
        </w:rPr>
        <w:t>Family Court Judges</w:t>
      </w:r>
      <w:r>
        <w:rPr>
          <w:bCs/>
          <w:iCs/>
          <w:sz w:val="22"/>
          <w:szCs w:val="22"/>
        </w:rPr>
        <w:t>: A bill to increase the number of family court judges within the ninth, eleventh, and fourteenth judicial circuits.</w:t>
      </w:r>
    </w:p>
    <w:p w14:paraId="6397D1A3" w14:textId="77777777" w:rsidR="007B36D5" w:rsidRDefault="007B36D5" w:rsidP="007B36D5">
      <w:pPr>
        <w:spacing w:after="120"/>
        <w:jc w:val="both"/>
        <w:rPr>
          <w:bCs/>
          <w:iCs/>
          <w:sz w:val="22"/>
          <w:szCs w:val="22"/>
        </w:rPr>
      </w:pPr>
      <w:r>
        <w:rPr>
          <w:b/>
          <w:iCs/>
          <w:sz w:val="22"/>
          <w:szCs w:val="22"/>
        </w:rPr>
        <w:t>H. 3933 (Rep. Mitchell)</w:t>
      </w:r>
      <w:r>
        <w:rPr>
          <w:bCs/>
          <w:iCs/>
          <w:sz w:val="22"/>
          <w:szCs w:val="22"/>
        </w:rPr>
        <w:t xml:space="preserve"> – </w:t>
      </w:r>
      <w:r>
        <w:rPr>
          <w:bCs/>
          <w:iCs/>
          <w:sz w:val="22"/>
          <w:szCs w:val="22"/>
          <w:u w:val="single"/>
        </w:rPr>
        <w:t>Public Service Districts</w:t>
      </w:r>
      <w:r>
        <w:rPr>
          <w:bCs/>
          <w:iCs/>
          <w:sz w:val="22"/>
          <w:szCs w:val="22"/>
        </w:rPr>
        <w:t>: A bill to provide that, for a corporation converted to a public service district, the number of members comprising the governing board shall be seven. Members shall be appointed by the Governor based upon the recommendation of the legislative delegation from the applicable county. Board members shall be appointed to staggered terms of four years such that approximately half of the membership must be appointed or reappointed every two years. Cassatt Water, serving Kershaw, Lee, Sumter, and Lancaster counties, is currently the only entity affected by this legislation.</w:t>
      </w:r>
    </w:p>
    <w:p w14:paraId="3093E2D7" w14:textId="77777777" w:rsidR="007B36D5" w:rsidRDefault="007B36D5" w:rsidP="007B36D5">
      <w:pPr>
        <w:spacing w:after="120"/>
        <w:jc w:val="both"/>
        <w:rPr>
          <w:sz w:val="22"/>
          <w:szCs w:val="22"/>
        </w:rPr>
      </w:pPr>
      <w:r>
        <w:rPr>
          <w:b/>
          <w:bCs/>
          <w:sz w:val="22"/>
          <w:szCs w:val="22"/>
        </w:rPr>
        <w:t xml:space="preserve">S. 176 (Climer) </w:t>
      </w:r>
      <w:r>
        <w:rPr>
          <w:sz w:val="22"/>
          <w:szCs w:val="22"/>
        </w:rPr>
        <w:t xml:space="preserve">– </w:t>
      </w:r>
      <w:r>
        <w:rPr>
          <w:sz w:val="22"/>
          <w:szCs w:val="22"/>
          <w:u w:val="single"/>
        </w:rPr>
        <w:t>Certified Public Accountants</w:t>
      </w:r>
      <w:r>
        <w:rPr>
          <w:sz w:val="22"/>
          <w:szCs w:val="22"/>
        </w:rPr>
        <w:t>: A bill to modernize the regulation of certified public accountants, align regulations with national standards, and lower the barrier to entry for prospective accountants by incorporating qualifying apprenticeship programs. The bill updates definitions, incorporates references to electronic files, revises the list of coursework necessary for meeting education requirements, and amends examination and experience requirements, among other items. The bill further revises license reciprocity provisions and explicitly identifies how a non-resident may be presumed to possess qualifications equivalent to those required by South Carolina.</w:t>
      </w:r>
    </w:p>
    <w:p w14:paraId="34721B76" w14:textId="77777777" w:rsidR="007B36D5" w:rsidRDefault="007B36D5" w:rsidP="007B36D5">
      <w:pPr>
        <w:spacing w:after="120"/>
        <w:jc w:val="both"/>
        <w:rPr>
          <w:bCs/>
          <w:iCs/>
          <w:sz w:val="22"/>
          <w:szCs w:val="22"/>
        </w:rPr>
      </w:pPr>
      <w:r>
        <w:rPr>
          <w:b/>
          <w:iCs/>
          <w:sz w:val="22"/>
          <w:szCs w:val="22"/>
        </w:rPr>
        <w:t>S. 337 (Reichenbach)</w:t>
      </w:r>
      <w:r>
        <w:rPr>
          <w:bCs/>
          <w:iCs/>
          <w:sz w:val="22"/>
          <w:szCs w:val="22"/>
        </w:rPr>
        <w:t xml:space="preserve"> – </w:t>
      </w:r>
      <w:r>
        <w:rPr>
          <w:bCs/>
          <w:iCs/>
          <w:sz w:val="22"/>
          <w:szCs w:val="22"/>
          <w:u w:val="single"/>
        </w:rPr>
        <w:t>Blue Catfish Limits</w:t>
      </w:r>
      <w:r>
        <w:rPr>
          <w:bCs/>
          <w:iCs/>
          <w:sz w:val="22"/>
          <w:szCs w:val="22"/>
        </w:rPr>
        <w:t>: A bill to provide for a daily possession limit of one hundred fifty blue catfish in state waterways other than in Lake Marion, Lake Moultrie, and the upper reach of the Santee River and to remove the possession limit on blue catfish greater than thirty-two inches in length, except for within certain waterways.</w:t>
      </w:r>
    </w:p>
    <w:p w14:paraId="1894510A" w14:textId="77777777" w:rsidR="007B36D5" w:rsidRDefault="007B36D5" w:rsidP="007B36D5">
      <w:pPr>
        <w:spacing w:after="120"/>
        <w:jc w:val="both"/>
        <w:rPr>
          <w:sz w:val="20"/>
          <w:szCs w:val="20"/>
        </w:rPr>
      </w:pPr>
      <w:r>
        <w:rPr>
          <w:b/>
          <w:iCs/>
          <w:sz w:val="22"/>
          <w:szCs w:val="22"/>
        </w:rPr>
        <w:t>S. 345 (Campsen)</w:t>
      </w:r>
      <w:r>
        <w:rPr>
          <w:bCs/>
          <w:iCs/>
          <w:sz w:val="22"/>
          <w:szCs w:val="22"/>
        </w:rPr>
        <w:t xml:space="preserve"> – </w:t>
      </w:r>
      <w:r>
        <w:rPr>
          <w:bCs/>
          <w:iCs/>
          <w:sz w:val="22"/>
          <w:szCs w:val="22"/>
          <w:u w:val="single"/>
        </w:rPr>
        <w:t>Wild Turkey Baiting</w:t>
      </w:r>
      <w:r>
        <w:rPr>
          <w:bCs/>
          <w:iCs/>
          <w:sz w:val="22"/>
          <w:szCs w:val="22"/>
        </w:rPr>
        <w:t>: A bill to provide that it shall not be a violation of the prohibition on wild turkey baiting for a hunter to take wild turkey over a baited area for bobwhite quail located on a property that is permitted by the Department of Natural Resources for the restoration of wild bobwhite quail.</w:t>
      </w:r>
    </w:p>
    <w:p w14:paraId="3081CBD6" w14:textId="77777777" w:rsidR="007B36D5" w:rsidRDefault="007B36D5" w:rsidP="007B36D5">
      <w:pPr>
        <w:rPr>
          <w:sz w:val="22"/>
          <w:szCs w:val="22"/>
        </w:rPr>
      </w:pPr>
    </w:p>
    <w:p w14:paraId="7E7599F2" w14:textId="77777777" w:rsidR="007B36D5" w:rsidRDefault="007B36D5" w:rsidP="007B36D5">
      <w:pPr>
        <w:spacing w:after="120"/>
        <w:jc w:val="both"/>
        <w:rPr>
          <w:color w:val="000000" w:themeColor="text1"/>
          <w:sz w:val="22"/>
          <w:szCs w:val="22"/>
        </w:rPr>
      </w:pPr>
      <w:r>
        <w:rPr>
          <w:b/>
          <w:bCs/>
          <w:color w:val="000000" w:themeColor="text1"/>
          <w:sz w:val="22"/>
          <w:szCs w:val="22"/>
        </w:rPr>
        <w:t>S. 79 (Hembree)</w:t>
      </w:r>
      <w:r>
        <w:rPr>
          <w:color w:val="000000" w:themeColor="text1"/>
          <w:sz w:val="22"/>
          <w:szCs w:val="22"/>
        </w:rPr>
        <w:t xml:space="preserve"> – </w:t>
      </w:r>
      <w:r>
        <w:rPr>
          <w:color w:val="000000" w:themeColor="text1"/>
          <w:sz w:val="22"/>
          <w:szCs w:val="22"/>
          <w:u w:val="single"/>
        </w:rPr>
        <w:t>Noncertified Teacher Pilot Program</w:t>
      </w:r>
      <w:r>
        <w:rPr>
          <w:color w:val="000000" w:themeColor="text1"/>
          <w:sz w:val="22"/>
          <w:szCs w:val="22"/>
        </w:rPr>
        <w:t xml:space="preserve">: A bill to direct the State Department of Education to establish a pilot program to permit schools to hire noncertified teachers in a ratio of up to ten percent of </w:t>
      </w:r>
      <w:r>
        <w:rPr>
          <w:color w:val="000000" w:themeColor="text1"/>
          <w:sz w:val="22"/>
          <w:szCs w:val="22"/>
        </w:rPr>
        <w:lastRenderedPageBreak/>
        <w:t>its entire teaching staff. The State Board of Education shall approve certain guidelines with minimum requirements for noncertified teachers, and the Department shall issue an annual report with recommendations regarding the program.</w:t>
      </w:r>
    </w:p>
    <w:p w14:paraId="009FC484" w14:textId="77777777" w:rsidR="007B36D5" w:rsidRDefault="007B36D5" w:rsidP="007B36D5">
      <w:pPr>
        <w:spacing w:after="120"/>
        <w:jc w:val="both"/>
        <w:rPr>
          <w:color w:val="000000" w:themeColor="text1"/>
          <w:sz w:val="22"/>
          <w:szCs w:val="22"/>
        </w:rPr>
      </w:pPr>
      <w:r>
        <w:rPr>
          <w:b/>
          <w:bCs/>
          <w:color w:val="000000" w:themeColor="text1"/>
          <w:sz w:val="22"/>
          <w:szCs w:val="22"/>
        </w:rPr>
        <w:t>S. 157 (Alexander)</w:t>
      </w:r>
      <w:r>
        <w:rPr>
          <w:color w:val="000000" w:themeColor="text1"/>
          <w:sz w:val="22"/>
          <w:szCs w:val="22"/>
        </w:rPr>
        <w:t xml:space="preserve"> – </w:t>
      </w:r>
      <w:r>
        <w:rPr>
          <w:color w:val="000000" w:themeColor="text1"/>
          <w:sz w:val="22"/>
          <w:szCs w:val="22"/>
          <w:u w:val="single"/>
        </w:rPr>
        <w:t>Storm Recovery Costs by Utilities</w:t>
      </w:r>
      <w:r>
        <w:rPr>
          <w:color w:val="000000" w:themeColor="text1"/>
          <w:sz w:val="22"/>
          <w:szCs w:val="22"/>
        </w:rPr>
        <w:t>: A bill to authorize an electrical utility to include as storm recovery costs for Hurricane Helene only the cost of capital as determined by the actual interest rate paid by the utility to borrow funds necessary to cover the restoration and recovery efforts after Hurricane Helene.</w:t>
      </w:r>
    </w:p>
    <w:p w14:paraId="0C42A923" w14:textId="77777777" w:rsidR="007B36D5" w:rsidRDefault="007B36D5" w:rsidP="007B36D5">
      <w:pPr>
        <w:spacing w:after="120"/>
        <w:jc w:val="both"/>
        <w:rPr>
          <w:sz w:val="22"/>
          <w:szCs w:val="22"/>
        </w:rPr>
      </w:pPr>
      <w:r>
        <w:rPr>
          <w:b/>
          <w:bCs/>
          <w:sz w:val="22"/>
          <w:szCs w:val="22"/>
        </w:rPr>
        <w:t>S. 276 (Young)</w:t>
      </w:r>
      <w:r>
        <w:rPr>
          <w:sz w:val="22"/>
          <w:szCs w:val="22"/>
        </w:rPr>
        <w:t xml:space="preserve"> – </w:t>
      </w:r>
      <w:r>
        <w:rPr>
          <w:sz w:val="22"/>
          <w:szCs w:val="22"/>
          <w:u w:val="single"/>
        </w:rPr>
        <w:t>SC Child Abuse and Neglect Network</w:t>
      </w:r>
      <w:r>
        <w:rPr>
          <w:sz w:val="22"/>
          <w:szCs w:val="22"/>
        </w:rPr>
        <w:t>: A bill to amend the name of the Children’s Advocacy Medical Response System, created to provide coordination and administration of medical service resources to those entities responding to cases of suspected child abuse, to the South Carolina Child Abuse and Neglect Network. The program is administered by the University of South Carolina School of Medicine.</w:t>
      </w:r>
    </w:p>
    <w:p w14:paraId="745F6B7F" w14:textId="77777777" w:rsidR="007B36D5" w:rsidRDefault="007B36D5" w:rsidP="007B36D5">
      <w:pPr>
        <w:tabs>
          <w:tab w:val="left" w:pos="5210"/>
        </w:tabs>
        <w:spacing w:after="240"/>
        <w:jc w:val="both"/>
        <w:rPr>
          <w:color w:val="000000" w:themeColor="text1"/>
          <w:sz w:val="22"/>
          <w:szCs w:val="22"/>
        </w:rPr>
      </w:pPr>
      <w:r>
        <w:rPr>
          <w:b/>
          <w:bCs/>
          <w:color w:val="000000" w:themeColor="text1"/>
          <w:sz w:val="22"/>
          <w:szCs w:val="22"/>
        </w:rPr>
        <w:t>H. 3247 (Rep. Haddon)</w:t>
      </w:r>
      <w:r>
        <w:rPr>
          <w:color w:val="000000" w:themeColor="text1"/>
          <w:sz w:val="22"/>
          <w:szCs w:val="22"/>
        </w:rPr>
        <w:t xml:space="preserve"> – </w:t>
      </w:r>
      <w:r>
        <w:rPr>
          <w:color w:val="000000" w:themeColor="text1"/>
          <w:sz w:val="22"/>
          <w:szCs w:val="22"/>
          <w:u w:val="single"/>
        </w:rPr>
        <w:t>Excused School Absences</w:t>
      </w:r>
      <w:r>
        <w:rPr>
          <w:color w:val="000000" w:themeColor="text1"/>
          <w:sz w:val="22"/>
          <w:szCs w:val="22"/>
        </w:rPr>
        <w:t>: A bill to require school districts to adopt a policy authorizing students to be excused from school for the purpose of participating in career and technical student organization experiences, like events of Future Farmers of America organizations and 4-H programs. Absences may not exceed ten school days per school year.</w:t>
      </w:r>
    </w:p>
    <w:p w14:paraId="0BABCCEE" w14:textId="77777777" w:rsidR="007B36D5" w:rsidRDefault="007B36D5" w:rsidP="007B36D5"/>
    <w:p w14:paraId="5B36AF5E" w14:textId="77777777" w:rsidR="007B36D5" w:rsidRDefault="007B36D5" w:rsidP="007B36D5">
      <w:pPr>
        <w:rPr>
          <w:sz w:val="22"/>
          <w:szCs w:val="22"/>
        </w:rPr>
        <w:sectPr w:rsidR="007B36D5" w:rsidSect="007B36D5">
          <w:pgSz w:w="12240" w:h="15840"/>
          <w:pgMar w:top="1440" w:right="1440" w:bottom="1440" w:left="1440" w:header="720" w:footer="720" w:gutter="0"/>
          <w:pgNumType w:start="2"/>
          <w:cols w:space="720"/>
        </w:sectPr>
      </w:pPr>
    </w:p>
    <w:p w14:paraId="206B8068" w14:textId="77777777" w:rsidR="00D54AFD" w:rsidRDefault="00D54AFD" w:rsidP="007B36D5">
      <w:pPr>
        <w:spacing w:after="120"/>
        <w:jc w:val="both"/>
      </w:pPr>
    </w:p>
    <w:sectPr w:rsidR="00D54A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6D5"/>
    <w:rsid w:val="001D7520"/>
    <w:rsid w:val="002940A0"/>
    <w:rsid w:val="004F5D2F"/>
    <w:rsid w:val="005E65D2"/>
    <w:rsid w:val="007B36D5"/>
    <w:rsid w:val="008511F5"/>
    <w:rsid w:val="00D54AFD"/>
    <w:rsid w:val="00D922AF"/>
    <w:rsid w:val="00E723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91B522"/>
  <w15:chartTrackingRefBased/>
  <w15:docId w15:val="{A67FB66B-27FF-4105-8C6C-2EF266211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36D5"/>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7B36D5"/>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7B36D5"/>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7B36D5"/>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7B36D5"/>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7B36D5"/>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7B36D5"/>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7B36D5"/>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7B36D5"/>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7B36D5"/>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36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B36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B36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36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B36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36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36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36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36D5"/>
    <w:rPr>
      <w:rFonts w:eastAsiaTheme="majorEastAsia" w:cstheme="majorBidi"/>
      <w:color w:val="272727" w:themeColor="text1" w:themeTint="D8"/>
    </w:rPr>
  </w:style>
  <w:style w:type="paragraph" w:styleId="Title">
    <w:name w:val="Title"/>
    <w:basedOn w:val="Normal"/>
    <w:next w:val="Normal"/>
    <w:link w:val="TitleChar"/>
    <w:uiPriority w:val="10"/>
    <w:qFormat/>
    <w:rsid w:val="007B36D5"/>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B36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36D5"/>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B36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36D5"/>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7B36D5"/>
    <w:rPr>
      <w:i/>
      <w:iCs/>
      <w:color w:val="404040" w:themeColor="text1" w:themeTint="BF"/>
    </w:rPr>
  </w:style>
  <w:style w:type="paragraph" w:styleId="ListParagraph">
    <w:name w:val="List Paragraph"/>
    <w:basedOn w:val="Normal"/>
    <w:uiPriority w:val="34"/>
    <w:qFormat/>
    <w:rsid w:val="007B36D5"/>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7B36D5"/>
    <w:rPr>
      <w:i/>
      <w:iCs/>
      <w:color w:val="0F4761" w:themeColor="accent1" w:themeShade="BF"/>
    </w:rPr>
  </w:style>
  <w:style w:type="paragraph" w:styleId="IntenseQuote">
    <w:name w:val="Intense Quote"/>
    <w:basedOn w:val="Normal"/>
    <w:next w:val="Normal"/>
    <w:link w:val="IntenseQuoteChar"/>
    <w:uiPriority w:val="30"/>
    <w:qFormat/>
    <w:rsid w:val="007B36D5"/>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7B36D5"/>
    <w:rPr>
      <w:i/>
      <w:iCs/>
      <w:color w:val="0F4761" w:themeColor="accent1" w:themeShade="BF"/>
    </w:rPr>
  </w:style>
  <w:style w:type="character" w:styleId="IntenseReference">
    <w:name w:val="Intense Reference"/>
    <w:basedOn w:val="DefaultParagraphFont"/>
    <w:uiPriority w:val="32"/>
    <w:qFormat/>
    <w:rsid w:val="007B36D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9693">
      <w:bodyDiv w:val="1"/>
      <w:marLeft w:val="0"/>
      <w:marRight w:val="0"/>
      <w:marTop w:val="0"/>
      <w:marBottom w:val="0"/>
      <w:divBdr>
        <w:top w:val="none" w:sz="0" w:space="0" w:color="auto"/>
        <w:left w:val="none" w:sz="0" w:space="0" w:color="auto"/>
        <w:bottom w:val="none" w:sz="0" w:space="0" w:color="auto"/>
        <w:right w:val="none" w:sz="0" w:space="0" w:color="auto"/>
      </w:divBdr>
    </w:div>
    <w:div w:id="127747301">
      <w:bodyDiv w:val="1"/>
      <w:marLeft w:val="0"/>
      <w:marRight w:val="0"/>
      <w:marTop w:val="0"/>
      <w:marBottom w:val="0"/>
      <w:divBdr>
        <w:top w:val="none" w:sz="0" w:space="0" w:color="auto"/>
        <w:left w:val="none" w:sz="0" w:space="0" w:color="auto"/>
        <w:bottom w:val="none" w:sz="0" w:space="0" w:color="auto"/>
        <w:right w:val="none" w:sz="0" w:space="0" w:color="auto"/>
      </w:divBdr>
    </w:div>
    <w:div w:id="516820579">
      <w:bodyDiv w:val="1"/>
      <w:marLeft w:val="0"/>
      <w:marRight w:val="0"/>
      <w:marTop w:val="0"/>
      <w:marBottom w:val="0"/>
      <w:divBdr>
        <w:top w:val="none" w:sz="0" w:space="0" w:color="auto"/>
        <w:left w:val="none" w:sz="0" w:space="0" w:color="auto"/>
        <w:bottom w:val="none" w:sz="0" w:space="0" w:color="auto"/>
        <w:right w:val="none" w:sz="0" w:space="0" w:color="auto"/>
      </w:divBdr>
    </w:div>
    <w:div w:id="543369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1418</Words>
  <Characters>8086</Characters>
  <Application>Microsoft Office Word</Application>
  <DocSecurity>0</DocSecurity>
  <Lines>67</Lines>
  <Paragraphs>18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 Turner</dc:creator>
  <cp:keywords/>
  <dc:description/>
  <cp:lastModifiedBy>Julie Turner</cp:lastModifiedBy>
  <cp:revision>2</cp:revision>
  <dcterms:created xsi:type="dcterms:W3CDTF">2025-03-31T16:19:00Z</dcterms:created>
  <dcterms:modified xsi:type="dcterms:W3CDTF">2025-03-31T16:19:00Z</dcterms:modified>
</cp:coreProperties>
</file>