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AC615E" w14:textId="0D511DC2" w:rsidR="00A64A77" w:rsidRPr="00D04E4D" w:rsidRDefault="002303E9" w:rsidP="0094312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2"/>
          <w:szCs w:val="36"/>
        </w:rPr>
      </w:pPr>
      <w:r w:rsidRPr="00D04E4D">
        <w:rPr>
          <w:b/>
          <w:color w:val="000000"/>
          <w:sz w:val="32"/>
          <w:szCs w:val="36"/>
        </w:rPr>
        <w:t xml:space="preserve">S. </w:t>
      </w:r>
      <w:r w:rsidR="00B71F51">
        <w:rPr>
          <w:b/>
          <w:color w:val="000000"/>
          <w:sz w:val="32"/>
          <w:szCs w:val="36"/>
        </w:rPr>
        <w:t>244</w:t>
      </w:r>
      <w:r w:rsidR="00D441D9" w:rsidRPr="00D04E4D">
        <w:rPr>
          <w:b/>
          <w:color w:val="000000"/>
          <w:sz w:val="32"/>
          <w:szCs w:val="36"/>
        </w:rPr>
        <w:t xml:space="preserve"> (</w:t>
      </w:r>
      <w:r w:rsidR="00B71F51">
        <w:rPr>
          <w:b/>
          <w:color w:val="000000"/>
          <w:sz w:val="32"/>
          <w:szCs w:val="36"/>
        </w:rPr>
        <w:t>Massey</w:t>
      </w:r>
      <w:r w:rsidR="00D441D9" w:rsidRPr="00D04E4D">
        <w:rPr>
          <w:b/>
          <w:color w:val="000000"/>
          <w:sz w:val="32"/>
          <w:szCs w:val="36"/>
        </w:rPr>
        <w:t>)</w:t>
      </w:r>
      <w:r w:rsidR="009906AB" w:rsidRPr="00D04E4D">
        <w:rPr>
          <w:b/>
          <w:color w:val="000000"/>
          <w:sz w:val="32"/>
          <w:szCs w:val="36"/>
        </w:rPr>
        <w:t>:</w:t>
      </w:r>
      <w:r w:rsidR="00D441D9" w:rsidRPr="00D04E4D">
        <w:rPr>
          <w:b/>
          <w:color w:val="000000"/>
          <w:sz w:val="32"/>
          <w:szCs w:val="36"/>
        </w:rPr>
        <w:t xml:space="preserve"> </w:t>
      </w:r>
      <w:r w:rsidR="00B71F51">
        <w:rPr>
          <w:b/>
          <w:color w:val="000000"/>
          <w:sz w:val="32"/>
          <w:szCs w:val="36"/>
        </w:rPr>
        <w:t>Tort Reform</w:t>
      </w:r>
    </w:p>
    <w:p w14:paraId="05A41FD0" w14:textId="4390F391" w:rsidR="003115FD" w:rsidRPr="00D643C2" w:rsidRDefault="00D441D9">
      <w:pPr>
        <w:jc w:val="both"/>
        <w:rPr>
          <w:iCs/>
          <w:sz w:val="22"/>
          <w:szCs w:val="22"/>
        </w:rPr>
      </w:pPr>
      <w:r w:rsidRPr="001E48F4">
        <w:rPr>
          <w:b/>
          <w:bCs/>
          <w:iCs/>
          <w:sz w:val="22"/>
          <w:szCs w:val="22"/>
        </w:rPr>
        <w:t xml:space="preserve">Synopsis: </w:t>
      </w:r>
      <w:r w:rsidR="0060566F" w:rsidRPr="0060566F">
        <w:rPr>
          <w:iCs/>
          <w:sz w:val="22"/>
          <w:szCs w:val="22"/>
        </w:rPr>
        <w:t xml:space="preserve">A bill to amend </w:t>
      </w:r>
      <w:r w:rsidR="00F831A7">
        <w:rPr>
          <w:iCs/>
          <w:sz w:val="22"/>
          <w:szCs w:val="22"/>
        </w:rPr>
        <w:t>c</w:t>
      </w:r>
      <w:r w:rsidR="0060566F" w:rsidRPr="0060566F">
        <w:rPr>
          <w:iCs/>
          <w:sz w:val="22"/>
          <w:szCs w:val="22"/>
        </w:rPr>
        <w:t xml:space="preserve">ivil liability laws by requiring that a jury apportion fault to a defendant, as well as the </w:t>
      </w:r>
      <w:r w:rsidR="002F330F">
        <w:rPr>
          <w:iCs/>
          <w:sz w:val="22"/>
          <w:szCs w:val="22"/>
        </w:rPr>
        <w:t>plaintiff</w:t>
      </w:r>
      <w:r w:rsidR="0060566F" w:rsidRPr="0060566F">
        <w:rPr>
          <w:iCs/>
          <w:sz w:val="22"/>
          <w:szCs w:val="22"/>
        </w:rPr>
        <w:t xml:space="preserve"> and any non-parties who may have contributed to damages. </w:t>
      </w:r>
      <w:r w:rsidR="003E25E1">
        <w:rPr>
          <w:iCs/>
          <w:sz w:val="22"/>
          <w:szCs w:val="22"/>
        </w:rPr>
        <w:t>After fault is allocated, any</w:t>
      </w:r>
      <w:r w:rsidR="00E13D9A">
        <w:rPr>
          <w:iCs/>
          <w:sz w:val="22"/>
          <w:szCs w:val="22"/>
        </w:rPr>
        <w:t xml:space="preserve"> defendant with a share </w:t>
      </w:r>
      <w:r w:rsidR="004212C3">
        <w:rPr>
          <w:iCs/>
          <w:sz w:val="22"/>
          <w:szCs w:val="22"/>
        </w:rPr>
        <w:t xml:space="preserve">of </w:t>
      </w:r>
      <w:r w:rsidR="00E13D9A">
        <w:rPr>
          <w:iCs/>
          <w:sz w:val="22"/>
          <w:szCs w:val="22"/>
        </w:rPr>
        <w:t>fault greater than 50% of the total fault is jointly and severally liable for</w:t>
      </w:r>
      <w:r w:rsidR="00472F31">
        <w:rPr>
          <w:iCs/>
          <w:sz w:val="22"/>
          <w:szCs w:val="22"/>
        </w:rPr>
        <w:t xml:space="preserve"> a plaintiff’s economic damages</w:t>
      </w:r>
      <w:r w:rsidR="00B648BF">
        <w:rPr>
          <w:iCs/>
          <w:sz w:val="22"/>
          <w:szCs w:val="22"/>
        </w:rPr>
        <w:t>.</w:t>
      </w:r>
      <w:r w:rsidR="00472F31">
        <w:rPr>
          <w:iCs/>
          <w:sz w:val="22"/>
          <w:szCs w:val="22"/>
        </w:rPr>
        <w:t xml:space="preserve"> </w:t>
      </w:r>
      <w:r w:rsidR="00B648BF">
        <w:rPr>
          <w:iCs/>
          <w:sz w:val="22"/>
          <w:szCs w:val="22"/>
        </w:rPr>
        <w:t>Defendants shall be</w:t>
      </w:r>
      <w:r w:rsidR="00472F31">
        <w:rPr>
          <w:iCs/>
          <w:sz w:val="22"/>
          <w:szCs w:val="22"/>
        </w:rPr>
        <w:t xml:space="preserve"> severally liable for non-economic and punitive damages. </w:t>
      </w:r>
      <w:r w:rsidR="0060566F" w:rsidRPr="0060566F">
        <w:rPr>
          <w:iCs/>
          <w:sz w:val="22"/>
          <w:szCs w:val="22"/>
        </w:rPr>
        <w:t xml:space="preserve">The bill further incorporates specific limitations on commercial host liability (dram shop) and requires alcohol server training for </w:t>
      </w:r>
      <w:proofErr w:type="gramStart"/>
      <w:r w:rsidR="0060566F" w:rsidRPr="0060566F">
        <w:rPr>
          <w:iCs/>
          <w:sz w:val="22"/>
          <w:szCs w:val="22"/>
        </w:rPr>
        <w:t>on-premise</w:t>
      </w:r>
      <w:proofErr w:type="gramEnd"/>
      <w:r w:rsidR="0060566F" w:rsidRPr="0060566F">
        <w:rPr>
          <w:iCs/>
          <w:sz w:val="22"/>
          <w:szCs w:val="22"/>
        </w:rPr>
        <w:t xml:space="preserve"> service. Additional provisions aimed at reducing insurance costs are included</w:t>
      </w:r>
      <w:r w:rsidR="00CA1358">
        <w:rPr>
          <w:iCs/>
          <w:sz w:val="22"/>
          <w:szCs w:val="22"/>
        </w:rPr>
        <w:t xml:space="preserve">, including </w:t>
      </w:r>
      <w:r w:rsidR="004B2D82">
        <w:rPr>
          <w:iCs/>
          <w:sz w:val="22"/>
          <w:szCs w:val="22"/>
        </w:rPr>
        <w:t>a reduction in the mandatory liquor liability insurance coverage requirement.</w:t>
      </w:r>
    </w:p>
    <w:p w14:paraId="68C7EE04" w14:textId="77777777" w:rsidR="00110146" w:rsidRPr="00424010" w:rsidRDefault="00110146" w:rsidP="004E7363">
      <w:pPr>
        <w:pBdr>
          <w:bottom w:val="single" w:sz="4" w:space="1" w:color="auto"/>
        </w:pBdr>
        <w:jc w:val="both"/>
        <w:rPr>
          <w:iCs/>
          <w:sz w:val="22"/>
          <w:szCs w:val="22"/>
        </w:rPr>
      </w:pPr>
    </w:p>
    <w:p w14:paraId="170EAD74" w14:textId="77777777" w:rsidR="004E7363" w:rsidRDefault="004E7363" w:rsidP="004E7363">
      <w:pPr>
        <w:jc w:val="both"/>
        <w:rPr>
          <w:iCs/>
          <w:sz w:val="22"/>
          <w:szCs w:val="22"/>
        </w:rPr>
      </w:pPr>
    </w:p>
    <w:p w14:paraId="35B8C106" w14:textId="1CEFFE62" w:rsidR="00A3667F" w:rsidRDefault="00251EF5" w:rsidP="00FD6B2E">
      <w:pPr>
        <w:jc w:val="center"/>
        <w:rPr>
          <w:iCs/>
          <w:sz w:val="22"/>
          <w:szCs w:val="22"/>
        </w:rPr>
      </w:pPr>
      <w:r w:rsidRPr="00251EF5">
        <w:rPr>
          <w:iCs/>
          <w:sz w:val="22"/>
          <w:szCs w:val="22"/>
        </w:rPr>
        <w:t>Section-by-Section</w:t>
      </w:r>
    </w:p>
    <w:p w14:paraId="1A514FFF" w14:textId="00619DF9" w:rsidR="00251EF5" w:rsidRPr="00251EF5" w:rsidRDefault="00251EF5" w:rsidP="00251EF5">
      <w:pPr>
        <w:spacing w:after="120"/>
        <w:jc w:val="both"/>
        <w:rPr>
          <w:iCs/>
          <w:sz w:val="22"/>
          <w:szCs w:val="22"/>
        </w:rPr>
      </w:pPr>
      <w:r w:rsidRPr="00251EF5">
        <w:rPr>
          <w:b/>
          <w:bCs/>
          <w:iCs/>
          <w:sz w:val="22"/>
          <w:szCs w:val="22"/>
        </w:rPr>
        <w:t>SECTION 1: Liability</w:t>
      </w:r>
    </w:p>
    <w:p w14:paraId="2EAE152D" w14:textId="46B0BA83" w:rsidR="00251EF5" w:rsidRDefault="00CE4AE7" w:rsidP="004943A0">
      <w:pPr>
        <w:numPr>
          <w:ilvl w:val="0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Juries shall</w:t>
      </w:r>
      <w:r w:rsidR="004943A0">
        <w:rPr>
          <w:iCs/>
          <w:sz w:val="22"/>
          <w:szCs w:val="22"/>
        </w:rPr>
        <w:t xml:space="preserve"> apportion fault</w:t>
      </w:r>
      <w:r w:rsidR="00251EF5" w:rsidRPr="00251EF5">
        <w:rPr>
          <w:iCs/>
          <w:sz w:val="22"/>
          <w:szCs w:val="22"/>
        </w:rPr>
        <w:t xml:space="preserve"> among </w:t>
      </w:r>
      <w:r w:rsidR="004943A0">
        <w:rPr>
          <w:iCs/>
          <w:sz w:val="22"/>
          <w:szCs w:val="22"/>
        </w:rPr>
        <w:t>plaintiffs, defendants, and non-parties. A “non-party”</w:t>
      </w:r>
      <w:r w:rsidR="005D3417">
        <w:rPr>
          <w:iCs/>
          <w:sz w:val="22"/>
          <w:szCs w:val="22"/>
        </w:rPr>
        <w:t xml:space="preserve"> is someone who has previously settled a claim arising from the same act.</w:t>
      </w:r>
    </w:p>
    <w:p w14:paraId="438282FB" w14:textId="206897A2" w:rsidR="00512DC8" w:rsidRDefault="00707269" w:rsidP="004943A0">
      <w:pPr>
        <w:numPr>
          <w:ilvl w:val="0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Each defendant is severally liable for his share of the plaintiff’s </w:t>
      </w:r>
      <w:r>
        <w:rPr>
          <w:i/>
          <w:sz w:val="22"/>
          <w:szCs w:val="22"/>
        </w:rPr>
        <w:t xml:space="preserve">noneconomic </w:t>
      </w:r>
      <w:r w:rsidRPr="00707269">
        <w:rPr>
          <w:iCs/>
          <w:sz w:val="22"/>
          <w:szCs w:val="22"/>
        </w:rPr>
        <w:t>and</w:t>
      </w:r>
      <w:r>
        <w:rPr>
          <w:i/>
          <w:sz w:val="22"/>
          <w:szCs w:val="22"/>
        </w:rPr>
        <w:t xml:space="preserve"> punitive </w:t>
      </w:r>
      <w:r w:rsidRPr="00707269">
        <w:rPr>
          <w:iCs/>
          <w:sz w:val="22"/>
          <w:szCs w:val="22"/>
        </w:rPr>
        <w:t xml:space="preserve">or </w:t>
      </w:r>
      <w:r>
        <w:rPr>
          <w:i/>
          <w:sz w:val="22"/>
          <w:szCs w:val="22"/>
        </w:rPr>
        <w:t xml:space="preserve">exemplary </w:t>
      </w:r>
      <w:r w:rsidRPr="00707269">
        <w:rPr>
          <w:iCs/>
          <w:sz w:val="22"/>
          <w:szCs w:val="22"/>
        </w:rPr>
        <w:t>damages</w:t>
      </w:r>
      <w:r>
        <w:rPr>
          <w:iCs/>
          <w:sz w:val="22"/>
          <w:szCs w:val="22"/>
        </w:rPr>
        <w:t>.</w:t>
      </w:r>
    </w:p>
    <w:p w14:paraId="4ADB5F8B" w14:textId="41C76BDB" w:rsidR="00707269" w:rsidRDefault="005133E8" w:rsidP="004943A0">
      <w:pPr>
        <w:numPr>
          <w:ilvl w:val="0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 defendant who is more than 50% responsible of the total fault is jointly and severally liable </w:t>
      </w:r>
      <w:r w:rsidR="00313D74">
        <w:rPr>
          <w:iCs/>
          <w:sz w:val="22"/>
          <w:szCs w:val="22"/>
        </w:rPr>
        <w:t>to the total amount of the plaintiff’s economic damages.</w:t>
      </w:r>
    </w:p>
    <w:p w14:paraId="4868EAC2" w14:textId="1265CA3C" w:rsidR="007252C3" w:rsidRDefault="007252C3" w:rsidP="004943A0">
      <w:pPr>
        <w:numPr>
          <w:ilvl w:val="0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In a DUI scenario, </w:t>
      </w:r>
      <w:r w:rsidR="008D0D9E">
        <w:rPr>
          <w:iCs/>
          <w:sz w:val="22"/>
          <w:szCs w:val="22"/>
        </w:rPr>
        <w:t xml:space="preserve">the </w:t>
      </w:r>
      <w:r w:rsidR="001458AF">
        <w:rPr>
          <w:iCs/>
          <w:sz w:val="22"/>
          <w:szCs w:val="22"/>
        </w:rPr>
        <w:t>liability of bars and restaurants is capped at 50% of a plaintiff’s total damages, provided a jury finds the intoxicated driver more than 50% responsible</w:t>
      </w:r>
      <w:r w:rsidR="008D0D9E">
        <w:rPr>
          <w:iCs/>
          <w:sz w:val="22"/>
          <w:szCs w:val="22"/>
        </w:rPr>
        <w:t xml:space="preserve"> in the tortious act.</w:t>
      </w:r>
    </w:p>
    <w:p w14:paraId="2F7E0AA3" w14:textId="48ECD495" w:rsidR="00CE4AE7" w:rsidRDefault="00BC5668" w:rsidP="004943A0">
      <w:pPr>
        <w:numPr>
          <w:ilvl w:val="0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 process whereby defendants may move to include other contributors in a tortious act to the verdict form is </w:t>
      </w:r>
      <w:r w:rsidR="00E532AC">
        <w:rPr>
          <w:iCs/>
          <w:sz w:val="22"/>
          <w:szCs w:val="22"/>
        </w:rPr>
        <w:t>incorporated.</w:t>
      </w:r>
    </w:p>
    <w:p w14:paraId="41DC64D4" w14:textId="3D1F4DA5" w:rsidR="00327582" w:rsidRDefault="00327582" w:rsidP="004943A0">
      <w:pPr>
        <w:numPr>
          <w:ilvl w:val="0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Certain parties are excluded from being added to the verdict form:</w:t>
      </w:r>
    </w:p>
    <w:p w14:paraId="65543332" w14:textId="0279D721" w:rsidR="00CF6378" w:rsidRDefault="00473306" w:rsidP="00CF6378">
      <w:pPr>
        <w:numPr>
          <w:ilvl w:val="1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Those subject to w</w:t>
      </w:r>
      <w:r w:rsidR="00CF6378">
        <w:rPr>
          <w:iCs/>
          <w:sz w:val="22"/>
          <w:szCs w:val="22"/>
        </w:rPr>
        <w:t>orker</w:t>
      </w:r>
      <w:r w:rsidR="00C31B16">
        <w:rPr>
          <w:iCs/>
          <w:sz w:val="22"/>
          <w:szCs w:val="22"/>
        </w:rPr>
        <w:t xml:space="preserve">’s compensation </w:t>
      </w:r>
      <w:r>
        <w:rPr>
          <w:iCs/>
          <w:sz w:val="22"/>
          <w:szCs w:val="22"/>
        </w:rPr>
        <w:t xml:space="preserve">statutes </w:t>
      </w:r>
      <w:r w:rsidR="00C31B16">
        <w:rPr>
          <w:iCs/>
          <w:sz w:val="22"/>
          <w:szCs w:val="22"/>
        </w:rPr>
        <w:t>or bankruptcy</w:t>
      </w:r>
      <w:r>
        <w:rPr>
          <w:iCs/>
          <w:sz w:val="22"/>
          <w:szCs w:val="22"/>
        </w:rPr>
        <w:t xml:space="preserve"> code.</w:t>
      </w:r>
    </w:p>
    <w:p w14:paraId="5C33F4DF" w14:textId="55A1064E" w:rsidR="00473306" w:rsidRDefault="00AA4DEB" w:rsidP="00CF6378">
      <w:pPr>
        <w:numPr>
          <w:ilvl w:val="1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When the plaintiff’s damages arise from assault, battery, sexual assault, financial fraud, or theft.</w:t>
      </w:r>
    </w:p>
    <w:p w14:paraId="30C80BD4" w14:textId="57C4BAED" w:rsidR="00AA4DEB" w:rsidRDefault="009251E2" w:rsidP="00CF6378">
      <w:pPr>
        <w:numPr>
          <w:ilvl w:val="1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</w:t>
      </w:r>
      <w:r w:rsidRPr="009251E2">
        <w:rPr>
          <w:iCs/>
          <w:sz w:val="22"/>
          <w:szCs w:val="22"/>
        </w:rPr>
        <w:t xml:space="preserve"> person whose fault </w:t>
      </w:r>
      <w:r>
        <w:rPr>
          <w:iCs/>
          <w:sz w:val="22"/>
          <w:szCs w:val="22"/>
        </w:rPr>
        <w:t>i</w:t>
      </w:r>
      <w:r w:rsidRPr="009251E2">
        <w:rPr>
          <w:iCs/>
          <w:sz w:val="22"/>
          <w:szCs w:val="22"/>
        </w:rPr>
        <w:t>s based upon the fault of the nonparty for which a defendant is vicariously liable</w:t>
      </w:r>
      <w:r>
        <w:rPr>
          <w:iCs/>
          <w:sz w:val="22"/>
          <w:szCs w:val="22"/>
        </w:rPr>
        <w:t>.</w:t>
      </w:r>
    </w:p>
    <w:p w14:paraId="770D4762" w14:textId="4CAE8E45" w:rsidR="005B3853" w:rsidRDefault="009251E2" w:rsidP="00CF6378">
      <w:pPr>
        <w:numPr>
          <w:ilvl w:val="1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In s</w:t>
      </w:r>
      <w:r w:rsidR="005F3257">
        <w:rPr>
          <w:iCs/>
          <w:sz w:val="22"/>
          <w:szCs w:val="22"/>
        </w:rPr>
        <w:t>trict liability causes.</w:t>
      </w:r>
    </w:p>
    <w:p w14:paraId="49F3211F" w14:textId="5D417664" w:rsidR="006F422D" w:rsidRDefault="00247C08" w:rsidP="006F422D">
      <w:pPr>
        <w:numPr>
          <w:ilvl w:val="0"/>
          <w:numId w:val="19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The provisions of the section to not apply </w:t>
      </w:r>
      <w:r w:rsidR="00B52D45">
        <w:rPr>
          <w:iCs/>
          <w:sz w:val="22"/>
          <w:szCs w:val="22"/>
        </w:rPr>
        <w:t xml:space="preserve">to </w:t>
      </w:r>
      <w:r>
        <w:rPr>
          <w:iCs/>
          <w:sz w:val="22"/>
          <w:szCs w:val="22"/>
        </w:rPr>
        <w:t>causes of action involving PFAS or asbestos commenced prior to the effective date of the act.</w:t>
      </w:r>
    </w:p>
    <w:p w14:paraId="458AB731" w14:textId="38EAA65C" w:rsidR="00A618B9" w:rsidRDefault="00251EF5" w:rsidP="00251EF5">
      <w:pPr>
        <w:spacing w:after="120"/>
        <w:jc w:val="both"/>
        <w:rPr>
          <w:b/>
          <w:bCs/>
          <w:iCs/>
          <w:sz w:val="22"/>
          <w:szCs w:val="22"/>
        </w:rPr>
      </w:pPr>
      <w:r w:rsidRPr="00251EF5">
        <w:rPr>
          <w:b/>
          <w:bCs/>
          <w:iCs/>
          <w:sz w:val="22"/>
          <w:szCs w:val="22"/>
        </w:rPr>
        <w:t>SECTION</w:t>
      </w:r>
      <w:r w:rsidR="006E5DDC">
        <w:rPr>
          <w:b/>
          <w:bCs/>
          <w:iCs/>
          <w:sz w:val="22"/>
          <w:szCs w:val="22"/>
        </w:rPr>
        <w:t>S</w:t>
      </w:r>
      <w:r w:rsidRPr="00251EF5">
        <w:rPr>
          <w:b/>
          <w:bCs/>
          <w:iCs/>
          <w:sz w:val="22"/>
          <w:szCs w:val="22"/>
        </w:rPr>
        <w:t xml:space="preserve"> 2</w:t>
      </w:r>
      <w:r w:rsidR="005808C2">
        <w:rPr>
          <w:b/>
          <w:bCs/>
          <w:iCs/>
          <w:sz w:val="22"/>
          <w:szCs w:val="22"/>
        </w:rPr>
        <w:t>-4</w:t>
      </w:r>
      <w:r w:rsidRPr="00251EF5">
        <w:rPr>
          <w:b/>
          <w:bCs/>
          <w:iCs/>
          <w:sz w:val="22"/>
          <w:szCs w:val="22"/>
        </w:rPr>
        <w:t xml:space="preserve">: </w:t>
      </w:r>
      <w:r w:rsidR="005808C2">
        <w:rPr>
          <w:b/>
          <w:bCs/>
          <w:iCs/>
          <w:sz w:val="22"/>
          <w:szCs w:val="22"/>
        </w:rPr>
        <w:t>Conforming Contribution</w:t>
      </w:r>
      <w:r w:rsidR="006E5DDC">
        <w:rPr>
          <w:b/>
          <w:bCs/>
          <w:iCs/>
          <w:sz w:val="22"/>
          <w:szCs w:val="22"/>
        </w:rPr>
        <w:t>, Pro-Rate Statutes</w:t>
      </w:r>
    </w:p>
    <w:p w14:paraId="34701170" w14:textId="0DDA8B13" w:rsidR="00575BC8" w:rsidRPr="00575BC8" w:rsidRDefault="00575BC8" w:rsidP="00C96F3E">
      <w:pPr>
        <w:spacing w:after="2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Amends </w:t>
      </w:r>
      <w:r w:rsidR="005808C2">
        <w:rPr>
          <w:iCs/>
          <w:sz w:val="22"/>
          <w:szCs w:val="22"/>
        </w:rPr>
        <w:t xml:space="preserve">existing </w:t>
      </w:r>
      <w:r w:rsidR="00CB4599">
        <w:rPr>
          <w:iCs/>
          <w:sz w:val="22"/>
          <w:szCs w:val="22"/>
        </w:rPr>
        <w:t>r</w:t>
      </w:r>
      <w:r>
        <w:rPr>
          <w:iCs/>
          <w:sz w:val="22"/>
          <w:szCs w:val="22"/>
        </w:rPr>
        <w:t xml:space="preserve">ight of </w:t>
      </w:r>
      <w:r w:rsidR="00CB4599">
        <w:rPr>
          <w:iCs/>
          <w:sz w:val="22"/>
          <w:szCs w:val="22"/>
        </w:rPr>
        <w:t>c</w:t>
      </w:r>
      <w:r>
        <w:rPr>
          <w:iCs/>
          <w:sz w:val="22"/>
          <w:szCs w:val="22"/>
        </w:rPr>
        <w:t>ontribution</w:t>
      </w:r>
      <w:r w:rsidR="005808C2">
        <w:rPr>
          <w:iCs/>
          <w:sz w:val="22"/>
          <w:szCs w:val="22"/>
        </w:rPr>
        <w:t>, pro rat</w:t>
      </w:r>
      <w:r w:rsidR="006E5DDC">
        <w:rPr>
          <w:iCs/>
          <w:sz w:val="22"/>
          <w:szCs w:val="22"/>
        </w:rPr>
        <w:t>a</w:t>
      </w:r>
      <w:r w:rsidR="005808C2">
        <w:rPr>
          <w:iCs/>
          <w:sz w:val="22"/>
          <w:szCs w:val="22"/>
        </w:rPr>
        <w:t xml:space="preserve"> liability, and actions for contribution</w:t>
      </w:r>
      <w:r>
        <w:rPr>
          <w:iCs/>
          <w:sz w:val="22"/>
          <w:szCs w:val="22"/>
        </w:rPr>
        <w:t xml:space="preserve"> </w:t>
      </w:r>
      <w:r w:rsidR="00CB4599">
        <w:rPr>
          <w:iCs/>
          <w:sz w:val="22"/>
          <w:szCs w:val="22"/>
        </w:rPr>
        <w:t>s</w:t>
      </w:r>
      <w:r>
        <w:rPr>
          <w:iCs/>
          <w:sz w:val="22"/>
          <w:szCs w:val="22"/>
        </w:rPr>
        <w:t xml:space="preserve">tatutes to provide that the </w:t>
      </w:r>
      <w:r w:rsidRPr="00575BC8">
        <w:rPr>
          <w:iCs/>
          <w:sz w:val="22"/>
          <w:szCs w:val="22"/>
        </w:rPr>
        <w:t>provisions in this section apply only to causes of action where the nonparty tortfeasor was not added to the verdict form pursuant to Section 15-38-15(A)(1), (C), or (F).</w:t>
      </w:r>
    </w:p>
    <w:p w14:paraId="676F32D1" w14:textId="7D152020" w:rsidR="00251EF5" w:rsidRPr="00251EF5" w:rsidRDefault="00FF4ECE" w:rsidP="00251EF5">
      <w:pPr>
        <w:spacing w:after="120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SECTION 5: D</w:t>
      </w:r>
      <w:r w:rsidR="00251EF5" w:rsidRPr="00251EF5">
        <w:rPr>
          <w:b/>
          <w:bCs/>
          <w:iCs/>
          <w:sz w:val="22"/>
          <w:szCs w:val="22"/>
        </w:rPr>
        <w:t>ram Shop Liability</w:t>
      </w:r>
    </w:p>
    <w:p w14:paraId="2FFD631A" w14:textId="3BEB927E" w:rsidR="00251EF5" w:rsidRPr="00251EF5" w:rsidRDefault="00251EF5" w:rsidP="00251EF5">
      <w:pPr>
        <w:numPr>
          <w:ilvl w:val="0"/>
          <w:numId w:val="20"/>
        </w:numPr>
        <w:spacing w:after="120"/>
        <w:jc w:val="both"/>
        <w:rPr>
          <w:iCs/>
          <w:sz w:val="22"/>
          <w:szCs w:val="22"/>
        </w:rPr>
      </w:pPr>
      <w:r w:rsidRPr="00251EF5">
        <w:rPr>
          <w:iCs/>
          <w:sz w:val="22"/>
          <w:szCs w:val="22"/>
        </w:rPr>
        <w:t>Provides limitations on when an alcohol licensee is civilly liable for damages</w:t>
      </w:r>
      <w:r w:rsidR="00FF4ECE">
        <w:rPr>
          <w:iCs/>
          <w:sz w:val="22"/>
          <w:szCs w:val="22"/>
        </w:rPr>
        <w:t>.</w:t>
      </w:r>
    </w:p>
    <w:p w14:paraId="26CFBADB" w14:textId="53CAEB22" w:rsidR="00251EF5" w:rsidRPr="00251EF5" w:rsidRDefault="00614443" w:rsidP="00251EF5">
      <w:pPr>
        <w:numPr>
          <w:ilvl w:val="1"/>
          <w:numId w:val="20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The licensee must </w:t>
      </w:r>
      <w:r w:rsidRPr="00060949">
        <w:rPr>
          <w:b/>
          <w:bCs/>
          <w:iCs/>
          <w:sz w:val="22"/>
          <w:szCs w:val="22"/>
        </w:rPr>
        <w:t>knowingly</w:t>
      </w:r>
      <w:r>
        <w:rPr>
          <w:iCs/>
          <w:sz w:val="22"/>
          <w:szCs w:val="22"/>
        </w:rPr>
        <w:t xml:space="preserve"> sell alcohol to an individual who was </w:t>
      </w:r>
      <w:r w:rsidRPr="00060949">
        <w:rPr>
          <w:b/>
          <w:bCs/>
          <w:iCs/>
          <w:sz w:val="22"/>
          <w:szCs w:val="22"/>
        </w:rPr>
        <w:t>visibly intoxicated</w:t>
      </w:r>
      <w:r>
        <w:rPr>
          <w:iCs/>
          <w:sz w:val="22"/>
          <w:szCs w:val="22"/>
        </w:rPr>
        <w:t xml:space="preserve">, and the sale of alcohol </w:t>
      </w:r>
      <w:r w:rsidR="00060949">
        <w:rPr>
          <w:iCs/>
          <w:sz w:val="22"/>
          <w:szCs w:val="22"/>
        </w:rPr>
        <w:t xml:space="preserve">must be a </w:t>
      </w:r>
      <w:r w:rsidR="00060949" w:rsidRPr="00060949">
        <w:rPr>
          <w:b/>
          <w:bCs/>
          <w:iCs/>
          <w:sz w:val="22"/>
          <w:szCs w:val="22"/>
        </w:rPr>
        <w:t>proximate cause</w:t>
      </w:r>
      <w:r w:rsidR="00060949">
        <w:rPr>
          <w:iCs/>
          <w:sz w:val="22"/>
          <w:szCs w:val="22"/>
        </w:rPr>
        <w:t xml:space="preserve"> of another’s bodily injury, death, or property damage.</w:t>
      </w:r>
    </w:p>
    <w:p w14:paraId="51FEEF65" w14:textId="78D311AC" w:rsidR="00251EF5" w:rsidRPr="00251EF5" w:rsidRDefault="009E4795" w:rsidP="00251EF5">
      <w:pPr>
        <w:numPr>
          <w:ilvl w:val="0"/>
          <w:numId w:val="20"/>
        </w:numPr>
        <w:spacing w:after="120"/>
        <w:jc w:val="both"/>
        <w:rPr>
          <w:iCs/>
          <w:sz w:val="22"/>
          <w:szCs w:val="22"/>
        </w:rPr>
      </w:pPr>
      <w:r w:rsidRPr="009E4795">
        <w:rPr>
          <w:iCs/>
          <w:sz w:val="22"/>
          <w:szCs w:val="22"/>
        </w:rPr>
        <w:lastRenderedPageBreak/>
        <w:t>A licensee is not chargeable with knowledge of acts by which a person becomes intoxicated at other locations.</w:t>
      </w:r>
    </w:p>
    <w:p w14:paraId="3C32D0CE" w14:textId="3D7F0EDE" w:rsidR="00251EF5" w:rsidRPr="00251EF5" w:rsidRDefault="00251EF5" w:rsidP="00251EF5">
      <w:pPr>
        <w:numPr>
          <w:ilvl w:val="0"/>
          <w:numId w:val="20"/>
        </w:numPr>
        <w:spacing w:after="120"/>
        <w:jc w:val="both"/>
        <w:rPr>
          <w:iCs/>
          <w:sz w:val="22"/>
          <w:szCs w:val="22"/>
        </w:rPr>
      </w:pPr>
      <w:r w:rsidRPr="00251EF5">
        <w:rPr>
          <w:iCs/>
          <w:sz w:val="22"/>
          <w:szCs w:val="22"/>
        </w:rPr>
        <w:t xml:space="preserve">Prohibits passengers </w:t>
      </w:r>
      <w:r w:rsidR="00F334F4">
        <w:rPr>
          <w:iCs/>
          <w:sz w:val="22"/>
          <w:szCs w:val="22"/>
        </w:rPr>
        <w:t xml:space="preserve">19 years of age and older </w:t>
      </w:r>
      <w:r w:rsidRPr="00251EF5">
        <w:rPr>
          <w:iCs/>
          <w:sz w:val="22"/>
          <w:szCs w:val="22"/>
        </w:rPr>
        <w:t>who knowingly ride with intoxicated drivers from claims against the licensee.</w:t>
      </w:r>
    </w:p>
    <w:p w14:paraId="44D579F4" w14:textId="2BAA74BD" w:rsidR="00354323" w:rsidRDefault="00F334F4" w:rsidP="003766B5">
      <w:pPr>
        <w:numPr>
          <w:ilvl w:val="0"/>
          <w:numId w:val="20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Those under age 19 possess a cause of action against a licensee if the licensee knowingly sold alcohol to the person under the age of 19</w:t>
      </w:r>
      <w:r w:rsidR="00354323">
        <w:rPr>
          <w:iCs/>
          <w:sz w:val="22"/>
          <w:szCs w:val="22"/>
        </w:rPr>
        <w:t xml:space="preserve"> and the sale to the person under the age of 19 was a proximate cause of the person’s bodily injury, death, or property damage</w:t>
      </w:r>
      <w:r w:rsidR="00251EF5" w:rsidRPr="00251EF5">
        <w:rPr>
          <w:iCs/>
          <w:sz w:val="22"/>
          <w:szCs w:val="22"/>
        </w:rPr>
        <w:t>.</w:t>
      </w:r>
    </w:p>
    <w:p w14:paraId="337EEE66" w14:textId="506C824F" w:rsidR="007A1FB6" w:rsidRPr="003766B5" w:rsidRDefault="007A1FB6" w:rsidP="003766B5">
      <w:pPr>
        <w:numPr>
          <w:ilvl w:val="0"/>
          <w:numId w:val="20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New, stiff penalties for licensees selling to underage or intoxicated persons are incorporated.</w:t>
      </w:r>
    </w:p>
    <w:p w14:paraId="6E15EECB" w14:textId="3C2A5050" w:rsidR="00251EF5" w:rsidRPr="00251EF5" w:rsidRDefault="00251EF5" w:rsidP="00251EF5">
      <w:pPr>
        <w:spacing w:after="120"/>
        <w:jc w:val="both"/>
        <w:rPr>
          <w:iCs/>
          <w:sz w:val="22"/>
          <w:szCs w:val="22"/>
        </w:rPr>
      </w:pPr>
      <w:r w:rsidRPr="00251EF5">
        <w:rPr>
          <w:b/>
          <w:bCs/>
          <w:iCs/>
          <w:sz w:val="22"/>
          <w:szCs w:val="22"/>
        </w:rPr>
        <w:t xml:space="preserve">SECTION </w:t>
      </w:r>
      <w:r w:rsidR="007A1FB6">
        <w:rPr>
          <w:b/>
          <w:bCs/>
          <w:iCs/>
          <w:sz w:val="22"/>
          <w:szCs w:val="22"/>
        </w:rPr>
        <w:t>6</w:t>
      </w:r>
      <w:r w:rsidRPr="00251EF5">
        <w:rPr>
          <w:b/>
          <w:bCs/>
          <w:iCs/>
          <w:sz w:val="22"/>
          <w:szCs w:val="22"/>
        </w:rPr>
        <w:t>: Alcohol Server Training</w:t>
      </w:r>
    </w:p>
    <w:p w14:paraId="0849E2F8" w14:textId="0411C733" w:rsidR="00654B52" w:rsidRPr="00654B52" w:rsidRDefault="003C1F26" w:rsidP="00654B52">
      <w:pPr>
        <w:numPr>
          <w:ilvl w:val="0"/>
          <w:numId w:val="21"/>
        </w:numPr>
        <w:spacing w:after="120"/>
        <w:jc w:val="both"/>
        <w:rPr>
          <w:iCs/>
          <w:sz w:val="22"/>
          <w:szCs w:val="22"/>
        </w:rPr>
      </w:pPr>
      <w:r w:rsidRPr="003C1F26">
        <w:rPr>
          <w:iCs/>
          <w:sz w:val="22"/>
          <w:szCs w:val="22"/>
        </w:rPr>
        <w:t>An alcohol server or manager must complete alcohol server training and obtain an alcohol server certificate</w:t>
      </w:r>
      <w:r w:rsidR="00654B52">
        <w:rPr>
          <w:iCs/>
          <w:sz w:val="22"/>
          <w:szCs w:val="22"/>
        </w:rPr>
        <w:t>.</w:t>
      </w:r>
    </w:p>
    <w:p w14:paraId="6964FF51" w14:textId="4ADDBABF" w:rsidR="00CB6914" w:rsidRDefault="00251EF5" w:rsidP="00251EF5">
      <w:pPr>
        <w:spacing w:after="120"/>
        <w:jc w:val="both"/>
        <w:rPr>
          <w:b/>
          <w:bCs/>
          <w:iCs/>
          <w:sz w:val="22"/>
          <w:szCs w:val="22"/>
        </w:rPr>
      </w:pPr>
      <w:r w:rsidRPr="00251EF5">
        <w:rPr>
          <w:b/>
          <w:bCs/>
          <w:iCs/>
          <w:sz w:val="22"/>
          <w:szCs w:val="22"/>
        </w:rPr>
        <w:t xml:space="preserve">SECTION </w:t>
      </w:r>
      <w:r w:rsidR="00CB6914">
        <w:rPr>
          <w:b/>
          <w:bCs/>
          <w:iCs/>
          <w:sz w:val="22"/>
          <w:szCs w:val="22"/>
        </w:rPr>
        <w:t>7</w:t>
      </w:r>
      <w:r w:rsidRPr="00251EF5">
        <w:rPr>
          <w:b/>
          <w:bCs/>
          <w:iCs/>
          <w:sz w:val="22"/>
          <w:szCs w:val="22"/>
        </w:rPr>
        <w:t xml:space="preserve">: </w:t>
      </w:r>
      <w:r w:rsidR="00CB6914">
        <w:rPr>
          <w:b/>
          <w:bCs/>
          <w:iCs/>
          <w:sz w:val="22"/>
          <w:szCs w:val="22"/>
        </w:rPr>
        <w:t>DOI Reporting</w:t>
      </w:r>
    </w:p>
    <w:p w14:paraId="3AE63B43" w14:textId="3A324B23" w:rsidR="00CB6914" w:rsidRPr="00B47252" w:rsidRDefault="00B47252" w:rsidP="00B47252">
      <w:pPr>
        <w:pStyle w:val="ListParagraph"/>
        <w:numPr>
          <w:ilvl w:val="0"/>
          <w:numId w:val="30"/>
        </w:numPr>
        <w:spacing w:after="120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The Department of Insurance must </w:t>
      </w:r>
      <w:r w:rsidR="00F57677" w:rsidRPr="00F57677">
        <w:rPr>
          <w:iCs/>
          <w:sz w:val="22"/>
          <w:szCs w:val="22"/>
        </w:rPr>
        <w:t>prepare and submit a</w:t>
      </w:r>
      <w:r w:rsidR="00B93309">
        <w:rPr>
          <w:iCs/>
          <w:sz w:val="22"/>
          <w:szCs w:val="22"/>
        </w:rPr>
        <w:t>n annual</w:t>
      </w:r>
      <w:r w:rsidR="00F57677" w:rsidRPr="00F57677">
        <w:rPr>
          <w:iCs/>
          <w:sz w:val="22"/>
          <w:szCs w:val="22"/>
        </w:rPr>
        <w:t xml:space="preserve"> report to the </w:t>
      </w:r>
      <w:r w:rsidR="00F57677">
        <w:rPr>
          <w:iCs/>
          <w:sz w:val="22"/>
          <w:szCs w:val="22"/>
        </w:rPr>
        <w:t>General Assembly</w:t>
      </w:r>
      <w:r w:rsidR="00F57677" w:rsidRPr="00F57677">
        <w:rPr>
          <w:iCs/>
          <w:sz w:val="22"/>
          <w:szCs w:val="22"/>
        </w:rPr>
        <w:t xml:space="preserve"> regarding the status of commercial general liability and liquor liability markets, including the insurance industry’s participation and profitability in the commercial general liability and the liquor liability sub-line of that market.</w:t>
      </w:r>
    </w:p>
    <w:p w14:paraId="7167D1C3" w14:textId="7B9433E3" w:rsidR="00F57677" w:rsidRDefault="00F57677" w:rsidP="00F57677">
      <w:pPr>
        <w:spacing w:after="120"/>
        <w:jc w:val="both"/>
        <w:rPr>
          <w:b/>
          <w:bCs/>
          <w:iCs/>
          <w:sz w:val="22"/>
          <w:szCs w:val="22"/>
        </w:rPr>
      </w:pPr>
      <w:r w:rsidRPr="00F57677">
        <w:rPr>
          <w:b/>
          <w:bCs/>
          <w:iCs/>
          <w:sz w:val="22"/>
          <w:szCs w:val="22"/>
        </w:rPr>
        <w:t xml:space="preserve">SECTION </w:t>
      </w:r>
      <w:r w:rsidR="00AA3ED4">
        <w:rPr>
          <w:b/>
          <w:bCs/>
          <w:iCs/>
          <w:sz w:val="22"/>
          <w:szCs w:val="22"/>
        </w:rPr>
        <w:t>8</w:t>
      </w:r>
      <w:r w:rsidRPr="00F57677">
        <w:rPr>
          <w:b/>
          <w:bCs/>
          <w:iCs/>
          <w:sz w:val="22"/>
          <w:szCs w:val="22"/>
        </w:rPr>
        <w:t xml:space="preserve">: </w:t>
      </w:r>
      <w:r>
        <w:rPr>
          <w:b/>
          <w:bCs/>
          <w:iCs/>
          <w:sz w:val="22"/>
          <w:szCs w:val="22"/>
        </w:rPr>
        <w:t>Reduction of Mandatory Insurance</w:t>
      </w:r>
    </w:p>
    <w:p w14:paraId="7A16E6BA" w14:textId="67F59632" w:rsidR="00F57677" w:rsidRDefault="00B93309" w:rsidP="00F57677">
      <w:pPr>
        <w:pStyle w:val="ListParagraph"/>
        <w:numPr>
          <w:ilvl w:val="0"/>
          <w:numId w:val="30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L</w:t>
      </w:r>
      <w:r w:rsidR="00F57677">
        <w:rPr>
          <w:iCs/>
          <w:sz w:val="22"/>
          <w:szCs w:val="22"/>
        </w:rPr>
        <w:t xml:space="preserve">owers the mandatory liquor liability insurance coverage </w:t>
      </w:r>
      <w:r w:rsidR="00F5143D">
        <w:rPr>
          <w:iCs/>
          <w:sz w:val="22"/>
          <w:szCs w:val="22"/>
        </w:rPr>
        <w:t xml:space="preserve">for licensees serving alcohol after 5pm </w:t>
      </w:r>
      <w:r w:rsidR="00F57677">
        <w:rPr>
          <w:iCs/>
          <w:sz w:val="22"/>
          <w:szCs w:val="22"/>
        </w:rPr>
        <w:t>from $1m to $500k</w:t>
      </w:r>
      <w:r w:rsidR="0034131E">
        <w:rPr>
          <w:iCs/>
          <w:sz w:val="22"/>
          <w:szCs w:val="22"/>
        </w:rPr>
        <w:t>. Non-profit</w:t>
      </w:r>
      <w:r w:rsidR="00E23BB3">
        <w:rPr>
          <w:iCs/>
          <w:sz w:val="22"/>
          <w:szCs w:val="22"/>
        </w:rPr>
        <w:t>s</w:t>
      </w:r>
      <w:r w:rsidR="0034131E">
        <w:rPr>
          <w:iCs/>
          <w:sz w:val="22"/>
          <w:szCs w:val="22"/>
        </w:rPr>
        <w:t xml:space="preserve"> must maintain</w:t>
      </w:r>
      <w:r w:rsidR="00F5143D">
        <w:rPr>
          <w:iCs/>
          <w:sz w:val="22"/>
          <w:szCs w:val="22"/>
        </w:rPr>
        <w:t xml:space="preserve"> coverage of at least $300k.</w:t>
      </w:r>
    </w:p>
    <w:p w14:paraId="38FC5A12" w14:textId="3E95CBC0" w:rsidR="00AA3ED4" w:rsidRPr="00F57677" w:rsidRDefault="00AA3ED4" w:rsidP="00F57677">
      <w:pPr>
        <w:pStyle w:val="ListParagraph"/>
        <w:numPr>
          <w:ilvl w:val="0"/>
          <w:numId w:val="30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Licensees selling alcohol between 12am and 4am shall use a forensic digital identification system to validate identification of patrons.</w:t>
      </w:r>
    </w:p>
    <w:p w14:paraId="297992C7" w14:textId="1544EC68" w:rsidR="00AA3ED4" w:rsidRDefault="00AA3ED4" w:rsidP="00251EF5">
      <w:pPr>
        <w:spacing w:after="120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SECTION 9: </w:t>
      </w:r>
      <w:r w:rsidR="0074031F">
        <w:rPr>
          <w:b/>
          <w:bCs/>
          <w:iCs/>
          <w:sz w:val="22"/>
          <w:szCs w:val="22"/>
        </w:rPr>
        <w:t>Venue of Actions</w:t>
      </w:r>
    </w:p>
    <w:p w14:paraId="375AB12F" w14:textId="09FE6CAE" w:rsidR="0074031F" w:rsidRPr="0074031F" w:rsidRDefault="0074031F" w:rsidP="0074031F">
      <w:pPr>
        <w:pStyle w:val="ListParagraph"/>
        <w:numPr>
          <w:ilvl w:val="0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Amends </w:t>
      </w:r>
      <w:r w:rsidR="000030D5">
        <w:rPr>
          <w:iCs/>
          <w:sz w:val="22"/>
          <w:szCs w:val="22"/>
        </w:rPr>
        <w:t xml:space="preserve">existing </w:t>
      </w:r>
      <w:r>
        <w:rPr>
          <w:iCs/>
          <w:sz w:val="22"/>
          <w:szCs w:val="22"/>
        </w:rPr>
        <w:t xml:space="preserve">definition of “nonresidential individual” to </w:t>
      </w:r>
      <w:r w:rsidR="00CB4599">
        <w:rPr>
          <w:iCs/>
          <w:sz w:val="22"/>
          <w:szCs w:val="22"/>
        </w:rPr>
        <w:t>include</w:t>
      </w:r>
      <w:r w:rsidR="00295040">
        <w:rPr>
          <w:iCs/>
          <w:sz w:val="22"/>
          <w:szCs w:val="22"/>
        </w:rPr>
        <w:t xml:space="preserve"> </w:t>
      </w:r>
      <w:r w:rsidRPr="0074031F">
        <w:rPr>
          <w:iCs/>
          <w:sz w:val="22"/>
          <w:szCs w:val="22"/>
        </w:rPr>
        <w:t>John Doe, or an unknown defendant</w:t>
      </w:r>
      <w:r w:rsidR="00295040">
        <w:rPr>
          <w:iCs/>
          <w:sz w:val="22"/>
          <w:szCs w:val="22"/>
        </w:rPr>
        <w:t xml:space="preserve"> for purposes of determining venues for causes of action.</w:t>
      </w:r>
    </w:p>
    <w:p w14:paraId="6A3F8A41" w14:textId="1A79AA2A" w:rsidR="00115EA8" w:rsidRDefault="00115EA8" w:rsidP="00251EF5">
      <w:pPr>
        <w:spacing w:after="1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SECTION 10: Seatbelts</w:t>
      </w:r>
    </w:p>
    <w:p w14:paraId="34E87CAD" w14:textId="79B200E0" w:rsidR="00115EA8" w:rsidRPr="00115EA8" w:rsidRDefault="00115EA8" w:rsidP="00115EA8">
      <w:pPr>
        <w:pStyle w:val="ListParagraph"/>
        <w:numPr>
          <w:ilvl w:val="0"/>
          <w:numId w:val="31"/>
        </w:numPr>
        <w:spacing w:after="120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Enables non-use of seatbelt to be admissible as evidence in a civil action </w:t>
      </w:r>
      <w:r w:rsidR="00657C7A">
        <w:rPr>
          <w:iCs/>
          <w:sz w:val="22"/>
          <w:szCs w:val="22"/>
        </w:rPr>
        <w:t>if the non-use is a proximate cause of claimed damages.</w:t>
      </w:r>
    </w:p>
    <w:p w14:paraId="4092B8FE" w14:textId="77777777" w:rsidR="00AE64F8" w:rsidRDefault="00AE64F8" w:rsidP="00251EF5">
      <w:pPr>
        <w:spacing w:after="1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SECTION 11: Uninsured Motorist Coverage</w:t>
      </w:r>
    </w:p>
    <w:p w14:paraId="552EE88C" w14:textId="14D1C6FD" w:rsidR="00AE64F8" w:rsidRPr="00AE64F8" w:rsidRDefault="00AE64F8" w:rsidP="00AE64F8">
      <w:pPr>
        <w:pStyle w:val="ListParagraph"/>
        <w:numPr>
          <w:ilvl w:val="0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Adds that </w:t>
      </w:r>
      <w:r w:rsidR="00304F6F">
        <w:rPr>
          <w:iCs/>
          <w:sz w:val="22"/>
          <w:szCs w:val="22"/>
        </w:rPr>
        <w:t xml:space="preserve">the </w:t>
      </w:r>
      <w:r w:rsidR="00304F6F" w:rsidRPr="00304F6F">
        <w:rPr>
          <w:iCs/>
          <w:sz w:val="22"/>
          <w:szCs w:val="22"/>
        </w:rPr>
        <w:t xml:space="preserve">uninsured motorist provision </w:t>
      </w:r>
      <w:r w:rsidR="00304F6F">
        <w:rPr>
          <w:iCs/>
          <w:sz w:val="22"/>
          <w:szCs w:val="22"/>
        </w:rPr>
        <w:t xml:space="preserve">of an automobile insurance </w:t>
      </w:r>
      <w:r w:rsidR="00B93309">
        <w:rPr>
          <w:iCs/>
          <w:sz w:val="22"/>
          <w:szCs w:val="22"/>
        </w:rPr>
        <w:t xml:space="preserve">policy </w:t>
      </w:r>
      <w:r w:rsidR="00304F6F" w:rsidRPr="00304F6F">
        <w:rPr>
          <w:iCs/>
          <w:sz w:val="22"/>
          <w:szCs w:val="22"/>
        </w:rPr>
        <w:t>is not required to include coverage for punitive or exemplary damages</w:t>
      </w:r>
      <w:r w:rsidR="00304F6F">
        <w:rPr>
          <w:iCs/>
          <w:sz w:val="22"/>
          <w:szCs w:val="22"/>
        </w:rPr>
        <w:t>.</w:t>
      </w:r>
    </w:p>
    <w:p w14:paraId="67C6012A" w14:textId="06E69D2D" w:rsidR="00304F6F" w:rsidRDefault="00304F6F" w:rsidP="00251EF5">
      <w:pPr>
        <w:spacing w:after="1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SECTION 12: Punitive Damage Coverage</w:t>
      </w:r>
    </w:p>
    <w:p w14:paraId="13268686" w14:textId="06E134AD" w:rsidR="00304F6F" w:rsidRPr="00E81D9D" w:rsidRDefault="00E81D9D" w:rsidP="00E81D9D">
      <w:pPr>
        <w:pStyle w:val="ListParagraph"/>
        <w:numPr>
          <w:ilvl w:val="0"/>
          <w:numId w:val="31"/>
        </w:numPr>
        <w:spacing w:after="120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Provides that in the offer of uninsured motorist coverage, the </w:t>
      </w:r>
      <w:r w:rsidR="009547D5">
        <w:rPr>
          <w:iCs/>
          <w:sz w:val="22"/>
          <w:szCs w:val="22"/>
        </w:rPr>
        <w:t xml:space="preserve">insurance </w:t>
      </w:r>
      <w:r>
        <w:rPr>
          <w:iCs/>
          <w:sz w:val="22"/>
          <w:szCs w:val="22"/>
        </w:rPr>
        <w:t>carrier shall offer the insured the option to include coverage for punitive or exemplary damages.</w:t>
      </w:r>
    </w:p>
    <w:p w14:paraId="34412092" w14:textId="58D12479" w:rsidR="00251EF5" w:rsidRPr="00251EF5" w:rsidRDefault="00251EF5" w:rsidP="00251EF5">
      <w:pPr>
        <w:spacing w:after="120"/>
        <w:jc w:val="both"/>
        <w:rPr>
          <w:iCs/>
          <w:sz w:val="22"/>
          <w:szCs w:val="22"/>
        </w:rPr>
      </w:pPr>
      <w:r w:rsidRPr="00251EF5">
        <w:rPr>
          <w:b/>
          <w:bCs/>
          <w:iCs/>
          <w:sz w:val="22"/>
          <w:szCs w:val="22"/>
        </w:rPr>
        <w:t xml:space="preserve">SECTION </w:t>
      </w:r>
      <w:r w:rsidR="009734AC">
        <w:rPr>
          <w:b/>
          <w:bCs/>
          <w:iCs/>
          <w:sz w:val="22"/>
          <w:szCs w:val="22"/>
        </w:rPr>
        <w:t>13</w:t>
      </w:r>
      <w:r w:rsidRPr="00251EF5">
        <w:rPr>
          <w:b/>
          <w:bCs/>
          <w:iCs/>
          <w:sz w:val="22"/>
          <w:szCs w:val="22"/>
        </w:rPr>
        <w:t>: “Occurrence” Definition/Medical Malpractice</w:t>
      </w:r>
    </w:p>
    <w:p w14:paraId="715AEB63" w14:textId="009BFFB2" w:rsidR="00251EF5" w:rsidRDefault="00251EF5" w:rsidP="0065742D">
      <w:pPr>
        <w:numPr>
          <w:ilvl w:val="0"/>
          <w:numId w:val="28"/>
        </w:numPr>
        <w:spacing w:after="120"/>
        <w:jc w:val="both"/>
        <w:rPr>
          <w:iCs/>
          <w:sz w:val="22"/>
          <w:szCs w:val="22"/>
        </w:rPr>
      </w:pPr>
      <w:r w:rsidRPr="00251EF5">
        <w:rPr>
          <w:iCs/>
          <w:sz w:val="22"/>
          <w:szCs w:val="22"/>
        </w:rPr>
        <w:t xml:space="preserve">Amends the definition of “occurrence” for medical malpractice claims to include </w:t>
      </w:r>
      <w:r w:rsidR="0065742D" w:rsidRPr="0065742D">
        <w:rPr>
          <w:iCs/>
          <w:sz w:val="22"/>
          <w:szCs w:val="22"/>
        </w:rPr>
        <w:t>multiple acts of negligence occurring without a break in the causal chain that result in substantially the same damages</w:t>
      </w:r>
      <w:r w:rsidR="00F72D9B">
        <w:rPr>
          <w:iCs/>
          <w:sz w:val="22"/>
          <w:szCs w:val="22"/>
        </w:rPr>
        <w:t xml:space="preserve">, as well as </w:t>
      </w:r>
      <w:r w:rsidR="00F72D9B" w:rsidRPr="00F72D9B">
        <w:rPr>
          <w:iCs/>
          <w:sz w:val="22"/>
          <w:szCs w:val="22"/>
        </w:rPr>
        <w:t>continuous or repeated exposure to substantially the same harmful conditions.</w:t>
      </w:r>
    </w:p>
    <w:p w14:paraId="45BDF634" w14:textId="2A207802" w:rsidR="007C1C9A" w:rsidRDefault="00CA621C" w:rsidP="007C1C9A">
      <w:pPr>
        <w:spacing w:after="1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SECTION 14:</w:t>
      </w:r>
      <w:r w:rsidR="0019431D">
        <w:rPr>
          <w:b/>
          <w:bCs/>
          <w:iCs/>
          <w:sz w:val="22"/>
          <w:szCs w:val="22"/>
        </w:rPr>
        <w:t xml:space="preserve"> SC Tort Claims Act</w:t>
      </w:r>
    </w:p>
    <w:p w14:paraId="0D5863B8" w14:textId="0B633595" w:rsidR="00CA621C" w:rsidRDefault="008D1B9E" w:rsidP="00CA621C">
      <w:pPr>
        <w:pStyle w:val="ListParagraph"/>
        <w:numPr>
          <w:ilvl w:val="0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Raises liability caps in </w:t>
      </w:r>
      <w:r w:rsidR="000030D5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South Carolina Tort Claims Act</w:t>
      </w:r>
      <w:r w:rsidR="006671D2">
        <w:rPr>
          <w:iCs/>
          <w:sz w:val="22"/>
          <w:szCs w:val="22"/>
        </w:rPr>
        <w:t>.</w:t>
      </w:r>
    </w:p>
    <w:p w14:paraId="74F0C121" w14:textId="77777777" w:rsidR="00B93309" w:rsidRDefault="00B93309" w:rsidP="006671D2">
      <w:pPr>
        <w:spacing w:after="120"/>
        <w:jc w:val="both"/>
        <w:rPr>
          <w:b/>
          <w:bCs/>
          <w:iCs/>
          <w:sz w:val="22"/>
          <w:szCs w:val="22"/>
        </w:rPr>
      </w:pPr>
    </w:p>
    <w:p w14:paraId="7E0FB7C4" w14:textId="4ECBA11D" w:rsidR="006671D2" w:rsidRDefault="006671D2" w:rsidP="006671D2">
      <w:pPr>
        <w:spacing w:after="1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SECTION 15:</w:t>
      </w:r>
      <w:r w:rsidR="0019431D">
        <w:rPr>
          <w:b/>
          <w:bCs/>
          <w:iCs/>
          <w:sz w:val="22"/>
          <w:szCs w:val="22"/>
        </w:rPr>
        <w:t xml:space="preserve"> Cap on Noneconomic Damages for Healthcare Providers</w:t>
      </w:r>
    </w:p>
    <w:p w14:paraId="6D24E24E" w14:textId="49414EEE" w:rsidR="006671D2" w:rsidRDefault="006671D2" w:rsidP="006671D2">
      <w:pPr>
        <w:pStyle w:val="ListParagraph"/>
        <w:numPr>
          <w:ilvl w:val="0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Clarifies when limitations for noneconomic damages rendered against healthcare providers</w:t>
      </w:r>
      <w:r w:rsidR="0019431D">
        <w:rPr>
          <w:iCs/>
          <w:sz w:val="22"/>
          <w:szCs w:val="22"/>
        </w:rPr>
        <w:t xml:space="preserve"> can be removed.</w:t>
      </w:r>
    </w:p>
    <w:p w14:paraId="2AF8EFBD" w14:textId="75F7D1B2" w:rsidR="007C1C9A" w:rsidRPr="00251EF5" w:rsidRDefault="00A95F1A" w:rsidP="007C1C9A">
      <w:pPr>
        <w:spacing w:after="120"/>
        <w:jc w:val="both"/>
        <w:rPr>
          <w:iCs/>
          <w:sz w:val="22"/>
          <w:szCs w:val="22"/>
        </w:rPr>
      </w:pPr>
      <w:r w:rsidRPr="00A95F1A">
        <w:rPr>
          <w:b/>
          <w:bCs/>
          <w:iCs/>
          <w:sz w:val="22"/>
          <w:szCs w:val="22"/>
        </w:rPr>
        <w:t>SECTION 16</w:t>
      </w:r>
      <w:r w:rsidR="0012565A">
        <w:rPr>
          <w:b/>
          <w:bCs/>
          <w:iCs/>
          <w:sz w:val="22"/>
          <w:szCs w:val="22"/>
        </w:rPr>
        <w:t>-17</w:t>
      </w:r>
      <w:r>
        <w:rPr>
          <w:b/>
          <w:bCs/>
          <w:iCs/>
          <w:sz w:val="22"/>
          <w:szCs w:val="22"/>
        </w:rPr>
        <w:t>: Statute of Repose</w:t>
      </w:r>
    </w:p>
    <w:p w14:paraId="2B11F28A" w14:textId="3378973C" w:rsidR="007C1C9A" w:rsidRDefault="00A95F1A" w:rsidP="007C1C9A">
      <w:pPr>
        <w:numPr>
          <w:ilvl w:val="0"/>
          <w:numId w:val="22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Extends </w:t>
      </w:r>
      <w:r w:rsidR="000030D5">
        <w:rPr>
          <w:iCs/>
          <w:sz w:val="22"/>
          <w:szCs w:val="22"/>
        </w:rPr>
        <w:t>statute of repose</w:t>
      </w:r>
      <w:r>
        <w:rPr>
          <w:iCs/>
          <w:sz w:val="22"/>
          <w:szCs w:val="22"/>
        </w:rPr>
        <w:t xml:space="preserve"> from </w:t>
      </w:r>
      <w:r w:rsidR="00BA7AE5">
        <w:rPr>
          <w:iCs/>
          <w:sz w:val="22"/>
          <w:szCs w:val="22"/>
        </w:rPr>
        <w:t>eight years to ten years for actions to recover damages arising out of construction defects</w:t>
      </w:r>
      <w:r w:rsidR="00B648BF">
        <w:rPr>
          <w:iCs/>
          <w:sz w:val="22"/>
          <w:szCs w:val="22"/>
        </w:rPr>
        <w:t>. This extension is effective one year after the effective date of the act.</w:t>
      </w:r>
    </w:p>
    <w:p w14:paraId="5C9F5B35" w14:textId="4750A99B" w:rsidR="003179FA" w:rsidRPr="00251EF5" w:rsidRDefault="0012565A" w:rsidP="007C1C9A">
      <w:pPr>
        <w:numPr>
          <w:ilvl w:val="0"/>
          <w:numId w:val="22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R</w:t>
      </w:r>
      <w:r w:rsidR="003179FA">
        <w:rPr>
          <w:iCs/>
          <w:sz w:val="22"/>
          <w:szCs w:val="22"/>
        </w:rPr>
        <w:t>epeals the existing exceptions to the statute o</w:t>
      </w:r>
      <w:r w:rsidR="000030D5">
        <w:rPr>
          <w:iCs/>
          <w:sz w:val="22"/>
          <w:szCs w:val="22"/>
        </w:rPr>
        <w:t>f</w:t>
      </w:r>
      <w:r w:rsidR="003179FA">
        <w:rPr>
          <w:iCs/>
          <w:sz w:val="22"/>
          <w:szCs w:val="22"/>
        </w:rPr>
        <w:t xml:space="preserve"> repose.</w:t>
      </w:r>
    </w:p>
    <w:p w14:paraId="6A92598B" w14:textId="285B6016" w:rsidR="007C1C9A" w:rsidRDefault="0012565A" w:rsidP="007C1C9A">
      <w:pPr>
        <w:spacing w:after="120"/>
        <w:jc w:val="both"/>
        <w:rPr>
          <w:b/>
          <w:bCs/>
          <w:iCs/>
          <w:sz w:val="22"/>
          <w:szCs w:val="22"/>
        </w:rPr>
      </w:pPr>
      <w:r w:rsidRPr="0012565A">
        <w:rPr>
          <w:b/>
          <w:bCs/>
          <w:iCs/>
          <w:sz w:val="22"/>
          <w:szCs w:val="22"/>
        </w:rPr>
        <w:t>SECTION 18: Excessive Service</w:t>
      </w:r>
    </w:p>
    <w:p w14:paraId="5EC76524" w14:textId="63D68DB9" w:rsidR="0012565A" w:rsidRPr="0012565A" w:rsidRDefault="0012565A" w:rsidP="0012565A">
      <w:pPr>
        <w:pStyle w:val="ListParagraph"/>
        <w:numPr>
          <w:ilvl w:val="0"/>
          <w:numId w:val="31"/>
        </w:numPr>
        <w:spacing w:after="120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Adds that a licensee may not sell alcoholic beverages to be consumed in an amount </w:t>
      </w:r>
      <w:proofErr w:type="gramStart"/>
      <w:r>
        <w:rPr>
          <w:iCs/>
          <w:sz w:val="22"/>
          <w:szCs w:val="22"/>
        </w:rPr>
        <w:t>in excess of</w:t>
      </w:r>
      <w:proofErr w:type="gramEnd"/>
      <w:r>
        <w:rPr>
          <w:iCs/>
          <w:sz w:val="22"/>
          <w:szCs w:val="22"/>
        </w:rPr>
        <w:t xml:space="preserve"> what a trained server would believe to be reasonable.</w:t>
      </w:r>
    </w:p>
    <w:p w14:paraId="1C552A4F" w14:textId="30D21CAE" w:rsidR="0012565A" w:rsidRPr="004212C3" w:rsidRDefault="00E7392D" w:rsidP="0012565A">
      <w:pPr>
        <w:spacing w:after="1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SECTION 19:</w:t>
      </w:r>
      <w:r>
        <w:rPr>
          <w:iCs/>
          <w:sz w:val="22"/>
          <w:szCs w:val="22"/>
        </w:rPr>
        <w:t xml:space="preserve"> </w:t>
      </w:r>
      <w:r w:rsidRPr="004212C3">
        <w:rPr>
          <w:b/>
          <w:bCs/>
          <w:iCs/>
          <w:sz w:val="22"/>
          <w:szCs w:val="22"/>
        </w:rPr>
        <w:t>Auto Insurance Minimums</w:t>
      </w:r>
    </w:p>
    <w:p w14:paraId="13A68032" w14:textId="338784CE" w:rsidR="00E7392D" w:rsidRDefault="00E7392D" w:rsidP="00E7392D">
      <w:pPr>
        <w:pStyle w:val="ListParagraph"/>
        <w:numPr>
          <w:ilvl w:val="0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Raises mandatory car insurance coverages:</w:t>
      </w:r>
    </w:p>
    <w:p w14:paraId="75139BF0" w14:textId="5899C507" w:rsidR="00E7392D" w:rsidRDefault="005138FE" w:rsidP="00E7392D">
      <w:pPr>
        <w:pStyle w:val="ListParagraph"/>
        <w:numPr>
          <w:ilvl w:val="1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F</w:t>
      </w:r>
      <w:r w:rsidR="00B465F2" w:rsidRPr="00B465F2">
        <w:rPr>
          <w:iCs/>
          <w:sz w:val="22"/>
          <w:szCs w:val="22"/>
        </w:rPr>
        <w:t>ifty thousand dollars because of bodily injury to one person in any one accident</w:t>
      </w:r>
      <w:r w:rsidR="000C0391">
        <w:rPr>
          <w:iCs/>
          <w:sz w:val="22"/>
          <w:szCs w:val="22"/>
        </w:rPr>
        <w:t>.</w:t>
      </w:r>
    </w:p>
    <w:p w14:paraId="01F305D8" w14:textId="1E28803A" w:rsidR="00B465F2" w:rsidRDefault="005138FE" w:rsidP="00E7392D">
      <w:pPr>
        <w:pStyle w:val="ListParagraph"/>
        <w:numPr>
          <w:ilvl w:val="1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</w:t>
      </w:r>
      <w:r w:rsidR="00E20ACB" w:rsidRPr="00E20ACB">
        <w:rPr>
          <w:iCs/>
          <w:sz w:val="22"/>
          <w:szCs w:val="22"/>
        </w:rPr>
        <w:t>ne hundred thousand dollars because of bodily injury to two or more persons in any one accident</w:t>
      </w:r>
      <w:r w:rsidR="000C0391">
        <w:rPr>
          <w:iCs/>
          <w:sz w:val="22"/>
          <w:szCs w:val="22"/>
        </w:rPr>
        <w:t>.</w:t>
      </w:r>
    </w:p>
    <w:p w14:paraId="6572CF3C" w14:textId="12CC0405" w:rsidR="005138FE" w:rsidRDefault="005138FE" w:rsidP="00E7392D">
      <w:pPr>
        <w:pStyle w:val="ListParagraph"/>
        <w:numPr>
          <w:ilvl w:val="1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F</w:t>
      </w:r>
      <w:r w:rsidRPr="005138FE">
        <w:rPr>
          <w:iCs/>
          <w:sz w:val="22"/>
          <w:szCs w:val="22"/>
        </w:rPr>
        <w:t>ifty thousand dollars because of injury to or destruction of property of others in any one accident</w:t>
      </w:r>
      <w:r w:rsidR="000C0391">
        <w:rPr>
          <w:iCs/>
          <w:sz w:val="22"/>
          <w:szCs w:val="22"/>
        </w:rPr>
        <w:t>.</w:t>
      </w:r>
    </w:p>
    <w:p w14:paraId="1C15651C" w14:textId="4269E267" w:rsidR="00A37D91" w:rsidRDefault="00A37D91" w:rsidP="00A37D91">
      <w:pPr>
        <w:pStyle w:val="ListParagraph"/>
        <w:numPr>
          <w:ilvl w:val="0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This section is effective two years after the effective date of the act.</w:t>
      </w:r>
    </w:p>
    <w:p w14:paraId="0C6086A7" w14:textId="5BC61CCE" w:rsidR="005138FE" w:rsidRDefault="00A37D91" w:rsidP="005138FE">
      <w:pPr>
        <w:spacing w:after="1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SECTION 20:</w:t>
      </w:r>
    </w:p>
    <w:p w14:paraId="30D7C13F" w14:textId="7963BD07" w:rsidR="00A37D91" w:rsidRDefault="00A37D91" w:rsidP="00A37D91">
      <w:pPr>
        <w:pStyle w:val="ListParagraph"/>
        <w:numPr>
          <w:ilvl w:val="0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The act does not affect pending actions.</w:t>
      </w:r>
    </w:p>
    <w:p w14:paraId="795D1822" w14:textId="4099A8C5" w:rsidR="00A37D91" w:rsidRDefault="00A37D91" w:rsidP="00A37D91">
      <w:pPr>
        <w:spacing w:after="1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SECTION 21:</w:t>
      </w:r>
    </w:p>
    <w:p w14:paraId="42A170F9" w14:textId="406A88E3" w:rsidR="00A37D91" w:rsidRPr="00A37D91" w:rsidRDefault="00A37D91" w:rsidP="00A37D91">
      <w:pPr>
        <w:pStyle w:val="ListParagraph"/>
        <w:numPr>
          <w:ilvl w:val="0"/>
          <w:numId w:val="31"/>
        </w:numPr>
        <w:spacing w:after="120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>Severability Clause</w:t>
      </w:r>
    </w:p>
    <w:p w14:paraId="200F07CE" w14:textId="7095DAFC" w:rsidR="00A37D91" w:rsidRPr="00A37D91" w:rsidRDefault="00A37D91" w:rsidP="00A37D91">
      <w:pPr>
        <w:spacing w:after="120"/>
        <w:jc w:val="both"/>
        <w:rPr>
          <w:b/>
          <w:bCs/>
          <w:iCs/>
          <w:sz w:val="22"/>
          <w:szCs w:val="22"/>
        </w:rPr>
      </w:pPr>
      <w:r w:rsidRPr="00A37D91">
        <w:rPr>
          <w:b/>
          <w:bCs/>
          <w:iCs/>
          <w:sz w:val="22"/>
          <w:szCs w:val="22"/>
        </w:rPr>
        <w:t>SECTION 22:</w:t>
      </w:r>
    </w:p>
    <w:p w14:paraId="33577639" w14:textId="58324FDC" w:rsidR="00A37D91" w:rsidRPr="00A37D91" w:rsidRDefault="00A37D91" w:rsidP="00A37D91">
      <w:pPr>
        <w:pStyle w:val="ListParagraph"/>
        <w:numPr>
          <w:ilvl w:val="0"/>
          <w:numId w:val="31"/>
        </w:numPr>
        <w:spacing w:after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The act takes effect upon approval by the Governor.</w:t>
      </w:r>
    </w:p>
    <w:sectPr w:rsidR="00A37D91" w:rsidRPr="00A37D91" w:rsidSect="00635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EEBA" w14:textId="77777777" w:rsidR="00C8413F" w:rsidRDefault="00C8413F">
      <w:r>
        <w:separator/>
      </w:r>
    </w:p>
  </w:endnote>
  <w:endnote w:type="continuationSeparator" w:id="0">
    <w:p w14:paraId="18DB69C2" w14:textId="77777777" w:rsidR="00C8413F" w:rsidRDefault="00C8413F">
      <w:r>
        <w:continuationSeparator/>
      </w:r>
    </w:p>
  </w:endnote>
  <w:endnote w:type="continuationNotice" w:id="1">
    <w:p w14:paraId="07B93E09" w14:textId="77777777" w:rsidR="00C8413F" w:rsidRDefault="00C84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292C" w14:textId="77777777" w:rsidR="00141DE3" w:rsidRDefault="00141D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E892" w14:textId="77777777" w:rsidR="00F04384" w:rsidRDefault="00F04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8AF2" w14:textId="77777777" w:rsidR="00141DE3" w:rsidRDefault="00141D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7E4E" w14:textId="77777777" w:rsidR="00C8413F" w:rsidRDefault="00C8413F">
      <w:r>
        <w:separator/>
      </w:r>
    </w:p>
  </w:footnote>
  <w:footnote w:type="continuationSeparator" w:id="0">
    <w:p w14:paraId="7061B3BB" w14:textId="77777777" w:rsidR="00C8413F" w:rsidRDefault="00C8413F">
      <w:r>
        <w:continuationSeparator/>
      </w:r>
    </w:p>
  </w:footnote>
  <w:footnote w:type="continuationNotice" w:id="1">
    <w:p w14:paraId="797AB7BD" w14:textId="77777777" w:rsidR="00C8413F" w:rsidRDefault="00C841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2F0" w14:textId="77777777" w:rsidR="00141DE3" w:rsidRDefault="00141D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3270" w14:textId="77777777" w:rsidR="00F04384" w:rsidRDefault="00F04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88C1" w14:textId="77777777" w:rsidR="00635B89" w:rsidRDefault="00635B89" w:rsidP="00635B8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  <w:sz w:val="26"/>
        <w:szCs w:val="26"/>
      </w:rPr>
    </w:pPr>
    <w:r>
      <w:rPr>
        <w:rFonts w:ascii="Arial" w:eastAsia="Arial" w:hAnsi="Arial" w:cs="Arial"/>
        <w:b/>
        <w:noProof/>
        <w:color w:val="000000"/>
        <w:sz w:val="26"/>
        <w:szCs w:val="26"/>
      </w:rPr>
      <w:drawing>
        <wp:anchor distT="152400" distB="152400" distL="152400" distR="152400" simplePos="0" relativeHeight="251658240" behindDoc="0" locked="0" layoutInCell="1" hidden="0" allowOverlap="1" wp14:anchorId="48514588" wp14:editId="70E55E73">
          <wp:simplePos x="0" y="0"/>
          <wp:positionH relativeFrom="margin">
            <wp:align>right</wp:align>
          </wp:positionH>
          <wp:positionV relativeFrom="paragraph">
            <wp:posOffset>-40640</wp:posOffset>
          </wp:positionV>
          <wp:extent cx="2245360" cy="499745"/>
          <wp:effectExtent l="0" t="0" r="2540" b="0"/>
          <wp:wrapNone/>
          <wp:docPr id="3" name="image1.png" descr="Websit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1.png" descr="Websit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5360" cy="49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26"/>
        <w:szCs w:val="26"/>
      </w:rPr>
      <w:t xml:space="preserve">South Carolina Senate Majority  </w:t>
    </w:r>
  </w:p>
  <w:p w14:paraId="5B04153A" w14:textId="08375FEA" w:rsidR="00635B89" w:rsidRDefault="00B36763" w:rsidP="00635B8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  <w:sz w:val="26"/>
        <w:szCs w:val="26"/>
      </w:rPr>
    </w:pPr>
    <w:r>
      <w:rPr>
        <w:rFonts w:ascii="Arial" w:eastAsia="Arial" w:hAnsi="Arial" w:cs="Arial"/>
        <w:b/>
        <w:color w:val="000000"/>
        <w:sz w:val="26"/>
        <w:szCs w:val="26"/>
      </w:rPr>
      <w:t>Bill</w:t>
    </w:r>
    <w:r w:rsidR="00635B89">
      <w:rPr>
        <w:rFonts w:ascii="Arial" w:eastAsia="Arial" w:hAnsi="Arial" w:cs="Arial"/>
        <w:b/>
        <w:color w:val="000000"/>
        <w:sz w:val="26"/>
        <w:szCs w:val="26"/>
      </w:rPr>
      <w:t xml:space="preserve"> Summary </w:t>
    </w:r>
  </w:p>
  <w:p w14:paraId="46AF25FD" w14:textId="3981B404" w:rsidR="00635B89" w:rsidRDefault="00635B89" w:rsidP="00635B8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6"/>
        <w:szCs w:val="26"/>
      </w:rPr>
    </w:pPr>
  </w:p>
  <w:p w14:paraId="6D97BD92" w14:textId="77777777" w:rsidR="00141DE3" w:rsidRDefault="00141D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5115"/>
    <w:multiLevelType w:val="hybridMultilevel"/>
    <w:tmpl w:val="A334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D74"/>
    <w:multiLevelType w:val="hybridMultilevel"/>
    <w:tmpl w:val="2B98C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06A9"/>
    <w:multiLevelType w:val="multilevel"/>
    <w:tmpl w:val="4736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C480E"/>
    <w:multiLevelType w:val="hybridMultilevel"/>
    <w:tmpl w:val="FBDCB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31F3B"/>
    <w:multiLevelType w:val="multilevel"/>
    <w:tmpl w:val="A23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2564C"/>
    <w:multiLevelType w:val="hybridMultilevel"/>
    <w:tmpl w:val="BDD8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73FF"/>
    <w:multiLevelType w:val="multilevel"/>
    <w:tmpl w:val="7F7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27462"/>
    <w:multiLevelType w:val="multilevel"/>
    <w:tmpl w:val="521E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DA6393"/>
    <w:multiLevelType w:val="multilevel"/>
    <w:tmpl w:val="7D4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F13E4"/>
    <w:multiLevelType w:val="multilevel"/>
    <w:tmpl w:val="798C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E23A5"/>
    <w:multiLevelType w:val="hybridMultilevel"/>
    <w:tmpl w:val="3A40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FB"/>
    <w:multiLevelType w:val="hybridMultilevel"/>
    <w:tmpl w:val="1B7C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1199D"/>
    <w:multiLevelType w:val="hybridMultilevel"/>
    <w:tmpl w:val="AB10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A51BB"/>
    <w:multiLevelType w:val="hybridMultilevel"/>
    <w:tmpl w:val="2522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7148E"/>
    <w:multiLevelType w:val="hybridMultilevel"/>
    <w:tmpl w:val="C7C4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86C9A"/>
    <w:multiLevelType w:val="hybridMultilevel"/>
    <w:tmpl w:val="37AA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A668C"/>
    <w:multiLevelType w:val="hybridMultilevel"/>
    <w:tmpl w:val="941A1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71242"/>
    <w:multiLevelType w:val="hybridMultilevel"/>
    <w:tmpl w:val="B302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D2D1B"/>
    <w:multiLevelType w:val="multilevel"/>
    <w:tmpl w:val="401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554F8"/>
    <w:multiLevelType w:val="multilevel"/>
    <w:tmpl w:val="D9C2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1110D"/>
    <w:multiLevelType w:val="hybridMultilevel"/>
    <w:tmpl w:val="AB32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42194"/>
    <w:multiLevelType w:val="hybridMultilevel"/>
    <w:tmpl w:val="B67E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4735"/>
    <w:multiLevelType w:val="multilevel"/>
    <w:tmpl w:val="DE22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56540"/>
    <w:multiLevelType w:val="hybridMultilevel"/>
    <w:tmpl w:val="3AD69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2951E5"/>
    <w:multiLevelType w:val="multilevel"/>
    <w:tmpl w:val="0CB6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7C2528"/>
    <w:multiLevelType w:val="hybridMultilevel"/>
    <w:tmpl w:val="BDE6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815DA"/>
    <w:multiLevelType w:val="hybridMultilevel"/>
    <w:tmpl w:val="CBD8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70607"/>
    <w:multiLevelType w:val="multilevel"/>
    <w:tmpl w:val="BC9C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71A17"/>
    <w:multiLevelType w:val="hybridMultilevel"/>
    <w:tmpl w:val="5360D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556B0"/>
    <w:multiLevelType w:val="hybridMultilevel"/>
    <w:tmpl w:val="DFC2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40CA3"/>
    <w:multiLevelType w:val="hybridMultilevel"/>
    <w:tmpl w:val="1BFA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11709">
    <w:abstractNumId w:val="15"/>
  </w:num>
  <w:num w:numId="2" w16cid:durableId="819997893">
    <w:abstractNumId w:val="17"/>
  </w:num>
  <w:num w:numId="3" w16cid:durableId="848563435">
    <w:abstractNumId w:val="5"/>
  </w:num>
  <w:num w:numId="4" w16cid:durableId="1420255959">
    <w:abstractNumId w:val="23"/>
  </w:num>
  <w:num w:numId="5" w16cid:durableId="415323679">
    <w:abstractNumId w:val="3"/>
  </w:num>
  <w:num w:numId="6" w16cid:durableId="852841044">
    <w:abstractNumId w:val="16"/>
  </w:num>
  <w:num w:numId="7" w16cid:durableId="477890914">
    <w:abstractNumId w:val="1"/>
  </w:num>
  <w:num w:numId="8" w16cid:durableId="455833000">
    <w:abstractNumId w:val="28"/>
  </w:num>
  <w:num w:numId="9" w16cid:durableId="1249074351">
    <w:abstractNumId w:val="20"/>
  </w:num>
  <w:num w:numId="10" w16cid:durableId="556934783">
    <w:abstractNumId w:val="11"/>
  </w:num>
  <w:num w:numId="11" w16cid:durableId="1687634878">
    <w:abstractNumId w:val="0"/>
  </w:num>
  <w:num w:numId="12" w16cid:durableId="348338609">
    <w:abstractNumId w:val="29"/>
  </w:num>
  <w:num w:numId="13" w16cid:durableId="761217255">
    <w:abstractNumId w:val="12"/>
  </w:num>
  <w:num w:numId="14" w16cid:durableId="839321042">
    <w:abstractNumId w:val="26"/>
  </w:num>
  <w:num w:numId="15" w16cid:durableId="1452703004">
    <w:abstractNumId w:val="25"/>
  </w:num>
  <w:num w:numId="16" w16cid:durableId="192689933">
    <w:abstractNumId w:val="13"/>
  </w:num>
  <w:num w:numId="17" w16cid:durableId="665405113">
    <w:abstractNumId w:val="30"/>
  </w:num>
  <w:num w:numId="18" w16cid:durableId="152264677">
    <w:abstractNumId w:val="10"/>
  </w:num>
  <w:num w:numId="19" w16cid:durableId="384722924">
    <w:abstractNumId w:val="18"/>
  </w:num>
  <w:num w:numId="20" w16cid:durableId="454523695">
    <w:abstractNumId w:val="4"/>
  </w:num>
  <w:num w:numId="21" w16cid:durableId="1406948720">
    <w:abstractNumId w:val="8"/>
  </w:num>
  <w:num w:numId="22" w16cid:durableId="767239457">
    <w:abstractNumId w:val="22"/>
  </w:num>
  <w:num w:numId="23" w16cid:durableId="1149594337">
    <w:abstractNumId w:val="7"/>
  </w:num>
  <w:num w:numId="24" w16cid:durableId="460735298">
    <w:abstractNumId w:val="27"/>
  </w:num>
  <w:num w:numId="25" w16cid:durableId="1586265636">
    <w:abstractNumId w:val="2"/>
  </w:num>
  <w:num w:numId="26" w16cid:durableId="1311137119">
    <w:abstractNumId w:val="24"/>
  </w:num>
  <w:num w:numId="27" w16cid:durableId="1634091799">
    <w:abstractNumId w:val="19"/>
  </w:num>
  <w:num w:numId="28" w16cid:durableId="10765790">
    <w:abstractNumId w:val="6"/>
  </w:num>
  <w:num w:numId="29" w16cid:durableId="1892496865">
    <w:abstractNumId w:val="9"/>
  </w:num>
  <w:num w:numId="30" w16cid:durableId="1997025163">
    <w:abstractNumId w:val="14"/>
  </w:num>
  <w:num w:numId="31" w16cid:durableId="17434026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58"/>
    <w:rsid w:val="00000246"/>
    <w:rsid w:val="000026AD"/>
    <w:rsid w:val="00002FC9"/>
    <w:rsid w:val="000030D5"/>
    <w:rsid w:val="000035E7"/>
    <w:rsid w:val="00007303"/>
    <w:rsid w:val="00013A6B"/>
    <w:rsid w:val="00014067"/>
    <w:rsid w:val="00014D16"/>
    <w:rsid w:val="000166C1"/>
    <w:rsid w:val="00022FD9"/>
    <w:rsid w:val="00026E1C"/>
    <w:rsid w:val="000270F6"/>
    <w:rsid w:val="00035FAC"/>
    <w:rsid w:val="00036B4B"/>
    <w:rsid w:val="00043287"/>
    <w:rsid w:val="00050CFB"/>
    <w:rsid w:val="000536B5"/>
    <w:rsid w:val="00060949"/>
    <w:rsid w:val="00063B93"/>
    <w:rsid w:val="000655E6"/>
    <w:rsid w:val="00065802"/>
    <w:rsid w:val="00073416"/>
    <w:rsid w:val="000753C2"/>
    <w:rsid w:val="00077163"/>
    <w:rsid w:val="000821A0"/>
    <w:rsid w:val="000847EF"/>
    <w:rsid w:val="000A0D66"/>
    <w:rsid w:val="000A7C39"/>
    <w:rsid w:val="000B0A42"/>
    <w:rsid w:val="000B479D"/>
    <w:rsid w:val="000B5A99"/>
    <w:rsid w:val="000B7F4F"/>
    <w:rsid w:val="000C0391"/>
    <w:rsid w:val="000C4923"/>
    <w:rsid w:val="000C7088"/>
    <w:rsid w:val="000E2657"/>
    <w:rsid w:val="000E2E10"/>
    <w:rsid w:val="000E348A"/>
    <w:rsid w:val="000E3D1D"/>
    <w:rsid w:val="000E3FE1"/>
    <w:rsid w:val="000E4E24"/>
    <w:rsid w:val="000E626E"/>
    <w:rsid w:val="000F5270"/>
    <w:rsid w:val="000F7FD3"/>
    <w:rsid w:val="00100ACA"/>
    <w:rsid w:val="00107D3D"/>
    <w:rsid w:val="00110146"/>
    <w:rsid w:val="00115EA8"/>
    <w:rsid w:val="00117AF4"/>
    <w:rsid w:val="0012346A"/>
    <w:rsid w:val="00124014"/>
    <w:rsid w:val="00125361"/>
    <w:rsid w:val="0012565A"/>
    <w:rsid w:val="00141DE3"/>
    <w:rsid w:val="00143A35"/>
    <w:rsid w:val="001458AF"/>
    <w:rsid w:val="001466D0"/>
    <w:rsid w:val="00153F8D"/>
    <w:rsid w:val="001547A7"/>
    <w:rsid w:val="00162702"/>
    <w:rsid w:val="00162F8C"/>
    <w:rsid w:val="00164C17"/>
    <w:rsid w:val="00165B53"/>
    <w:rsid w:val="00172C41"/>
    <w:rsid w:val="001844A6"/>
    <w:rsid w:val="00187D92"/>
    <w:rsid w:val="0019431D"/>
    <w:rsid w:val="001947AD"/>
    <w:rsid w:val="001A473C"/>
    <w:rsid w:val="001A5762"/>
    <w:rsid w:val="001C0D78"/>
    <w:rsid w:val="001C6BC3"/>
    <w:rsid w:val="001D3B58"/>
    <w:rsid w:val="001E48F4"/>
    <w:rsid w:val="001E6F52"/>
    <w:rsid w:val="001E74DA"/>
    <w:rsid w:val="001F34FD"/>
    <w:rsid w:val="001F7052"/>
    <w:rsid w:val="00202942"/>
    <w:rsid w:val="002038C4"/>
    <w:rsid w:val="00217EF0"/>
    <w:rsid w:val="00223680"/>
    <w:rsid w:val="002258EE"/>
    <w:rsid w:val="00227A02"/>
    <w:rsid w:val="002303E9"/>
    <w:rsid w:val="00243D15"/>
    <w:rsid w:val="00247C08"/>
    <w:rsid w:val="00251EF5"/>
    <w:rsid w:val="0025736D"/>
    <w:rsid w:val="00262199"/>
    <w:rsid w:val="00272528"/>
    <w:rsid w:val="002772F7"/>
    <w:rsid w:val="00284F05"/>
    <w:rsid w:val="00290D21"/>
    <w:rsid w:val="00295040"/>
    <w:rsid w:val="002A6B2D"/>
    <w:rsid w:val="002B4697"/>
    <w:rsid w:val="002B6D22"/>
    <w:rsid w:val="002C1717"/>
    <w:rsid w:val="002D03D9"/>
    <w:rsid w:val="002D53ED"/>
    <w:rsid w:val="002D5545"/>
    <w:rsid w:val="002D7AF7"/>
    <w:rsid w:val="002E0FBB"/>
    <w:rsid w:val="002E10CC"/>
    <w:rsid w:val="002F330F"/>
    <w:rsid w:val="00304F6F"/>
    <w:rsid w:val="003115FD"/>
    <w:rsid w:val="00313D74"/>
    <w:rsid w:val="003150D5"/>
    <w:rsid w:val="003179FA"/>
    <w:rsid w:val="00325A12"/>
    <w:rsid w:val="00327582"/>
    <w:rsid w:val="00330FC5"/>
    <w:rsid w:val="00340BBF"/>
    <w:rsid w:val="0034131E"/>
    <w:rsid w:val="00342EF9"/>
    <w:rsid w:val="00343D5F"/>
    <w:rsid w:val="0034404A"/>
    <w:rsid w:val="003538C6"/>
    <w:rsid w:val="00354323"/>
    <w:rsid w:val="0035626A"/>
    <w:rsid w:val="00361DAB"/>
    <w:rsid w:val="00362BFC"/>
    <w:rsid w:val="00365811"/>
    <w:rsid w:val="00372603"/>
    <w:rsid w:val="003766B5"/>
    <w:rsid w:val="003834D3"/>
    <w:rsid w:val="003861C3"/>
    <w:rsid w:val="003900D8"/>
    <w:rsid w:val="00391E3E"/>
    <w:rsid w:val="00397FA2"/>
    <w:rsid w:val="003A15D4"/>
    <w:rsid w:val="003B296E"/>
    <w:rsid w:val="003B4FEE"/>
    <w:rsid w:val="003B63B7"/>
    <w:rsid w:val="003C1F26"/>
    <w:rsid w:val="003C3C81"/>
    <w:rsid w:val="003E25E1"/>
    <w:rsid w:val="003F7559"/>
    <w:rsid w:val="00406568"/>
    <w:rsid w:val="004209F5"/>
    <w:rsid w:val="004212C3"/>
    <w:rsid w:val="00423BF8"/>
    <w:rsid w:val="00424010"/>
    <w:rsid w:val="00426A15"/>
    <w:rsid w:val="00433911"/>
    <w:rsid w:val="004363B2"/>
    <w:rsid w:val="00437A1F"/>
    <w:rsid w:val="004430D3"/>
    <w:rsid w:val="004444DC"/>
    <w:rsid w:val="00447A00"/>
    <w:rsid w:val="00453953"/>
    <w:rsid w:val="00454FB2"/>
    <w:rsid w:val="00455A67"/>
    <w:rsid w:val="004563E1"/>
    <w:rsid w:val="00456F29"/>
    <w:rsid w:val="00472F31"/>
    <w:rsid w:val="00473306"/>
    <w:rsid w:val="004734DC"/>
    <w:rsid w:val="004775C0"/>
    <w:rsid w:val="0048534D"/>
    <w:rsid w:val="004943A0"/>
    <w:rsid w:val="004973F0"/>
    <w:rsid w:val="004A43CC"/>
    <w:rsid w:val="004B2D82"/>
    <w:rsid w:val="004B547A"/>
    <w:rsid w:val="004B6593"/>
    <w:rsid w:val="004C0246"/>
    <w:rsid w:val="004D3F7D"/>
    <w:rsid w:val="004E4A4E"/>
    <w:rsid w:val="004E7363"/>
    <w:rsid w:val="004F0E24"/>
    <w:rsid w:val="004F1AAA"/>
    <w:rsid w:val="005012D5"/>
    <w:rsid w:val="005028A8"/>
    <w:rsid w:val="0050424E"/>
    <w:rsid w:val="00506FE7"/>
    <w:rsid w:val="00512DC8"/>
    <w:rsid w:val="005133E8"/>
    <w:rsid w:val="005138FE"/>
    <w:rsid w:val="0051557D"/>
    <w:rsid w:val="0052005B"/>
    <w:rsid w:val="0054247C"/>
    <w:rsid w:val="00546551"/>
    <w:rsid w:val="00557A54"/>
    <w:rsid w:val="00557ECB"/>
    <w:rsid w:val="00575BC8"/>
    <w:rsid w:val="005808C2"/>
    <w:rsid w:val="00597B23"/>
    <w:rsid w:val="005B3853"/>
    <w:rsid w:val="005D03F8"/>
    <w:rsid w:val="005D303D"/>
    <w:rsid w:val="005D3417"/>
    <w:rsid w:val="005E65CB"/>
    <w:rsid w:val="005F3257"/>
    <w:rsid w:val="005F7481"/>
    <w:rsid w:val="00600BF5"/>
    <w:rsid w:val="00600F75"/>
    <w:rsid w:val="006035AF"/>
    <w:rsid w:val="0060566F"/>
    <w:rsid w:val="00614443"/>
    <w:rsid w:val="00615837"/>
    <w:rsid w:val="00633D10"/>
    <w:rsid w:val="00635B89"/>
    <w:rsid w:val="006423D9"/>
    <w:rsid w:val="006465AF"/>
    <w:rsid w:val="00647359"/>
    <w:rsid w:val="0064761E"/>
    <w:rsid w:val="00654B52"/>
    <w:rsid w:val="0065742D"/>
    <w:rsid w:val="00657C7A"/>
    <w:rsid w:val="00664AA1"/>
    <w:rsid w:val="006658F2"/>
    <w:rsid w:val="00665E2C"/>
    <w:rsid w:val="006671D2"/>
    <w:rsid w:val="0067035C"/>
    <w:rsid w:val="00677FC7"/>
    <w:rsid w:val="0068175A"/>
    <w:rsid w:val="00682849"/>
    <w:rsid w:val="006935FF"/>
    <w:rsid w:val="00695124"/>
    <w:rsid w:val="006A2588"/>
    <w:rsid w:val="006B70F8"/>
    <w:rsid w:val="006C2E02"/>
    <w:rsid w:val="006C393B"/>
    <w:rsid w:val="006C3946"/>
    <w:rsid w:val="006D31BB"/>
    <w:rsid w:val="006D38EA"/>
    <w:rsid w:val="006E4A2D"/>
    <w:rsid w:val="006E5DDC"/>
    <w:rsid w:val="006F422D"/>
    <w:rsid w:val="006F713F"/>
    <w:rsid w:val="007053ED"/>
    <w:rsid w:val="00707269"/>
    <w:rsid w:val="00711411"/>
    <w:rsid w:val="007252C3"/>
    <w:rsid w:val="00737524"/>
    <w:rsid w:val="0074031F"/>
    <w:rsid w:val="0074190A"/>
    <w:rsid w:val="00741F57"/>
    <w:rsid w:val="00753E62"/>
    <w:rsid w:val="00755F71"/>
    <w:rsid w:val="00767045"/>
    <w:rsid w:val="00771577"/>
    <w:rsid w:val="00771783"/>
    <w:rsid w:val="007717DD"/>
    <w:rsid w:val="007756BF"/>
    <w:rsid w:val="0077767E"/>
    <w:rsid w:val="00783936"/>
    <w:rsid w:val="007A1C15"/>
    <w:rsid w:val="007A1FB6"/>
    <w:rsid w:val="007A4D21"/>
    <w:rsid w:val="007A6691"/>
    <w:rsid w:val="007B10BB"/>
    <w:rsid w:val="007B3E37"/>
    <w:rsid w:val="007B51C8"/>
    <w:rsid w:val="007C0339"/>
    <w:rsid w:val="007C1C9A"/>
    <w:rsid w:val="007D14A7"/>
    <w:rsid w:val="007D2C35"/>
    <w:rsid w:val="007F30F0"/>
    <w:rsid w:val="007F52DF"/>
    <w:rsid w:val="0080019E"/>
    <w:rsid w:val="008110E4"/>
    <w:rsid w:val="008172D1"/>
    <w:rsid w:val="00820A39"/>
    <w:rsid w:val="008222F6"/>
    <w:rsid w:val="00822424"/>
    <w:rsid w:val="008333EC"/>
    <w:rsid w:val="0083446A"/>
    <w:rsid w:val="00837509"/>
    <w:rsid w:val="00837B8B"/>
    <w:rsid w:val="0084089C"/>
    <w:rsid w:val="008501F4"/>
    <w:rsid w:val="00850229"/>
    <w:rsid w:val="008508E7"/>
    <w:rsid w:val="008511F5"/>
    <w:rsid w:val="008519F5"/>
    <w:rsid w:val="008546C9"/>
    <w:rsid w:val="008663F3"/>
    <w:rsid w:val="00871FC3"/>
    <w:rsid w:val="00872931"/>
    <w:rsid w:val="008753B4"/>
    <w:rsid w:val="008873E6"/>
    <w:rsid w:val="00890E7C"/>
    <w:rsid w:val="00891CA6"/>
    <w:rsid w:val="00897970"/>
    <w:rsid w:val="008A7B94"/>
    <w:rsid w:val="008B5D0C"/>
    <w:rsid w:val="008B65CE"/>
    <w:rsid w:val="008B7BA1"/>
    <w:rsid w:val="008C152A"/>
    <w:rsid w:val="008C5656"/>
    <w:rsid w:val="008C75D8"/>
    <w:rsid w:val="008D0D9E"/>
    <w:rsid w:val="008D1B9E"/>
    <w:rsid w:val="008D5641"/>
    <w:rsid w:val="008E1FD4"/>
    <w:rsid w:val="008E56F8"/>
    <w:rsid w:val="00902744"/>
    <w:rsid w:val="009067D9"/>
    <w:rsid w:val="009134DA"/>
    <w:rsid w:val="009219B5"/>
    <w:rsid w:val="0092286A"/>
    <w:rsid w:val="00924EB9"/>
    <w:rsid w:val="009251E2"/>
    <w:rsid w:val="009266EE"/>
    <w:rsid w:val="009313E4"/>
    <w:rsid w:val="0094312D"/>
    <w:rsid w:val="009431D1"/>
    <w:rsid w:val="00946936"/>
    <w:rsid w:val="0095232F"/>
    <w:rsid w:val="009547D5"/>
    <w:rsid w:val="00954E77"/>
    <w:rsid w:val="0095768C"/>
    <w:rsid w:val="00967815"/>
    <w:rsid w:val="009734AC"/>
    <w:rsid w:val="009737B1"/>
    <w:rsid w:val="00973B72"/>
    <w:rsid w:val="00977415"/>
    <w:rsid w:val="00982FF0"/>
    <w:rsid w:val="009906AB"/>
    <w:rsid w:val="009A3D7A"/>
    <w:rsid w:val="009B1257"/>
    <w:rsid w:val="009E3868"/>
    <w:rsid w:val="009E3885"/>
    <w:rsid w:val="009E4795"/>
    <w:rsid w:val="009F404B"/>
    <w:rsid w:val="00A01A0E"/>
    <w:rsid w:val="00A23503"/>
    <w:rsid w:val="00A23ED4"/>
    <w:rsid w:val="00A31ABF"/>
    <w:rsid w:val="00A3667F"/>
    <w:rsid w:val="00A37D91"/>
    <w:rsid w:val="00A4310E"/>
    <w:rsid w:val="00A4315F"/>
    <w:rsid w:val="00A46333"/>
    <w:rsid w:val="00A47954"/>
    <w:rsid w:val="00A57D81"/>
    <w:rsid w:val="00A618B9"/>
    <w:rsid w:val="00A641C1"/>
    <w:rsid w:val="00A64A77"/>
    <w:rsid w:val="00A85EED"/>
    <w:rsid w:val="00A95F1A"/>
    <w:rsid w:val="00AA397C"/>
    <w:rsid w:val="00AA3ED4"/>
    <w:rsid w:val="00AA4DEB"/>
    <w:rsid w:val="00AC7D6D"/>
    <w:rsid w:val="00AE5CD6"/>
    <w:rsid w:val="00AE64F8"/>
    <w:rsid w:val="00AF160C"/>
    <w:rsid w:val="00AF212B"/>
    <w:rsid w:val="00AF7A22"/>
    <w:rsid w:val="00AF7F9C"/>
    <w:rsid w:val="00B12CF1"/>
    <w:rsid w:val="00B14B68"/>
    <w:rsid w:val="00B15F74"/>
    <w:rsid w:val="00B178CA"/>
    <w:rsid w:val="00B31409"/>
    <w:rsid w:val="00B33BEA"/>
    <w:rsid w:val="00B36763"/>
    <w:rsid w:val="00B44349"/>
    <w:rsid w:val="00B465F2"/>
    <w:rsid w:val="00B47252"/>
    <w:rsid w:val="00B52077"/>
    <w:rsid w:val="00B52D45"/>
    <w:rsid w:val="00B53FD6"/>
    <w:rsid w:val="00B57244"/>
    <w:rsid w:val="00B600FE"/>
    <w:rsid w:val="00B63D76"/>
    <w:rsid w:val="00B648BF"/>
    <w:rsid w:val="00B679FD"/>
    <w:rsid w:val="00B71F51"/>
    <w:rsid w:val="00B81638"/>
    <w:rsid w:val="00B81AFF"/>
    <w:rsid w:val="00B86C7A"/>
    <w:rsid w:val="00B91730"/>
    <w:rsid w:val="00B92279"/>
    <w:rsid w:val="00B93309"/>
    <w:rsid w:val="00BA05D8"/>
    <w:rsid w:val="00BA0E5D"/>
    <w:rsid w:val="00BA14B8"/>
    <w:rsid w:val="00BA7AE5"/>
    <w:rsid w:val="00BB5E8B"/>
    <w:rsid w:val="00BC001C"/>
    <w:rsid w:val="00BC5668"/>
    <w:rsid w:val="00BD35FC"/>
    <w:rsid w:val="00BE0436"/>
    <w:rsid w:val="00BE0C41"/>
    <w:rsid w:val="00BE7686"/>
    <w:rsid w:val="00BF1CC3"/>
    <w:rsid w:val="00BF5A24"/>
    <w:rsid w:val="00BF6647"/>
    <w:rsid w:val="00C02CE5"/>
    <w:rsid w:val="00C07EA7"/>
    <w:rsid w:val="00C106A0"/>
    <w:rsid w:val="00C17E56"/>
    <w:rsid w:val="00C20522"/>
    <w:rsid w:val="00C22710"/>
    <w:rsid w:val="00C31B16"/>
    <w:rsid w:val="00C3397C"/>
    <w:rsid w:val="00C37055"/>
    <w:rsid w:val="00C43388"/>
    <w:rsid w:val="00C448BC"/>
    <w:rsid w:val="00C47791"/>
    <w:rsid w:val="00C5569F"/>
    <w:rsid w:val="00C725DE"/>
    <w:rsid w:val="00C73FE3"/>
    <w:rsid w:val="00C8413F"/>
    <w:rsid w:val="00C9085D"/>
    <w:rsid w:val="00C90CE7"/>
    <w:rsid w:val="00C91977"/>
    <w:rsid w:val="00C92167"/>
    <w:rsid w:val="00C96F3E"/>
    <w:rsid w:val="00CA1358"/>
    <w:rsid w:val="00CA1B92"/>
    <w:rsid w:val="00CA621C"/>
    <w:rsid w:val="00CB0CA1"/>
    <w:rsid w:val="00CB4599"/>
    <w:rsid w:val="00CB5F85"/>
    <w:rsid w:val="00CB6914"/>
    <w:rsid w:val="00CB744C"/>
    <w:rsid w:val="00CC3545"/>
    <w:rsid w:val="00CD1662"/>
    <w:rsid w:val="00CD4CE2"/>
    <w:rsid w:val="00CD6645"/>
    <w:rsid w:val="00CE0C4D"/>
    <w:rsid w:val="00CE16BC"/>
    <w:rsid w:val="00CE3FCD"/>
    <w:rsid w:val="00CE4AE7"/>
    <w:rsid w:val="00CF6378"/>
    <w:rsid w:val="00D01094"/>
    <w:rsid w:val="00D014C4"/>
    <w:rsid w:val="00D03827"/>
    <w:rsid w:val="00D04E4D"/>
    <w:rsid w:val="00D10962"/>
    <w:rsid w:val="00D14618"/>
    <w:rsid w:val="00D21971"/>
    <w:rsid w:val="00D246B3"/>
    <w:rsid w:val="00D261EE"/>
    <w:rsid w:val="00D26DE9"/>
    <w:rsid w:val="00D2707C"/>
    <w:rsid w:val="00D441D9"/>
    <w:rsid w:val="00D533BD"/>
    <w:rsid w:val="00D60A05"/>
    <w:rsid w:val="00D643C2"/>
    <w:rsid w:val="00D76FD9"/>
    <w:rsid w:val="00DA38B8"/>
    <w:rsid w:val="00DA4AF5"/>
    <w:rsid w:val="00DC1933"/>
    <w:rsid w:val="00DC21FE"/>
    <w:rsid w:val="00DC6B88"/>
    <w:rsid w:val="00DD0220"/>
    <w:rsid w:val="00DE0317"/>
    <w:rsid w:val="00DF55C3"/>
    <w:rsid w:val="00E07607"/>
    <w:rsid w:val="00E13D9A"/>
    <w:rsid w:val="00E157A0"/>
    <w:rsid w:val="00E20ACB"/>
    <w:rsid w:val="00E2185D"/>
    <w:rsid w:val="00E23BB3"/>
    <w:rsid w:val="00E26539"/>
    <w:rsid w:val="00E323FE"/>
    <w:rsid w:val="00E501B4"/>
    <w:rsid w:val="00E50F75"/>
    <w:rsid w:val="00E532AC"/>
    <w:rsid w:val="00E55E7A"/>
    <w:rsid w:val="00E732D0"/>
    <w:rsid w:val="00E7392D"/>
    <w:rsid w:val="00E81D9D"/>
    <w:rsid w:val="00E947ED"/>
    <w:rsid w:val="00E94FF0"/>
    <w:rsid w:val="00E97983"/>
    <w:rsid w:val="00EA7765"/>
    <w:rsid w:val="00EB2073"/>
    <w:rsid w:val="00EB37D3"/>
    <w:rsid w:val="00EB633A"/>
    <w:rsid w:val="00EC46F8"/>
    <w:rsid w:val="00ED026F"/>
    <w:rsid w:val="00EE1D88"/>
    <w:rsid w:val="00EF1DB3"/>
    <w:rsid w:val="00EF4D28"/>
    <w:rsid w:val="00EF53A3"/>
    <w:rsid w:val="00F00248"/>
    <w:rsid w:val="00F009C2"/>
    <w:rsid w:val="00F04384"/>
    <w:rsid w:val="00F1682D"/>
    <w:rsid w:val="00F334F4"/>
    <w:rsid w:val="00F5143D"/>
    <w:rsid w:val="00F56EB5"/>
    <w:rsid w:val="00F57677"/>
    <w:rsid w:val="00F60139"/>
    <w:rsid w:val="00F622C7"/>
    <w:rsid w:val="00F625EC"/>
    <w:rsid w:val="00F62DE4"/>
    <w:rsid w:val="00F72D9B"/>
    <w:rsid w:val="00F7583E"/>
    <w:rsid w:val="00F829E8"/>
    <w:rsid w:val="00F831A7"/>
    <w:rsid w:val="00F86134"/>
    <w:rsid w:val="00FA1CC8"/>
    <w:rsid w:val="00FA77C9"/>
    <w:rsid w:val="00FB37C9"/>
    <w:rsid w:val="00FB7129"/>
    <w:rsid w:val="00FC3E88"/>
    <w:rsid w:val="00FD6B2E"/>
    <w:rsid w:val="00FD700C"/>
    <w:rsid w:val="00FD7320"/>
    <w:rsid w:val="00FE5DCC"/>
    <w:rsid w:val="00FE7BCA"/>
    <w:rsid w:val="00FF2E8A"/>
    <w:rsid w:val="00FF2F5D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F3E3"/>
  <w15:docId w15:val="{F8F70EFF-41F1-42CB-8C2E-063BE462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6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A7B94"/>
    <w:pPr>
      <w:ind w:left="720"/>
      <w:contextualSpacing/>
    </w:pPr>
    <w:rPr>
      <w:rFonts w:eastAsia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9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5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5B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C1F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F37"/>
    <w:rPr>
      <w:rFonts w:eastAsiaTheme="minorHAn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19E"/>
    <w:rPr>
      <w:color w:val="605E5C"/>
      <w:shd w:val="clear" w:color="auto" w:fill="E1DFDD"/>
    </w:rPr>
  </w:style>
  <w:style w:type="character" w:customStyle="1" w:styleId="scstrike">
    <w:name w:val="sc_strike"/>
    <w:uiPriority w:val="1"/>
    <w:qFormat/>
    <w:rsid w:val="00340BBF"/>
    <w:rPr>
      <w:strike/>
      <w:dstrike w:val="0"/>
    </w:rPr>
  </w:style>
  <w:style w:type="character" w:customStyle="1" w:styleId="scinsert">
    <w:name w:val="sc_insert"/>
    <w:uiPriority w:val="1"/>
    <w:qFormat/>
    <w:rsid w:val="00340BBF"/>
    <w:rPr>
      <w:caps w:val="0"/>
      <w:smallCaps w:val="0"/>
      <w:strike w:val="0"/>
      <w:dstrike w:val="0"/>
      <w:vanish w:val="0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cGjnkl1v1Zro6OV3Nh/Ckvjmxw==">AMUW2mUwoYrvnGk5XenCBWyqGb+5TUanaxpIZTSow1rUTuj0VFsMd0AfrEdHhSmTDf8qx6mO18ze+FIHL1FC0LfLbgAHpApVWnzsGliHyOBwhVl0wwvcG7DNNcIHHlUeYNYXpd7ukMFv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Reagan Kelley</dc:creator>
  <cp:lastModifiedBy>Julie Turner</cp:lastModifiedBy>
  <cp:revision>2</cp:revision>
  <cp:lastPrinted>2023-03-20T14:53:00Z</cp:lastPrinted>
  <dcterms:created xsi:type="dcterms:W3CDTF">2025-03-31T16:19:00Z</dcterms:created>
  <dcterms:modified xsi:type="dcterms:W3CDTF">2025-03-31T16:19:00Z</dcterms:modified>
</cp:coreProperties>
</file>