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5C67" w14:textId="0C646F63" w:rsidR="003E2D4A" w:rsidRDefault="003E2D4A" w:rsidP="006436F3">
      <w:r>
        <w:tab/>
      </w:r>
      <w:r>
        <w:tab/>
      </w:r>
      <w:r>
        <w:tab/>
        <w:t xml:space="preserve">Case Study:  </w:t>
      </w:r>
      <w:proofErr w:type="spellStart"/>
      <w:r>
        <w:t>Maplebrook</w:t>
      </w:r>
      <w:proofErr w:type="spellEnd"/>
      <w:r>
        <w:t xml:space="preserve"> School</w:t>
      </w:r>
      <w:r w:rsidR="00412255">
        <w:t xml:space="preserve"> – </w:t>
      </w:r>
      <w:r w:rsidR="00E03F16">
        <w:t>March, 2017</w:t>
      </w:r>
      <w:r w:rsidR="00412255">
        <w:t xml:space="preserve"> </w:t>
      </w:r>
    </w:p>
    <w:p w14:paraId="1FE3B077" w14:textId="77777777" w:rsidR="003E2D4A" w:rsidRDefault="003E2D4A"/>
    <w:p w14:paraId="0454C34E" w14:textId="4BAD9194" w:rsidR="005F23EA" w:rsidRDefault="00C74937" w:rsidP="001E1D2D">
      <w:proofErr w:type="spellStart"/>
      <w:r>
        <w:t>Maplebrook</w:t>
      </w:r>
      <w:proofErr w:type="spellEnd"/>
      <w:r>
        <w:t xml:space="preserve"> </w:t>
      </w:r>
      <w:r w:rsidR="001E1D2D">
        <w:t xml:space="preserve">School </w:t>
      </w:r>
      <w:r>
        <w:t xml:space="preserve">is a small international boarding and day school in </w:t>
      </w:r>
      <w:proofErr w:type="spellStart"/>
      <w:r>
        <w:t>Amenia</w:t>
      </w:r>
      <w:proofErr w:type="spellEnd"/>
      <w:r>
        <w:t>, New York</w:t>
      </w:r>
      <w:r w:rsidR="001E1D2D">
        <w:t xml:space="preserve">, a rural area in the </w:t>
      </w:r>
      <w:r w:rsidR="000B0451">
        <w:t xml:space="preserve">Hudson Valley </w:t>
      </w:r>
      <w:r w:rsidR="001E1D2D">
        <w:t>footh</w:t>
      </w:r>
      <w:r w:rsidR="008F415F">
        <w:t>ills of the Berkshire Mountains</w:t>
      </w:r>
      <w:r w:rsidR="003E2D4A">
        <w:t xml:space="preserve"> about</w:t>
      </w:r>
      <w:r w:rsidR="001E1D2D">
        <w:t xml:space="preserve"> 90 miles northeast of New York City</w:t>
      </w:r>
      <w:r>
        <w:t xml:space="preserve">. </w:t>
      </w:r>
      <w:r w:rsidR="001E1D2D">
        <w:t xml:space="preserve">  </w:t>
      </w:r>
      <w:r>
        <w:t xml:space="preserve"> </w:t>
      </w:r>
      <w:r w:rsidR="006436F3">
        <w:t>In the early 1980</w:t>
      </w:r>
      <w:r w:rsidR="00C3337C">
        <w:t>s</w:t>
      </w:r>
      <w:proofErr w:type="gramStart"/>
      <w:r w:rsidR="006436F3">
        <w:t xml:space="preserve">, </w:t>
      </w:r>
      <w:bookmarkStart w:id="0" w:name="_GoBack"/>
      <w:bookmarkEnd w:id="0"/>
      <w:r w:rsidR="00C3337C">
        <w:t xml:space="preserve"> </w:t>
      </w:r>
      <w:proofErr w:type="spellStart"/>
      <w:r w:rsidR="001E1D2D">
        <w:t>Maplebrook</w:t>
      </w:r>
      <w:proofErr w:type="spellEnd"/>
      <w:proofErr w:type="gramEnd"/>
      <w:r w:rsidR="001E1D2D">
        <w:t xml:space="preserve"> </w:t>
      </w:r>
      <w:r w:rsidR="00062F46">
        <w:t>initiated</w:t>
      </w:r>
      <w:r w:rsidR="00C3337C">
        <w:t xml:space="preserve"> a post-secondary program, expressly</w:t>
      </w:r>
      <w:r w:rsidR="001E1D2D">
        <w:t xml:space="preserve"> to serve</w:t>
      </w:r>
      <w:r w:rsidR="00C3337C">
        <w:t xml:space="preserve"> adolescents and young adults </w:t>
      </w:r>
      <w:r w:rsidR="001E1D2D">
        <w:t>with learning differences</w:t>
      </w:r>
      <w:r w:rsidR="00C3337C">
        <w:t>, ages 18-21</w:t>
      </w:r>
      <w:r w:rsidR="001E1D2D">
        <w:t xml:space="preserve">. </w:t>
      </w:r>
      <w:r w:rsidR="00062F46">
        <w:t xml:space="preserve"> Enrollment now</w:t>
      </w:r>
      <w:r w:rsidR="00C3337C">
        <w:t xml:space="preserve"> averages 50 students</w:t>
      </w:r>
      <w:r w:rsidR="00062F46">
        <w:t xml:space="preserve"> annually</w:t>
      </w:r>
      <w:r w:rsidR="00C3337C">
        <w:t xml:space="preserve">, served by 5 teachers.  </w:t>
      </w:r>
    </w:p>
    <w:p w14:paraId="0AC4FDA6" w14:textId="77777777" w:rsidR="005F23EA" w:rsidRDefault="005F23EA" w:rsidP="001E1D2D"/>
    <w:p w14:paraId="26479EF2" w14:textId="2A742936" w:rsidR="00C3337C" w:rsidRDefault="00C3337C" w:rsidP="001E1D2D">
      <w:r>
        <w:t xml:space="preserve">In its early years, the program began searching for instruction to </w:t>
      </w:r>
      <w:r w:rsidR="00964748">
        <w:t>teach</w:t>
      </w:r>
      <w:r w:rsidR="001E1D2D">
        <w:t xml:space="preserve"> the essential </w:t>
      </w:r>
      <w:r w:rsidR="00412255">
        <w:t xml:space="preserve">life </w:t>
      </w:r>
      <w:r w:rsidR="001E1D2D">
        <w:t>skills young adults need for independence</w:t>
      </w:r>
      <w:r>
        <w:t>.  They found</w:t>
      </w:r>
      <w:r w:rsidR="001E1D2D">
        <w:t xml:space="preserve"> </w:t>
      </w:r>
      <w:r w:rsidR="003E2D4A">
        <w:t xml:space="preserve">CEC’s Life Centered Education transition curriculum </w:t>
      </w:r>
      <w:r>
        <w:t>particularly flexible and relevant so implemented the</w:t>
      </w:r>
      <w:r w:rsidR="001E1D2D">
        <w:t xml:space="preserve"> </w:t>
      </w:r>
      <w:r>
        <w:t xml:space="preserve">original </w:t>
      </w:r>
      <w:r w:rsidR="001E1D2D">
        <w:t>print</w:t>
      </w:r>
      <w:r w:rsidR="005F23EA">
        <w:t xml:space="preserve"> version. </w:t>
      </w:r>
      <w:r>
        <w:t xml:space="preserve"> In 2012, they converted to the online version, and </w:t>
      </w:r>
      <w:r w:rsidR="00062F46">
        <w:t>remain</w:t>
      </w:r>
      <w:r>
        <w:t xml:space="preserve"> consistently</w:t>
      </w:r>
      <w:r w:rsidR="005F23EA">
        <w:t xml:space="preserve"> </w:t>
      </w:r>
      <w:r>
        <w:t>satisfied</w:t>
      </w:r>
      <w:r w:rsidR="00062F46">
        <w:t xml:space="preserve"> with LCE’s ability to improve functional skills </w:t>
      </w:r>
      <w:r w:rsidR="00514066">
        <w:t xml:space="preserve">that </w:t>
      </w:r>
      <w:r w:rsidR="00062F46">
        <w:t>students need beyond high school.</w:t>
      </w:r>
    </w:p>
    <w:p w14:paraId="358F5650" w14:textId="16DD99D2" w:rsidR="00E66B80" w:rsidRDefault="005F23EA" w:rsidP="001E1D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39E2" wp14:editId="488E45C3">
                <wp:simplePos x="0" y="0"/>
                <wp:positionH relativeFrom="column">
                  <wp:posOffset>59690</wp:posOffset>
                </wp:positionH>
                <wp:positionV relativeFrom="paragraph">
                  <wp:posOffset>276225</wp:posOffset>
                </wp:positionV>
                <wp:extent cx="5697220" cy="3175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73417" w14:textId="77777777" w:rsid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E70D8B" w14:textId="77777777" w:rsidR="00964748" w:rsidRPr="005F23EA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 w:rsidRPr="0096474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Skills covered by CEC’s online transition curriculum and assessment system include</w:t>
                            </w:r>
                            <w:r w:rsidRPr="005F23EA">
                              <w:t>:</w:t>
                            </w:r>
                          </w:p>
                          <w:p w14:paraId="34FF61DE" w14:textId="77777777" w:rsid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5A495B" w14:textId="0563EF63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64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Daily Living Skills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964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Self-Determination and Interpersonal Skills</w:t>
                            </w:r>
                          </w:p>
                          <w:p w14:paraId="56BCFB61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Managing personal finances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Understanding self-determination</w:t>
                            </w:r>
                          </w:p>
                          <w:p w14:paraId="2B04917B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Selecting and managing a household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BD4FD7">
                              <w:rPr>
                                <w:sz w:val="20"/>
                                <w:szCs w:val="20"/>
                              </w:rPr>
                              <w:t>Being</w:t>
                            </w:r>
                            <w:proofErr w:type="gramEnd"/>
                            <w:r w:rsidRPr="00BD4FD7">
                              <w:rPr>
                                <w:sz w:val="20"/>
                                <w:szCs w:val="20"/>
                              </w:rPr>
                              <w:t xml:space="preserve"> self-aware</w:t>
                            </w:r>
                          </w:p>
                          <w:p w14:paraId="694DDBF8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  <w:t>Caring for personal needs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Developing interpersonal skills</w:t>
                            </w:r>
                          </w:p>
                          <w:p w14:paraId="6AFCB373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Demonstrating relationship responsibilities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Communicating with others</w:t>
                            </w:r>
                          </w:p>
                          <w:p w14:paraId="7B7D345E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  <w:t>Buying, preparing, and consuming food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Making good decisions</w:t>
                            </w:r>
                          </w:p>
                          <w:p w14:paraId="0D4EE214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  <w:t>Buying and caring for clothing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Developing social awareness</w:t>
                            </w:r>
                          </w:p>
                          <w:p w14:paraId="2643CA58" w14:textId="77777777" w:rsid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  <w:t>Exhibiting responsible citizenship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Understanding disabil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ity rights</w:t>
                            </w:r>
                          </w:p>
                          <w:p w14:paraId="11B66AD6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Using recreational facilities, engaging leisure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Assuming responsibilities re.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disabilities</w:t>
                            </w:r>
                            <w:proofErr w:type="gramEnd"/>
                          </w:p>
                          <w:p w14:paraId="1E2D578E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  <w:t>Choosing and accessing transportation</w:t>
                            </w:r>
                          </w:p>
                          <w:p w14:paraId="4C84A4D2" w14:textId="77777777" w:rsid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B3FC03" w14:textId="06A1B9DC" w:rsidR="00964748" w:rsidRP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647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Employment Skills</w:t>
                            </w:r>
                          </w:p>
                          <w:p w14:paraId="6ED7ABE5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Knowing and exploring employment possibilities</w:t>
                            </w:r>
                          </w:p>
                          <w:p w14:paraId="62EA61DB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Exploring employment choices</w:t>
                            </w:r>
                          </w:p>
                          <w:p w14:paraId="54B8FD87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Seeking, securing, and maintaining employment</w:t>
                            </w:r>
                          </w:p>
                          <w:p w14:paraId="57E2FE41" w14:textId="77777777" w:rsidR="00964748" w:rsidRPr="00BD4FD7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BD4FD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4FD7">
                              <w:rPr>
                                <w:sz w:val="20"/>
                                <w:szCs w:val="20"/>
                              </w:rPr>
                              <w:t>Exhibiting appropriate employability skills</w:t>
                            </w:r>
                          </w:p>
                          <w:p w14:paraId="71CF429C" w14:textId="77777777" w:rsidR="00964748" w:rsidRDefault="00964748" w:rsidP="00B40CE3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6D39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pt;margin-top:21.75pt;width:448.6pt;height:2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J9qQIAAKQ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" filled="f" stroked="f">
                <v:textbox>
                  <w:txbxContent>
                    <w:p w14:paraId="15173417" w14:textId="77777777" w:rsid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2E70D8B" w14:textId="77777777" w:rsidR="00964748" w:rsidRPr="005F23EA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 w:rsidRPr="00964748">
                        <w:rPr>
                          <w:b/>
                          <w:sz w:val="22"/>
                          <w:szCs w:val="22"/>
                          <w:u w:val="single"/>
                        </w:rPr>
                        <w:t>Skills covered by CEC’s online transition curriculum and assessment system include</w:t>
                      </w:r>
                      <w:r w:rsidRPr="005F23EA">
                        <w:t>:</w:t>
                      </w:r>
                    </w:p>
                    <w:p w14:paraId="34FF61DE" w14:textId="77777777" w:rsid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445A495B" w14:textId="0563EF63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964748">
                        <w:rPr>
                          <w:b/>
                          <w:sz w:val="20"/>
                          <w:szCs w:val="20"/>
                          <w:u w:val="single"/>
                        </w:rPr>
                        <w:t>Daily Living Skills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964748">
                        <w:rPr>
                          <w:b/>
                          <w:sz w:val="20"/>
                          <w:szCs w:val="20"/>
                          <w:u w:val="single"/>
                        </w:rPr>
                        <w:t>Self-Determination and Interpersonal Skills</w:t>
                      </w:r>
                    </w:p>
                    <w:p w14:paraId="56BCFB61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Managing personal finances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Understanding self-determination</w:t>
                      </w:r>
                    </w:p>
                    <w:p w14:paraId="2B04917B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Selecting and managing a household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BD4FD7">
                        <w:rPr>
                          <w:sz w:val="20"/>
                          <w:szCs w:val="20"/>
                        </w:rPr>
                        <w:t>Being</w:t>
                      </w:r>
                      <w:proofErr w:type="gramEnd"/>
                      <w:r w:rsidRPr="00BD4FD7">
                        <w:rPr>
                          <w:sz w:val="20"/>
                          <w:szCs w:val="20"/>
                        </w:rPr>
                        <w:t xml:space="preserve"> self-aware</w:t>
                      </w:r>
                    </w:p>
                    <w:p w14:paraId="694DDBF8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  <w:t>Caring for personal needs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Developing interpersonal skills</w:t>
                      </w:r>
                    </w:p>
                    <w:p w14:paraId="6AFCB373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Demonstrating relationship responsibilities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Communicating with others</w:t>
                      </w:r>
                    </w:p>
                    <w:p w14:paraId="7B7D345E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  <w:t>Buying, preparing, and consuming food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Making good decisions</w:t>
                      </w:r>
                    </w:p>
                    <w:p w14:paraId="0D4EE214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  <w:t>Buying and caring for clothing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Developing social awareness</w:t>
                      </w:r>
                    </w:p>
                    <w:p w14:paraId="2643CA58" w14:textId="77777777" w:rsid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  <w:t>Exhibiting responsible citizenship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Understanding disabil</w:t>
                      </w:r>
                      <w:r>
                        <w:rPr>
                          <w:sz w:val="20"/>
                          <w:szCs w:val="20"/>
                        </w:rPr>
                        <w:t>ity rights</w:t>
                      </w:r>
                    </w:p>
                    <w:p w14:paraId="11B66AD6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Using recreational facilities, engaging leisure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Assuming responsibilities re.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disabilities</w:t>
                      </w:r>
                      <w:proofErr w:type="gramEnd"/>
                    </w:p>
                    <w:p w14:paraId="1E2D578E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  <w:t>Choosing and accessing transportation</w:t>
                      </w:r>
                    </w:p>
                    <w:p w14:paraId="4C84A4D2" w14:textId="77777777" w:rsid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17B3FC03" w14:textId="06A1B9DC" w:rsidR="00964748" w:rsidRP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64748">
                        <w:rPr>
                          <w:b/>
                          <w:sz w:val="20"/>
                          <w:szCs w:val="20"/>
                          <w:u w:val="single"/>
                        </w:rPr>
                        <w:t>Employment Skills</w:t>
                      </w:r>
                    </w:p>
                    <w:p w14:paraId="6ED7ABE5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Knowing and exploring employment possibilities</w:t>
                      </w:r>
                    </w:p>
                    <w:p w14:paraId="62EA61DB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Exploring employment choices</w:t>
                      </w:r>
                    </w:p>
                    <w:p w14:paraId="54B8FD87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Seeking, securing, and maintaining employment</w:t>
                      </w:r>
                    </w:p>
                    <w:p w14:paraId="57E2FE41" w14:textId="77777777" w:rsidR="00964748" w:rsidRPr="00BD4FD7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BD4FD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4FD7">
                        <w:rPr>
                          <w:sz w:val="20"/>
                          <w:szCs w:val="20"/>
                        </w:rPr>
                        <w:t>Exhibiting appropriate employability skills</w:t>
                      </w:r>
                    </w:p>
                    <w:p w14:paraId="71CF429C" w14:textId="77777777" w:rsidR="00964748" w:rsidRDefault="00964748" w:rsidP="00B40CE3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18C13" w14:textId="77777777" w:rsidR="005F23EA" w:rsidRDefault="005F23EA" w:rsidP="001E1D2D"/>
    <w:p w14:paraId="25F7B03C" w14:textId="77777777" w:rsidR="005F23EA" w:rsidRDefault="005F23EA" w:rsidP="001E1D2D"/>
    <w:p w14:paraId="2748B00D" w14:textId="77777777" w:rsidR="00964748" w:rsidRDefault="00B40CE3" w:rsidP="00B40CE3">
      <w:r>
        <w:t xml:space="preserve">A longitudinal analysis was performed to determine amount of student growth over </w:t>
      </w:r>
    </w:p>
    <w:p w14:paraId="7D3A7C23" w14:textId="2A96BB4A" w:rsidR="00964748" w:rsidRDefault="00B40CE3" w:rsidP="00B40CE3">
      <w:proofErr w:type="gramStart"/>
      <w:r>
        <w:t>a</w:t>
      </w:r>
      <w:proofErr w:type="gramEnd"/>
      <w:r>
        <w:t xml:space="preserve"> two</w:t>
      </w:r>
      <w:r w:rsidR="00964748">
        <w:t>-</w:t>
      </w:r>
      <w:r>
        <w:t xml:space="preserve"> year period following the school’s </w:t>
      </w:r>
      <w:r w:rsidR="00964748">
        <w:t xml:space="preserve">conversion to </w:t>
      </w:r>
      <w:r>
        <w:t xml:space="preserve">the online version of LCE.  </w:t>
      </w:r>
    </w:p>
    <w:p w14:paraId="610E16F7" w14:textId="77777777" w:rsidR="00964748" w:rsidRDefault="00964748" w:rsidP="00B40CE3">
      <w:r>
        <w:t>During the</w:t>
      </w:r>
      <w:r w:rsidR="00B40CE3">
        <w:t xml:space="preserve"> 24-month period, 2014-2016, pre-post improvement scores were tracked </w:t>
      </w:r>
    </w:p>
    <w:p w14:paraId="38767966" w14:textId="77777777" w:rsidR="00964748" w:rsidRDefault="00B40CE3" w:rsidP="00B40CE3">
      <w:proofErr w:type="gramStart"/>
      <w:r>
        <w:t>on</w:t>
      </w:r>
      <w:proofErr w:type="gramEnd"/>
      <w:r>
        <w:t xml:space="preserve"> 19 students. </w:t>
      </w:r>
      <w:r w:rsidR="00964748">
        <w:t xml:space="preserve"> </w:t>
      </w:r>
    </w:p>
    <w:p w14:paraId="3191A31C" w14:textId="77777777" w:rsidR="00964748" w:rsidRDefault="00964748" w:rsidP="00B40CE3"/>
    <w:p w14:paraId="79784974" w14:textId="341C0251" w:rsidR="00B40CE3" w:rsidRDefault="00B40CE3" w:rsidP="00B40CE3">
      <w:r w:rsidRPr="00964748">
        <w:rPr>
          <w:b/>
          <w:u w:val="single"/>
        </w:rPr>
        <w:t>All 19 students</w:t>
      </w:r>
      <w:r>
        <w:t>:</w:t>
      </w:r>
    </w:p>
    <w:p w14:paraId="16A6D237" w14:textId="77777777" w:rsidR="00B40CE3" w:rsidRDefault="00B40CE3" w:rsidP="00B40CE3">
      <w:r>
        <w:t>* showed an increase in overall raw scores across all LCE content areas</w:t>
      </w:r>
    </w:p>
    <w:p w14:paraId="18DB5130" w14:textId="77777777" w:rsidR="00B40CE3" w:rsidRDefault="00B40CE3" w:rsidP="00B40CE3">
      <w:r>
        <w:tab/>
        <w:t xml:space="preserve"> (Daily Living Skills, Self Determination, Employment skills)</w:t>
      </w:r>
    </w:p>
    <w:p w14:paraId="049C4147" w14:textId="77777777" w:rsidR="00496B0D" w:rsidRDefault="00496B0D" w:rsidP="00496B0D">
      <w:r>
        <w:t>* demonstrated a similar amount of gain in each of the three skill areas</w:t>
      </w:r>
    </w:p>
    <w:p w14:paraId="30C663AC" w14:textId="77777777" w:rsidR="00B40CE3" w:rsidRDefault="00B40CE3" w:rsidP="00B40CE3">
      <w:r>
        <w:t xml:space="preserve">* improved on Daily Living and Self Determination Skills, and 17 of 19 </w:t>
      </w:r>
      <w:r>
        <w:tab/>
        <w:t xml:space="preserve">students (89%) </w:t>
      </w:r>
      <w:r>
        <w:tab/>
        <w:t>improved on Employment Skills</w:t>
      </w:r>
    </w:p>
    <w:p w14:paraId="043A3652" w14:textId="7436410D" w:rsidR="006B10B0" w:rsidRDefault="001553BC" w:rsidP="00BD4FD7">
      <w:r>
        <w:lastRenderedPageBreak/>
        <w:t>Pg. 2</w:t>
      </w:r>
    </w:p>
    <w:p w14:paraId="0259B731" w14:textId="79810413" w:rsidR="00B40CE3" w:rsidRDefault="006B10B0" w:rsidP="00BD4F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B40CE3">
        <w:rPr>
          <w:b/>
          <w:sz w:val="20"/>
          <w:szCs w:val="20"/>
        </w:rPr>
        <w:tab/>
      </w:r>
      <w:r w:rsidR="00B40CE3">
        <w:rPr>
          <w:b/>
          <w:sz w:val="20"/>
          <w:szCs w:val="20"/>
        </w:rPr>
        <w:tab/>
      </w:r>
      <w:r w:rsidR="00496B0D">
        <w:rPr>
          <w:b/>
          <w:sz w:val="20"/>
          <w:szCs w:val="20"/>
        </w:rPr>
        <w:t xml:space="preserve">   </w:t>
      </w:r>
      <w:r w:rsidRPr="006B10B0">
        <w:rPr>
          <w:b/>
          <w:sz w:val="20"/>
          <w:szCs w:val="20"/>
          <w:u w:val="single"/>
        </w:rPr>
        <w:t xml:space="preserve">Comparison of Pre-Post Improvement Scores </w:t>
      </w:r>
      <w:r w:rsidR="00B40CE3">
        <w:rPr>
          <w:b/>
          <w:sz w:val="20"/>
          <w:szCs w:val="20"/>
          <w:u w:val="single"/>
        </w:rPr>
        <w:t>in Percentages</w:t>
      </w:r>
    </w:p>
    <w:p w14:paraId="4842980B" w14:textId="65865173" w:rsidR="006B10B0" w:rsidRPr="006B10B0" w:rsidRDefault="00B40CE3" w:rsidP="00BD4F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496B0D">
        <w:rPr>
          <w:b/>
          <w:sz w:val="20"/>
          <w:szCs w:val="20"/>
        </w:rPr>
        <w:t xml:space="preserve">  </w:t>
      </w:r>
      <w:proofErr w:type="gramStart"/>
      <w:r w:rsidR="006B10B0" w:rsidRPr="006B10B0">
        <w:rPr>
          <w:b/>
          <w:sz w:val="20"/>
          <w:szCs w:val="20"/>
          <w:u w:val="single"/>
        </w:rPr>
        <w:t>for</w:t>
      </w:r>
      <w:proofErr w:type="gramEnd"/>
      <w:r w:rsidR="006B10B0" w:rsidRPr="006B10B0">
        <w:rPr>
          <w:b/>
          <w:sz w:val="20"/>
          <w:szCs w:val="20"/>
          <w:u w:val="single"/>
        </w:rPr>
        <w:t xml:space="preserve"> </w:t>
      </w:r>
      <w:proofErr w:type="spellStart"/>
      <w:r w:rsidR="006B10B0" w:rsidRPr="006B10B0">
        <w:rPr>
          <w:b/>
          <w:sz w:val="20"/>
          <w:szCs w:val="20"/>
          <w:u w:val="single"/>
        </w:rPr>
        <w:t>Maplebrook</w:t>
      </w:r>
      <w:proofErr w:type="spellEnd"/>
      <w:r w:rsidR="006B10B0" w:rsidRPr="006B10B0">
        <w:rPr>
          <w:b/>
          <w:sz w:val="20"/>
          <w:szCs w:val="20"/>
          <w:u w:val="single"/>
        </w:rPr>
        <w:t xml:space="preserve"> Students – 2014-2016</w:t>
      </w:r>
    </w:p>
    <w:p w14:paraId="36337A68" w14:textId="77777777" w:rsidR="005F23EA" w:rsidRDefault="005F23EA" w:rsidP="00BD4FD7"/>
    <w:p w14:paraId="3D4A7FF5" w14:textId="126FADD3" w:rsidR="005F23EA" w:rsidRDefault="00637586" w:rsidP="00BD4FD7">
      <w:r>
        <w:rPr>
          <w:noProof/>
        </w:rPr>
        <w:drawing>
          <wp:inline distT="0" distB="0" distL="0" distR="0" wp14:anchorId="586F17FA" wp14:editId="38F7B88C">
            <wp:extent cx="5486400" cy="32004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0C91AE" w14:textId="77777777" w:rsidR="00226145" w:rsidRDefault="00226145" w:rsidP="00BD4FD7"/>
    <w:p w14:paraId="06C35A26" w14:textId="77777777" w:rsidR="00B40CE3" w:rsidRDefault="00062F46" w:rsidP="005F23EA">
      <w:r>
        <w:t xml:space="preserve">Given an established mastery level of 80%, 12 of 19 students (63%) moved from </w:t>
      </w:r>
    </w:p>
    <w:p w14:paraId="21DA31F8" w14:textId="7B14B221" w:rsidR="008C025C" w:rsidRDefault="00062F46" w:rsidP="005F23EA">
      <w:proofErr w:type="gramStart"/>
      <w:r>
        <w:t>below</w:t>
      </w:r>
      <w:proofErr w:type="gramEnd"/>
      <w:r>
        <w:t xml:space="preserve"> </w:t>
      </w:r>
      <w:r w:rsidR="008C025C">
        <w:t xml:space="preserve">mastery </w:t>
      </w:r>
      <w:r>
        <w:t>to above mastery over the tw</w:t>
      </w:r>
      <w:r w:rsidR="005F23EA">
        <w:t>o-</w:t>
      </w:r>
      <w:r>
        <w:t xml:space="preserve">year period. </w:t>
      </w:r>
      <w:r w:rsidR="006B10B0">
        <w:t xml:space="preserve"> I</w:t>
      </w:r>
      <w:r>
        <w:t xml:space="preserve">mprovement </w:t>
      </w:r>
      <w:r w:rsidR="006B10B0">
        <w:t>was</w:t>
      </w:r>
      <w:r>
        <w:t xml:space="preserve"> </w:t>
      </w:r>
      <w:r w:rsidR="006B10B0">
        <w:t>pronounced for f</w:t>
      </w:r>
      <w:r w:rsidR="005B6517">
        <w:t>ive</w:t>
      </w:r>
      <w:r>
        <w:t xml:space="preserve"> students who performed </w:t>
      </w:r>
      <w:r w:rsidR="008C025C">
        <w:t>roughly twice as well --</w:t>
      </w:r>
      <w:r w:rsidR="006B10B0">
        <w:t xml:space="preserve"> or better</w:t>
      </w:r>
      <w:r w:rsidR="008C025C">
        <w:t xml:space="preserve"> --</w:t>
      </w:r>
      <w:r>
        <w:t xml:space="preserve"> </w:t>
      </w:r>
    </w:p>
    <w:p w14:paraId="504120CD" w14:textId="15EE5BA5" w:rsidR="008F415F" w:rsidRDefault="00062F46" w:rsidP="005F23EA">
      <w:proofErr w:type="gramStart"/>
      <w:r>
        <w:t>on</w:t>
      </w:r>
      <w:proofErr w:type="gramEnd"/>
      <w:r>
        <w:t xml:space="preserve"> the LCE post-test than on the pre-test</w:t>
      </w:r>
      <w:r w:rsidR="00514066">
        <w:t xml:space="preserve"> (see students 1-5</w:t>
      </w:r>
      <w:r w:rsidR="006B10B0">
        <w:t xml:space="preserve"> in chart, above)</w:t>
      </w:r>
      <w:r w:rsidR="005F23EA">
        <w:t>.</w:t>
      </w:r>
    </w:p>
    <w:p w14:paraId="45BC7663" w14:textId="61622939" w:rsidR="00B40CE3" w:rsidRDefault="005B6517" w:rsidP="005F23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C97F6" wp14:editId="4A02C9DB">
                <wp:simplePos x="0" y="0"/>
                <wp:positionH relativeFrom="column">
                  <wp:posOffset>-24765</wp:posOffset>
                </wp:positionH>
                <wp:positionV relativeFrom="paragraph">
                  <wp:posOffset>255270</wp:posOffset>
                </wp:positionV>
                <wp:extent cx="5542280" cy="1976755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197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28F88" w14:textId="76BFEC50" w:rsidR="00964748" w:rsidRPr="001553BC" w:rsidRDefault="00964748" w:rsidP="005B651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1553BC">
                              <w:rPr>
                                <w:b/>
                              </w:rPr>
                              <w:t xml:space="preserve">A quarter of </w:t>
                            </w:r>
                            <w:proofErr w:type="spellStart"/>
                            <w:r w:rsidRPr="001553BC">
                              <w:rPr>
                                <w:b/>
                              </w:rPr>
                              <w:t>Maplebrook</w:t>
                            </w:r>
                            <w:proofErr w:type="spellEnd"/>
                            <w:r w:rsidRPr="001553BC">
                              <w:rPr>
                                <w:b/>
                              </w:rPr>
                              <w:t xml:space="preserve"> students doubled their LCE pre-post test scores</w:t>
                            </w:r>
                          </w:p>
                          <w:p w14:paraId="5B5FD0F0" w14:textId="77777777" w:rsidR="00964748" w:rsidRDefault="00964748" w:rsidP="005B6517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2340"/>
                              <w:gridCol w:w="2610"/>
                              <w:gridCol w:w="2340"/>
                            </w:tblGrid>
                            <w:tr w:rsidR="00964748" w14:paraId="3A8E8680" w14:textId="77777777" w:rsidTr="005B6517">
                              <w:tc>
                                <w:tcPr>
                                  <w:tcW w:w="1350" w:type="dxa"/>
                                </w:tcPr>
                                <w:p w14:paraId="5EC50B13" w14:textId="77777777" w:rsidR="00964748" w:rsidRDefault="00964748" w:rsidP="005B6517">
                                  <w:r>
                                    <w:t xml:space="preserve">  Superstar</w:t>
                                  </w:r>
                                </w:p>
                                <w:p w14:paraId="4846B50A" w14:textId="77777777" w:rsidR="00964748" w:rsidRDefault="00964748" w:rsidP="005B6517">
                                  <w:r>
                                    <w:t xml:space="preserve">  Students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B9C1201" w14:textId="77777777" w:rsidR="00964748" w:rsidRDefault="00964748" w:rsidP="005B6517">
                                  <w:r>
                                    <w:t xml:space="preserve">     Pre-test Percent</w:t>
                                  </w:r>
                                </w:p>
                                <w:p w14:paraId="0D6B943F" w14:textId="77777777" w:rsidR="00964748" w:rsidRDefault="00964748" w:rsidP="005B6517">
                                  <w:r>
                                    <w:t xml:space="preserve">     Correct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322ED3B" w14:textId="77777777" w:rsidR="00964748" w:rsidRDefault="00964748" w:rsidP="005B6517">
                                  <w:r>
                                    <w:t xml:space="preserve">      Post-test Percent</w:t>
                                  </w:r>
                                </w:p>
                                <w:p w14:paraId="1DF3E10E" w14:textId="77777777" w:rsidR="00964748" w:rsidRDefault="00964748" w:rsidP="005B6517">
                                  <w:r>
                                    <w:t xml:space="preserve">      Correct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300D89DD" w14:textId="77777777" w:rsidR="00964748" w:rsidRDefault="00964748" w:rsidP="005B6517">
                                  <w:r>
                                    <w:t xml:space="preserve">      Percent</w:t>
                                  </w:r>
                                </w:p>
                                <w:p w14:paraId="126EAA78" w14:textId="77777777" w:rsidR="00964748" w:rsidRDefault="00964748" w:rsidP="005B6517">
                                  <w:r>
                                    <w:t xml:space="preserve">      Improvement</w:t>
                                  </w:r>
                                </w:p>
                              </w:tc>
                            </w:tr>
                            <w:tr w:rsidR="00964748" w14:paraId="7CBE99FB" w14:textId="77777777" w:rsidTr="005B6517">
                              <w:tc>
                                <w:tcPr>
                                  <w:tcW w:w="1350" w:type="dxa"/>
                                  <w:shd w:val="clear" w:color="auto" w:fill="D9D9D9" w:themeFill="background1" w:themeFillShade="D9"/>
                                </w:tcPr>
                                <w:p w14:paraId="08CAAC3A" w14:textId="77777777" w:rsidR="00964748" w:rsidRDefault="00964748" w:rsidP="005B6517"/>
                              </w:tc>
                              <w:tc>
                                <w:tcPr>
                                  <w:tcW w:w="2340" w:type="dxa"/>
                                  <w:shd w:val="clear" w:color="auto" w:fill="D9D9D9" w:themeFill="background1" w:themeFillShade="D9"/>
                                </w:tcPr>
                                <w:p w14:paraId="623DEABC" w14:textId="77777777" w:rsidR="00964748" w:rsidRDefault="00964748" w:rsidP="005B6517"/>
                              </w:tc>
                              <w:tc>
                                <w:tcPr>
                                  <w:tcW w:w="2610" w:type="dxa"/>
                                  <w:shd w:val="clear" w:color="auto" w:fill="D9D9D9" w:themeFill="background1" w:themeFillShade="D9"/>
                                </w:tcPr>
                                <w:p w14:paraId="7C631AF1" w14:textId="77777777" w:rsidR="00964748" w:rsidRDefault="00964748" w:rsidP="005B6517"/>
                              </w:tc>
                              <w:tc>
                                <w:tcPr>
                                  <w:tcW w:w="2340" w:type="dxa"/>
                                  <w:shd w:val="clear" w:color="auto" w:fill="D9D9D9" w:themeFill="background1" w:themeFillShade="D9"/>
                                </w:tcPr>
                                <w:p w14:paraId="010D77EE" w14:textId="77777777" w:rsidR="00964748" w:rsidRDefault="00964748" w:rsidP="005B6517"/>
                              </w:tc>
                            </w:tr>
                            <w:tr w:rsidR="00964748" w14:paraId="26BFB31C" w14:textId="77777777" w:rsidTr="005B6517">
                              <w:tc>
                                <w:tcPr>
                                  <w:tcW w:w="1350" w:type="dxa"/>
                                </w:tcPr>
                                <w:p w14:paraId="37263F0D" w14:textId="77777777" w:rsidR="00964748" w:rsidRDefault="00964748" w:rsidP="005B6517">
                                  <w:r>
                                    <w:t xml:space="preserve">         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14DA752" w14:textId="77777777" w:rsidR="00964748" w:rsidRDefault="00964748" w:rsidP="005B6517">
                                  <w:r>
                                    <w:t xml:space="preserve">                 46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B18C736" w14:textId="77777777" w:rsidR="00964748" w:rsidRDefault="00964748" w:rsidP="005B6517">
                                  <w:r>
                                    <w:t xml:space="preserve">                   93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09F34F6" w14:textId="77777777" w:rsidR="00964748" w:rsidRDefault="00964748" w:rsidP="005B6517">
                                  <w:r>
                                    <w:t xml:space="preserve">              103</w:t>
                                  </w:r>
                                </w:p>
                              </w:tc>
                            </w:tr>
                            <w:tr w:rsidR="00964748" w14:paraId="2A717ED6" w14:textId="77777777" w:rsidTr="005B6517">
                              <w:trPr>
                                <w:trHeight w:val="90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234708D3" w14:textId="77777777" w:rsidR="00964748" w:rsidRDefault="00964748" w:rsidP="005B6517">
                                  <w:r>
                                    <w:t xml:space="preserve">         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72A3D59" w14:textId="77777777" w:rsidR="00964748" w:rsidRDefault="00964748" w:rsidP="005B6517">
                                  <w:r>
                                    <w:t xml:space="preserve">                 36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A80701A" w14:textId="77777777" w:rsidR="00964748" w:rsidRDefault="00964748" w:rsidP="005B6517">
                                  <w:r>
                                    <w:t xml:space="preserve">                   72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C595729" w14:textId="77777777" w:rsidR="00964748" w:rsidRDefault="00964748" w:rsidP="005B6517">
                                  <w:r>
                                    <w:t xml:space="preserve">                98</w:t>
                                  </w:r>
                                </w:p>
                              </w:tc>
                            </w:tr>
                            <w:tr w:rsidR="00964748" w14:paraId="47CD84A4" w14:textId="77777777" w:rsidTr="005B6517">
                              <w:tc>
                                <w:tcPr>
                                  <w:tcW w:w="1350" w:type="dxa"/>
                                </w:tcPr>
                                <w:p w14:paraId="5F1BA165" w14:textId="77777777" w:rsidR="00964748" w:rsidRDefault="00964748" w:rsidP="005B6517">
                                  <w:r>
                                    <w:t xml:space="preserve">         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20B8EBC" w14:textId="77777777" w:rsidR="00964748" w:rsidRDefault="00964748" w:rsidP="005B6517">
                                  <w:r>
                                    <w:t xml:space="preserve">                 39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06FA37A" w14:textId="77777777" w:rsidR="00964748" w:rsidRDefault="00964748" w:rsidP="005B6517">
                                  <w:r>
                                    <w:t xml:space="preserve">                   71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5DF6FB6" w14:textId="77777777" w:rsidR="00964748" w:rsidRDefault="00964748" w:rsidP="005B6517">
                                  <w:r>
                                    <w:t xml:space="preserve">                82</w:t>
                                  </w:r>
                                </w:p>
                              </w:tc>
                            </w:tr>
                            <w:tr w:rsidR="00964748" w14:paraId="4CC6FBBE" w14:textId="77777777" w:rsidTr="005B6517">
                              <w:tc>
                                <w:tcPr>
                                  <w:tcW w:w="1350" w:type="dxa"/>
                                </w:tcPr>
                                <w:p w14:paraId="32665428" w14:textId="77777777" w:rsidR="00964748" w:rsidRDefault="00964748" w:rsidP="005B6517">
                                  <w:r>
                                    <w:t xml:space="preserve">         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AB74E70" w14:textId="77777777" w:rsidR="00964748" w:rsidRDefault="00964748" w:rsidP="005B6517">
                                  <w:r>
                                    <w:t xml:space="preserve">                 55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548D23E" w14:textId="77777777" w:rsidR="00964748" w:rsidRDefault="00964748" w:rsidP="005B6517">
                                  <w:r>
                                    <w:t xml:space="preserve">                   83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5B646CD" w14:textId="77777777" w:rsidR="00964748" w:rsidRDefault="00964748" w:rsidP="005B6517">
                                  <w:r>
                                    <w:t xml:space="preserve">                49</w:t>
                                  </w:r>
                                </w:p>
                              </w:tc>
                            </w:tr>
                            <w:tr w:rsidR="00964748" w14:paraId="5BD40DC6" w14:textId="77777777" w:rsidTr="005B6517">
                              <w:tc>
                                <w:tcPr>
                                  <w:tcW w:w="1350" w:type="dxa"/>
                                </w:tcPr>
                                <w:p w14:paraId="08B476A0" w14:textId="77777777" w:rsidR="00964748" w:rsidRDefault="00964748" w:rsidP="005B6517">
                                  <w:r>
                                    <w:t xml:space="preserve">         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0E37A05C" w14:textId="77777777" w:rsidR="00964748" w:rsidRDefault="00964748" w:rsidP="005B6517">
                                  <w:r>
                                    <w:t xml:space="preserve">                 41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070FA0CC" w14:textId="77777777" w:rsidR="00964748" w:rsidRDefault="00964748" w:rsidP="005B6517">
                                  <w:r>
                                    <w:t xml:space="preserve">                   61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D986E80" w14:textId="77777777" w:rsidR="00964748" w:rsidRDefault="00964748" w:rsidP="005B6517">
                                  <w:r>
                                    <w:t xml:space="preserve">                48</w:t>
                                  </w:r>
                                </w:p>
                              </w:tc>
                            </w:tr>
                          </w:tbl>
                          <w:p w14:paraId="712146B5" w14:textId="77777777" w:rsidR="00964748" w:rsidRDefault="00964748" w:rsidP="005B6517"/>
                          <w:p w14:paraId="79B88B2D" w14:textId="77777777" w:rsidR="00964748" w:rsidRDefault="00964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95pt;margin-top:20.1pt;width:436.4pt;height:1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" filled="f" stroked="f">
                <v:textbox>
                  <w:txbxContent>
                    <w:p w14:paraId="24A28F88" w14:textId="76BFEC50" w:rsidR="00964748" w:rsidRPr="001553BC" w:rsidRDefault="00964748" w:rsidP="005B6517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1553BC">
                        <w:rPr>
                          <w:b/>
                        </w:rPr>
                        <w:t xml:space="preserve">A quarter of </w:t>
                      </w:r>
                      <w:proofErr w:type="spellStart"/>
                      <w:r w:rsidRPr="001553BC">
                        <w:rPr>
                          <w:b/>
                        </w:rPr>
                        <w:t>Maplebrook</w:t>
                      </w:r>
                      <w:proofErr w:type="spellEnd"/>
                      <w:r w:rsidRPr="001553BC">
                        <w:rPr>
                          <w:b/>
                        </w:rPr>
                        <w:t xml:space="preserve"> students doubled their LCE pre-post test scores</w:t>
                      </w:r>
                    </w:p>
                    <w:p w14:paraId="5B5FD0F0" w14:textId="77777777" w:rsidR="00964748" w:rsidRDefault="00964748" w:rsidP="005B6517"/>
                    <w:tbl>
                      <w:tblPr>
                        <w:tblStyle w:val="TableGrid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2340"/>
                        <w:gridCol w:w="2610"/>
                        <w:gridCol w:w="2340"/>
                      </w:tblGrid>
                      <w:tr w:rsidR="00964748" w14:paraId="3A8E8680" w14:textId="77777777" w:rsidTr="005B6517">
                        <w:tc>
                          <w:tcPr>
                            <w:tcW w:w="1350" w:type="dxa"/>
                          </w:tcPr>
                          <w:p w14:paraId="5EC50B13" w14:textId="77777777" w:rsidR="00964748" w:rsidRDefault="00964748" w:rsidP="005B6517">
                            <w:r>
                              <w:t xml:space="preserve">  Superstar</w:t>
                            </w:r>
                          </w:p>
                          <w:p w14:paraId="4846B50A" w14:textId="77777777" w:rsidR="00964748" w:rsidRDefault="00964748" w:rsidP="005B6517">
                            <w:r>
                              <w:t xml:space="preserve">  Students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B9C1201" w14:textId="77777777" w:rsidR="00964748" w:rsidRDefault="00964748" w:rsidP="005B6517">
                            <w:r>
                              <w:t xml:space="preserve">     Pre-test Percent</w:t>
                            </w:r>
                          </w:p>
                          <w:p w14:paraId="0D6B943F" w14:textId="77777777" w:rsidR="00964748" w:rsidRDefault="00964748" w:rsidP="005B6517">
                            <w:r>
                              <w:t xml:space="preserve">     Correct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322ED3B" w14:textId="77777777" w:rsidR="00964748" w:rsidRDefault="00964748" w:rsidP="005B6517">
                            <w:r>
                              <w:t xml:space="preserve">      Post-test Percent</w:t>
                            </w:r>
                          </w:p>
                          <w:p w14:paraId="1DF3E10E" w14:textId="77777777" w:rsidR="00964748" w:rsidRDefault="00964748" w:rsidP="005B6517">
                            <w:r>
                              <w:t xml:space="preserve">      Correct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300D89DD" w14:textId="77777777" w:rsidR="00964748" w:rsidRDefault="00964748" w:rsidP="005B6517">
                            <w:r>
                              <w:t xml:space="preserve">      Percent</w:t>
                            </w:r>
                          </w:p>
                          <w:p w14:paraId="126EAA78" w14:textId="77777777" w:rsidR="00964748" w:rsidRDefault="00964748" w:rsidP="005B6517">
                            <w:r>
                              <w:t xml:space="preserve">      Improvement</w:t>
                            </w:r>
                          </w:p>
                        </w:tc>
                      </w:tr>
                      <w:tr w:rsidR="00964748" w14:paraId="7CBE99FB" w14:textId="77777777" w:rsidTr="005B6517">
                        <w:tc>
                          <w:tcPr>
                            <w:tcW w:w="1350" w:type="dxa"/>
                            <w:shd w:val="clear" w:color="auto" w:fill="D9D9D9" w:themeFill="background1" w:themeFillShade="D9"/>
                          </w:tcPr>
                          <w:p w14:paraId="08CAAC3A" w14:textId="77777777" w:rsidR="00964748" w:rsidRDefault="00964748" w:rsidP="005B6517"/>
                        </w:tc>
                        <w:tc>
                          <w:tcPr>
                            <w:tcW w:w="2340" w:type="dxa"/>
                            <w:shd w:val="clear" w:color="auto" w:fill="D9D9D9" w:themeFill="background1" w:themeFillShade="D9"/>
                          </w:tcPr>
                          <w:p w14:paraId="623DEABC" w14:textId="77777777" w:rsidR="00964748" w:rsidRDefault="00964748" w:rsidP="005B6517"/>
                        </w:tc>
                        <w:tc>
                          <w:tcPr>
                            <w:tcW w:w="2610" w:type="dxa"/>
                            <w:shd w:val="clear" w:color="auto" w:fill="D9D9D9" w:themeFill="background1" w:themeFillShade="D9"/>
                          </w:tcPr>
                          <w:p w14:paraId="7C631AF1" w14:textId="77777777" w:rsidR="00964748" w:rsidRDefault="00964748" w:rsidP="005B6517"/>
                        </w:tc>
                        <w:tc>
                          <w:tcPr>
                            <w:tcW w:w="2340" w:type="dxa"/>
                            <w:shd w:val="clear" w:color="auto" w:fill="D9D9D9" w:themeFill="background1" w:themeFillShade="D9"/>
                          </w:tcPr>
                          <w:p w14:paraId="010D77EE" w14:textId="77777777" w:rsidR="00964748" w:rsidRDefault="00964748" w:rsidP="005B6517"/>
                        </w:tc>
                      </w:tr>
                      <w:tr w:rsidR="00964748" w14:paraId="26BFB31C" w14:textId="77777777" w:rsidTr="005B6517">
                        <w:tc>
                          <w:tcPr>
                            <w:tcW w:w="1350" w:type="dxa"/>
                          </w:tcPr>
                          <w:p w14:paraId="37263F0D" w14:textId="77777777" w:rsidR="00964748" w:rsidRDefault="00964748" w:rsidP="005B6517">
                            <w:r>
                              <w:t xml:space="preserve">         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14DA752" w14:textId="77777777" w:rsidR="00964748" w:rsidRDefault="00964748" w:rsidP="005B6517">
                            <w:r>
                              <w:t xml:space="preserve">                 46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B18C736" w14:textId="77777777" w:rsidR="00964748" w:rsidRDefault="00964748" w:rsidP="005B6517">
                            <w:r>
                              <w:t xml:space="preserve">                   93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09F34F6" w14:textId="77777777" w:rsidR="00964748" w:rsidRDefault="00964748" w:rsidP="005B6517">
                            <w:r>
                              <w:t xml:space="preserve">              103</w:t>
                            </w:r>
                          </w:p>
                        </w:tc>
                      </w:tr>
                      <w:tr w:rsidR="00964748" w14:paraId="2A717ED6" w14:textId="77777777" w:rsidTr="005B6517">
                        <w:trPr>
                          <w:trHeight w:val="90"/>
                        </w:trPr>
                        <w:tc>
                          <w:tcPr>
                            <w:tcW w:w="1350" w:type="dxa"/>
                          </w:tcPr>
                          <w:p w14:paraId="234708D3" w14:textId="77777777" w:rsidR="00964748" w:rsidRDefault="00964748" w:rsidP="005B6517">
                            <w:r>
                              <w:t xml:space="preserve">         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72A3D59" w14:textId="77777777" w:rsidR="00964748" w:rsidRDefault="00964748" w:rsidP="005B6517">
                            <w:r>
                              <w:t xml:space="preserve">                 36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A80701A" w14:textId="77777777" w:rsidR="00964748" w:rsidRDefault="00964748" w:rsidP="005B6517">
                            <w:r>
                              <w:t xml:space="preserve">                   72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C595729" w14:textId="77777777" w:rsidR="00964748" w:rsidRDefault="00964748" w:rsidP="005B6517">
                            <w:r>
                              <w:t xml:space="preserve">                98</w:t>
                            </w:r>
                          </w:p>
                        </w:tc>
                      </w:tr>
                      <w:tr w:rsidR="00964748" w14:paraId="47CD84A4" w14:textId="77777777" w:rsidTr="005B6517">
                        <w:tc>
                          <w:tcPr>
                            <w:tcW w:w="1350" w:type="dxa"/>
                          </w:tcPr>
                          <w:p w14:paraId="5F1BA165" w14:textId="77777777" w:rsidR="00964748" w:rsidRDefault="00964748" w:rsidP="005B6517">
                            <w:r>
                              <w:t xml:space="preserve">         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20B8EBC" w14:textId="77777777" w:rsidR="00964748" w:rsidRDefault="00964748" w:rsidP="005B6517">
                            <w:r>
                              <w:t xml:space="preserve">                 39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06FA37A" w14:textId="77777777" w:rsidR="00964748" w:rsidRDefault="00964748" w:rsidP="005B6517">
                            <w:r>
                              <w:t xml:space="preserve">                   71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5DF6FB6" w14:textId="77777777" w:rsidR="00964748" w:rsidRDefault="00964748" w:rsidP="005B6517">
                            <w:r>
                              <w:t xml:space="preserve">                82</w:t>
                            </w:r>
                          </w:p>
                        </w:tc>
                      </w:tr>
                      <w:tr w:rsidR="00964748" w14:paraId="4CC6FBBE" w14:textId="77777777" w:rsidTr="005B6517">
                        <w:tc>
                          <w:tcPr>
                            <w:tcW w:w="1350" w:type="dxa"/>
                          </w:tcPr>
                          <w:p w14:paraId="32665428" w14:textId="77777777" w:rsidR="00964748" w:rsidRDefault="00964748" w:rsidP="005B6517">
                            <w:r>
                              <w:t xml:space="preserve">         4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AB74E70" w14:textId="77777777" w:rsidR="00964748" w:rsidRDefault="00964748" w:rsidP="005B6517">
                            <w:r>
                              <w:t xml:space="preserve">                 55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0548D23E" w14:textId="77777777" w:rsidR="00964748" w:rsidRDefault="00964748" w:rsidP="005B6517">
                            <w:r>
                              <w:t xml:space="preserve">                   83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5B646CD" w14:textId="77777777" w:rsidR="00964748" w:rsidRDefault="00964748" w:rsidP="005B6517">
                            <w:r>
                              <w:t xml:space="preserve">                49</w:t>
                            </w:r>
                          </w:p>
                        </w:tc>
                      </w:tr>
                      <w:tr w:rsidR="00964748" w14:paraId="5BD40DC6" w14:textId="77777777" w:rsidTr="005B6517">
                        <w:tc>
                          <w:tcPr>
                            <w:tcW w:w="1350" w:type="dxa"/>
                          </w:tcPr>
                          <w:p w14:paraId="08B476A0" w14:textId="77777777" w:rsidR="00964748" w:rsidRDefault="00964748" w:rsidP="005B6517">
                            <w:r>
                              <w:t xml:space="preserve">         5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0E37A05C" w14:textId="77777777" w:rsidR="00964748" w:rsidRDefault="00964748" w:rsidP="005B6517">
                            <w:r>
                              <w:t xml:space="preserve">                 41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070FA0CC" w14:textId="77777777" w:rsidR="00964748" w:rsidRDefault="00964748" w:rsidP="005B6517">
                            <w:r>
                              <w:t xml:space="preserve">                   61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D986E80" w14:textId="77777777" w:rsidR="00964748" w:rsidRDefault="00964748" w:rsidP="005B6517">
                            <w:r>
                              <w:t xml:space="preserve">                48</w:t>
                            </w:r>
                          </w:p>
                        </w:tc>
                      </w:tr>
                    </w:tbl>
                    <w:p w14:paraId="712146B5" w14:textId="77777777" w:rsidR="00964748" w:rsidRDefault="00964748" w:rsidP="005B6517"/>
                    <w:p w14:paraId="79B88B2D" w14:textId="77777777" w:rsidR="00964748" w:rsidRDefault="00964748"/>
                  </w:txbxContent>
                </v:textbox>
                <w10:wrap type="square"/>
              </v:shape>
            </w:pict>
          </mc:Fallback>
        </mc:AlternateContent>
      </w:r>
    </w:p>
    <w:p w14:paraId="6A16A089" w14:textId="531B824A" w:rsidR="00B40CE3" w:rsidRDefault="005B6517" w:rsidP="005F23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FF42" wp14:editId="37C029C5">
                <wp:simplePos x="0" y="0"/>
                <wp:positionH relativeFrom="column">
                  <wp:posOffset>692834</wp:posOffset>
                </wp:positionH>
                <wp:positionV relativeFrom="paragraph">
                  <wp:posOffset>49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7D73" w14:textId="77777777" w:rsidR="00964748" w:rsidRDefault="0096474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9CFF42" id="Text Box 3" o:spid="_x0000_s1028" type="#_x0000_t202" style="position:absolute;margin-left:54.55pt;margin-top:0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" filled="f" stroked="f">
                <v:textbox>
                  <w:txbxContent>
                    <w:p w14:paraId="36F47D73" w14:textId="77777777" w:rsidR="00964748" w:rsidRDefault="00964748"/>
                  </w:txbxContent>
                </v:textbox>
                <w10:wrap type="square"/>
              </v:shape>
            </w:pict>
          </mc:Fallback>
        </mc:AlternateContent>
      </w:r>
    </w:p>
    <w:p w14:paraId="683F93B0" w14:textId="77777777" w:rsidR="001553BC" w:rsidRDefault="00226145" w:rsidP="00BD4FD7">
      <w:r>
        <w:t xml:space="preserve">According to </w:t>
      </w:r>
      <w:r w:rsidR="001553BC">
        <w:t>Administrator Scott Miller,</w:t>
      </w:r>
      <w:r>
        <w:t xml:space="preserve"> “</w:t>
      </w:r>
      <w:proofErr w:type="spellStart"/>
      <w:r>
        <w:t>Maplebrook</w:t>
      </w:r>
      <w:proofErr w:type="spellEnd"/>
      <w:r>
        <w:t xml:space="preserve"> students have historically succeeded in all three of LCE’s skill areas, which </w:t>
      </w:r>
      <w:r w:rsidR="001553BC">
        <w:t>speaks</w:t>
      </w:r>
      <w:r>
        <w:t xml:space="preserve"> to the program’s consistent </w:t>
      </w:r>
    </w:p>
    <w:p w14:paraId="70E4E916" w14:textId="6A11B3CE" w:rsidR="00226145" w:rsidRDefault="00226145" w:rsidP="00BD4FD7">
      <w:proofErr w:type="gramStart"/>
      <w:r>
        <w:t>high</w:t>
      </w:r>
      <w:proofErr w:type="gramEnd"/>
      <w:r>
        <w:t xml:space="preserve"> quality.”</w:t>
      </w:r>
    </w:p>
    <w:p w14:paraId="442BE31E" w14:textId="77777777" w:rsidR="001553BC" w:rsidRDefault="001553BC" w:rsidP="00BD4FD7">
      <w:pPr>
        <w:pBdr>
          <w:bottom w:val="single" w:sz="6" w:space="1" w:color="auto"/>
        </w:pBdr>
      </w:pPr>
    </w:p>
    <w:p w14:paraId="5B7C32BA" w14:textId="77777777" w:rsidR="009E6A9D" w:rsidRDefault="00DC085E" w:rsidP="00BD4FD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Life centered education </w:t>
      </w:r>
      <w:r>
        <w:rPr>
          <w:sz w:val="20"/>
          <w:szCs w:val="20"/>
        </w:rPr>
        <w:t xml:space="preserve">(Curriculum).  </w:t>
      </w:r>
      <w:r w:rsidR="009E6A9D">
        <w:rPr>
          <w:sz w:val="20"/>
          <w:szCs w:val="20"/>
        </w:rPr>
        <w:t>Copyright 2012 by the Council for Exceptional Children.</w:t>
      </w:r>
    </w:p>
    <w:p w14:paraId="25785379" w14:textId="46B2EC53" w:rsidR="00DC085E" w:rsidRPr="00DC085E" w:rsidRDefault="00DC085E" w:rsidP="00BD4FD7">
      <w:pPr>
        <w:rPr>
          <w:sz w:val="20"/>
          <w:szCs w:val="20"/>
        </w:rPr>
      </w:pPr>
      <w:r>
        <w:rPr>
          <w:sz w:val="20"/>
          <w:szCs w:val="20"/>
        </w:rPr>
        <w:t>Available from https://lce.cec.sped.org</w:t>
      </w:r>
    </w:p>
    <w:sectPr w:rsidR="00DC085E" w:rsidRPr="00DC085E" w:rsidSect="00CE007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586"/>
    <w:multiLevelType w:val="hybridMultilevel"/>
    <w:tmpl w:val="F686159E"/>
    <w:lvl w:ilvl="0" w:tplc="8CAE582C">
      <w:start w:val="1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9"/>
    <w:rsid w:val="00062F46"/>
    <w:rsid w:val="000B0451"/>
    <w:rsid w:val="001553BC"/>
    <w:rsid w:val="001E1D2D"/>
    <w:rsid w:val="00226145"/>
    <w:rsid w:val="003E2D4A"/>
    <w:rsid w:val="00412255"/>
    <w:rsid w:val="00496B0D"/>
    <w:rsid w:val="004B6171"/>
    <w:rsid w:val="00514066"/>
    <w:rsid w:val="005A67E5"/>
    <w:rsid w:val="005B6517"/>
    <w:rsid w:val="005F23EA"/>
    <w:rsid w:val="00637586"/>
    <w:rsid w:val="006436F3"/>
    <w:rsid w:val="006B10B0"/>
    <w:rsid w:val="00873B09"/>
    <w:rsid w:val="008C025C"/>
    <w:rsid w:val="008F415F"/>
    <w:rsid w:val="009366F9"/>
    <w:rsid w:val="00964748"/>
    <w:rsid w:val="009E6A9D"/>
    <w:rsid w:val="00B40CE3"/>
    <w:rsid w:val="00BA1DF1"/>
    <w:rsid w:val="00BD4FD7"/>
    <w:rsid w:val="00C3337C"/>
    <w:rsid w:val="00C74937"/>
    <w:rsid w:val="00CE007E"/>
    <w:rsid w:val="00DC085E"/>
    <w:rsid w:val="00E03F16"/>
    <w:rsid w:val="00E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48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Student 1</c:v>
                </c:pt>
                <c:pt idx="1">
                  <c:v>Student 2</c:v>
                </c:pt>
                <c:pt idx="2">
                  <c:v>Student 3</c:v>
                </c:pt>
                <c:pt idx="3">
                  <c:v>Student 4</c:v>
                </c:pt>
                <c:pt idx="4">
                  <c:v>Student 5</c:v>
                </c:pt>
                <c:pt idx="5">
                  <c:v>Student 6</c:v>
                </c:pt>
                <c:pt idx="6">
                  <c:v>Student 7</c:v>
                </c:pt>
                <c:pt idx="7">
                  <c:v>Student 8</c:v>
                </c:pt>
                <c:pt idx="8">
                  <c:v>Student 9</c:v>
                </c:pt>
                <c:pt idx="9">
                  <c:v>Student 10</c:v>
                </c:pt>
                <c:pt idx="10">
                  <c:v>Student 11</c:v>
                </c:pt>
                <c:pt idx="11">
                  <c:v>Student 12</c:v>
                </c:pt>
                <c:pt idx="12">
                  <c:v>Student 13</c:v>
                </c:pt>
                <c:pt idx="13">
                  <c:v>Student 14</c:v>
                </c:pt>
                <c:pt idx="14">
                  <c:v>Student 15</c:v>
                </c:pt>
                <c:pt idx="15">
                  <c:v>Student 16</c:v>
                </c:pt>
                <c:pt idx="16">
                  <c:v>Student 17</c:v>
                </c:pt>
                <c:pt idx="17">
                  <c:v>Student 18</c:v>
                </c:pt>
                <c:pt idx="18">
                  <c:v>Student 19</c:v>
                </c:pt>
              </c:strCache>
            </c:strRef>
          </c:cat>
          <c:val>
            <c:numRef>
              <c:f>Sheet1!$B$2:$B$20</c:f>
              <c:numCache>
                <c:formatCode>General</c:formatCode>
                <c:ptCount val="19"/>
                <c:pt idx="0">
                  <c:v>46</c:v>
                </c:pt>
                <c:pt idx="1">
                  <c:v>36</c:v>
                </c:pt>
                <c:pt idx="2">
                  <c:v>39</c:v>
                </c:pt>
                <c:pt idx="3">
                  <c:v>55</c:v>
                </c:pt>
                <c:pt idx="4">
                  <c:v>41</c:v>
                </c:pt>
                <c:pt idx="5">
                  <c:v>47</c:v>
                </c:pt>
                <c:pt idx="6">
                  <c:v>22</c:v>
                </c:pt>
                <c:pt idx="7">
                  <c:v>65</c:v>
                </c:pt>
                <c:pt idx="8">
                  <c:v>72</c:v>
                </c:pt>
                <c:pt idx="9">
                  <c:v>67</c:v>
                </c:pt>
                <c:pt idx="10">
                  <c:v>76</c:v>
                </c:pt>
                <c:pt idx="11">
                  <c:v>80</c:v>
                </c:pt>
                <c:pt idx="12">
                  <c:v>72</c:v>
                </c:pt>
                <c:pt idx="13">
                  <c:v>74</c:v>
                </c:pt>
                <c:pt idx="14">
                  <c:v>71</c:v>
                </c:pt>
                <c:pt idx="15">
                  <c:v>85</c:v>
                </c:pt>
                <c:pt idx="16">
                  <c:v>87</c:v>
                </c:pt>
                <c:pt idx="17">
                  <c:v>85</c:v>
                </c:pt>
                <c:pt idx="18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Student 1</c:v>
                </c:pt>
                <c:pt idx="1">
                  <c:v>Student 2</c:v>
                </c:pt>
                <c:pt idx="2">
                  <c:v>Student 3</c:v>
                </c:pt>
                <c:pt idx="3">
                  <c:v>Student 4</c:v>
                </c:pt>
                <c:pt idx="4">
                  <c:v>Student 5</c:v>
                </c:pt>
                <c:pt idx="5">
                  <c:v>Student 6</c:v>
                </c:pt>
                <c:pt idx="6">
                  <c:v>Student 7</c:v>
                </c:pt>
                <c:pt idx="7">
                  <c:v>Student 8</c:v>
                </c:pt>
                <c:pt idx="8">
                  <c:v>Student 9</c:v>
                </c:pt>
                <c:pt idx="9">
                  <c:v>Student 10</c:v>
                </c:pt>
                <c:pt idx="10">
                  <c:v>Student 11</c:v>
                </c:pt>
                <c:pt idx="11">
                  <c:v>Student 12</c:v>
                </c:pt>
                <c:pt idx="12">
                  <c:v>Student 13</c:v>
                </c:pt>
                <c:pt idx="13">
                  <c:v>Student 14</c:v>
                </c:pt>
                <c:pt idx="14">
                  <c:v>Student 15</c:v>
                </c:pt>
                <c:pt idx="15">
                  <c:v>Student 16</c:v>
                </c:pt>
                <c:pt idx="16">
                  <c:v>Student 17</c:v>
                </c:pt>
                <c:pt idx="17">
                  <c:v>Student 18</c:v>
                </c:pt>
                <c:pt idx="18">
                  <c:v>Student 19</c:v>
                </c:pt>
              </c:strCache>
            </c:strRef>
          </c:cat>
          <c:val>
            <c:numRef>
              <c:f>Sheet1!$C$2:$C$20</c:f>
              <c:numCache>
                <c:formatCode>General</c:formatCode>
                <c:ptCount val="19"/>
                <c:pt idx="0">
                  <c:v>93</c:v>
                </c:pt>
                <c:pt idx="1">
                  <c:v>72</c:v>
                </c:pt>
                <c:pt idx="2">
                  <c:v>71</c:v>
                </c:pt>
                <c:pt idx="3">
                  <c:v>83</c:v>
                </c:pt>
                <c:pt idx="4">
                  <c:v>61</c:v>
                </c:pt>
                <c:pt idx="5">
                  <c:v>67</c:v>
                </c:pt>
                <c:pt idx="6">
                  <c:v>29</c:v>
                </c:pt>
                <c:pt idx="7">
                  <c:v>83</c:v>
                </c:pt>
                <c:pt idx="8">
                  <c:v>87</c:v>
                </c:pt>
                <c:pt idx="9">
                  <c:v>79</c:v>
                </c:pt>
                <c:pt idx="10">
                  <c:v>87</c:v>
                </c:pt>
                <c:pt idx="11">
                  <c:v>91</c:v>
                </c:pt>
                <c:pt idx="12">
                  <c:v>80</c:v>
                </c:pt>
                <c:pt idx="13">
                  <c:v>83</c:v>
                </c:pt>
                <c:pt idx="14">
                  <c:v>76</c:v>
                </c:pt>
                <c:pt idx="15">
                  <c:v>92</c:v>
                </c:pt>
                <c:pt idx="16">
                  <c:v>92</c:v>
                </c:pt>
                <c:pt idx="17">
                  <c:v>90</c:v>
                </c:pt>
                <c:pt idx="18">
                  <c:v>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Student 1</c:v>
                </c:pt>
                <c:pt idx="1">
                  <c:v>Student 2</c:v>
                </c:pt>
                <c:pt idx="2">
                  <c:v>Student 3</c:v>
                </c:pt>
                <c:pt idx="3">
                  <c:v>Student 4</c:v>
                </c:pt>
                <c:pt idx="4">
                  <c:v>Student 5</c:v>
                </c:pt>
                <c:pt idx="5">
                  <c:v>Student 6</c:v>
                </c:pt>
                <c:pt idx="6">
                  <c:v>Student 7</c:v>
                </c:pt>
                <c:pt idx="7">
                  <c:v>Student 8</c:v>
                </c:pt>
                <c:pt idx="8">
                  <c:v>Student 9</c:v>
                </c:pt>
                <c:pt idx="9">
                  <c:v>Student 10</c:v>
                </c:pt>
                <c:pt idx="10">
                  <c:v>Student 11</c:v>
                </c:pt>
                <c:pt idx="11">
                  <c:v>Student 12</c:v>
                </c:pt>
                <c:pt idx="12">
                  <c:v>Student 13</c:v>
                </c:pt>
                <c:pt idx="13">
                  <c:v>Student 14</c:v>
                </c:pt>
                <c:pt idx="14">
                  <c:v>Student 15</c:v>
                </c:pt>
                <c:pt idx="15">
                  <c:v>Student 16</c:v>
                </c:pt>
                <c:pt idx="16">
                  <c:v>Student 17</c:v>
                </c:pt>
                <c:pt idx="17">
                  <c:v>Student 18</c:v>
                </c:pt>
                <c:pt idx="18">
                  <c:v>Student 19</c:v>
                </c:pt>
              </c:strCache>
            </c:strRef>
          </c:cat>
          <c:val>
            <c:numRef>
              <c:f>Sheet1!$D$2:$D$20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50592"/>
        <c:axId val="74352128"/>
      </c:barChart>
      <c:catAx>
        <c:axId val="7435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352128"/>
        <c:crosses val="autoZero"/>
        <c:auto val="1"/>
        <c:lblAlgn val="ctr"/>
        <c:lblOffset val="100"/>
        <c:noMultiLvlLbl val="0"/>
      </c:catAx>
      <c:valAx>
        <c:axId val="7435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5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EF366-49C6-4BFF-826E-2B7506F6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Fones</dc:creator>
  <cp:lastModifiedBy>JScully</cp:lastModifiedBy>
  <cp:revision>2</cp:revision>
  <cp:lastPrinted>2017-02-09T18:47:00Z</cp:lastPrinted>
  <dcterms:created xsi:type="dcterms:W3CDTF">2018-02-20T22:16:00Z</dcterms:created>
  <dcterms:modified xsi:type="dcterms:W3CDTF">2018-02-20T22:16:00Z</dcterms:modified>
</cp:coreProperties>
</file>