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3A" w:rsidRDefault="00A13C3C" w:rsidP="00DA3A3A">
      <w:pPr>
        <w:pStyle w:val="Content"/>
        <w:jc w:val="center"/>
        <w:rPr>
          <w:b/>
          <w:color w:val="2E74B5" w:themeColor="accent1" w:themeShade="BF"/>
          <w:sz w:val="32"/>
          <w:szCs w:val="24"/>
        </w:rPr>
      </w:pPr>
      <w:bookmarkStart w:id="0" w:name="_GoBack"/>
      <w:r>
        <w:rPr>
          <w:b/>
          <w:color w:val="2E74B5" w:themeColor="accent1" w:themeShade="BF"/>
          <w:sz w:val="32"/>
          <w:szCs w:val="24"/>
        </w:rPr>
        <w:t xml:space="preserve">POLICY </w:t>
      </w:r>
      <w:r w:rsidR="00DA3A3A">
        <w:rPr>
          <w:b/>
          <w:color w:val="2E74B5" w:themeColor="accent1" w:themeShade="BF"/>
          <w:sz w:val="32"/>
          <w:szCs w:val="24"/>
        </w:rPr>
        <w:t>TEMPLATE</w:t>
      </w:r>
    </w:p>
    <w:p w:rsidR="00DA3A3A" w:rsidRDefault="00DA3A3A" w:rsidP="00A13C3C">
      <w:pPr>
        <w:rPr>
          <w:color w:val="2E74B5" w:themeColor="accent1" w:themeShade="BF"/>
          <w:sz w:val="24"/>
          <w:szCs w:val="24"/>
        </w:rPr>
      </w:pPr>
      <w:r w:rsidRPr="00A13C3C">
        <w:rPr>
          <w:color w:val="2E74B5" w:themeColor="accent1" w:themeShade="BF"/>
          <w:sz w:val="24"/>
          <w:szCs w:val="24"/>
        </w:rPr>
        <w:t xml:space="preserve">Policies and Procedures for </w:t>
      </w:r>
      <w:r w:rsidRPr="00A13C3C">
        <w:rPr>
          <w:color w:val="2E74B5" w:themeColor="accent1" w:themeShade="BF"/>
          <w:sz w:val="24"/>
          <w:szCs w:val="24"/>
          <w:highlight w:val="yellow"/>
        </w:rPr>
        <w:t>&lt;practice name&gt;</w:t>
      </w:r>
      <w:r w:rsidRPr="00A13C3C">
        <w:rPr>
          <w:color w:val="2E74B5" w:themeColor="accent1" w:themeShade="BF"/>
          <w:sz w:val="24"/>
          <w:szCs w:val="24"/>
        </w:rPr>
        <w:t xml:space="preserve"> for providing care in </w:t>
      </w:r>
      <w:r w:rsidR="00A13C3C">
        <w:rPr>
          <w:color w:val="2E74B5" w:themeColor="accent1" w:themeShade="BF"/>
          <w:sz w:val="24"/>
          <w:szCs w:val="24"/>
        </w:rPr>
        <w:t xml:space="preserve">Massachusetts Department of Public Health </w:t>
      </w:r>
      <w:r w:rsidRPr="00A13C3C">
        <w:rPr>
          <w:color w:val="2E74B5" w:themeColor="accent1" w:themeShade="BF"/>
          <w:sz w:val="24"/>
          <w:szCs w:val="24"/>
        </w:rPr>
        <w:t>Phase 2 of the COVID-19 era</w:t>
      </w:r>
      <w:r w:rsidR="00A13C3C">
        <w:rPr>
          <w:color w:val="2E74B5" w:themeColor="accent1" w:themeShade="BF"/>
          <w:sz w:val="24"/>
          <w:szCs w:val="24"/>
        </w:rPr>
        <w:t xml:space="preserve">.  </w:t>
      </w:r>
      <w:r w:rsidRPr="00A13C3C">
        <w:rPr>
          <w:color w:val="2E74B5" w:themeColor="accent1" w:themeShade="BF"/>
          <w:sz w:val="24"/>
          <w:szCs w:val="24"/>
        </w:rPr>
        <w:t xml:space="preserve">We continue to adhere to the policies required for </w:t>
      </w:r>
      <w:r w:rsidR="00A13C3C">
        <w:rPr>
          <w:color w:val="2E74B5" w:themeColor="accent1" w:themeShade="BF"/>
          <w:sz w:val="24"/>
          <w:szCs w:val="24"/>
        </w:rPr>
        <w:t xml:space="preserve">DPH </w:t>
      </w:r>
      <w:r w:rsidRPr="00A13C3C">
        <w:rPr>
          <w:color w:val="2E74B5" w:themeColor="accent1" w:themeShade="BF"/>
          <w:sz w:val="24"/>
          <w:szCs w:val="24"/>
        </w:rPr>
        <w:t>Phase 1 as well as</w:t>
      </w:r>
      <w:r w:rsidR="00A13C3C">
        <w:rPr>
          <w:color w:val="2E74B5" w:themeColor="accent1" w:themeShade="BF"/>
          <w:sz w:val="24"/>
          <w:szCs w:val="24"/>
        </w:rPr>
        <w:t xml:space="preserve"> the additional policies below:</w:t>
      </w:r>
    </w:p>
    <w:p w:rsidR="00A13C3C" w:rsidRPr="00A13C3C" w:rsidRDefault="00A13C3C" w:rsidP="00A13C3C">
      <w:pPr>
        <w:rPr>
          <w:b/>
          <w:color w:val="2E74B5" w:themeColor="accent1" w:themeShade="BF"/>
          <w:sz w:val="24"/>
          <w:szCs w:val="24"/>
        </w:rPr>
      </w:pPr>
    </w:p>
    <w:p w:rsidR="00E50C5E" w:rsidRDefault="00E50C5E" w:rsidP="00A13C3C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Patient scheduling prioritization policy </w:t>
      </w:r>
    </w:p>
    <w:p w:rsidR="00E50C5E" w:rsidRDefault="00E50C5E" w:rsidP="00A13C3C">
      <w:pPr>
        <w:spacing w:after="0"/>
        <w:ind w:left="360"/>
      </w:pPr>
      <w:r>
        <w:t xml:space="preserve">We schedule patients for visits without regard to their insurance type. </w:t>
      </w:r>
    </w:p>
    <w:p w:rsidR="00E50C5E" w:rsidRDefault="00E50C5E" w:rsidP="00A13C3C">
      <w:pPr>
        <w:spacing w:after="0"/>
        <w:ind w:left="360"/>
      </w:pPr>
      <w:r>
        <w:t>We schedule telehealth visits for any issues that may appropriately be managed remotely.</w:t>
      </w:r>
    </w:p>
    <w:p w:rsidR="00E50C5E" w:rsidRDefault="00E50C5E" w:rsidP="00A13C3C">
      <w:pPr>
        <w:spacing w:after="0"/>
        <w:ind w:left="360"/>
      </w:pPr>
      <w:r>
        <w:t>Urgent issues are always scheduled with the highest priority.</w:t>
      </w:r>
    </w:p>
    <w:p w:rsidR="00FF0041" w:rsidRDefault="00FF0041" w:rsidP="00A13C3C">
      <w:pPr>
        <w:spacing w:after="0"/>
        <w:ind w:left="360"/>
      </w:pPr>
      <w:r>
        <w:t>Exceptions to this policy may be made when a provider’s clinical judgement identifies an important need not covered by this policy.</w:t>
      </w:r>
    </w:p>
    <w:p w:rsidR="00FF0041" w:rsidRDefault="00FF0041" w:rsidP="00A13C3C">
      <w:pPr>
        <w:spacing w:after="0"/>
        <w:ind w:left="360"/>
      </w:pPr>
    </w:p>
    <w:p w:rsidR="00E50C5E" w:rsidRPr="00E50C5E" w:rsidRDefault="00FF0041" w:rsidP="00A13C3C">
      <w:pPr>
        <w:spacing w:after="0"/>
        <w:ind w:left="360"/>
        <w:rPr>
          <w:u w:val="single"/>
        </w:rPr>
      </w:pPr>
      <w:r>
        <w:rPr>
          <w:u w:val="single"/>
        </w:rPr>
        <w:t>Highest</w:t>
      </w:r>
      <w:r w:rsidR="00E50C5E" w:rsidRPr="00E50C5E">
        <w:rPr>
          <w:u w:val="single"/>
        </w:rPr>
        <w:t xml:space="preserve"> priority</w:t>
      </w:r>
    </w:p>
    <w:p w:rsidR="00E50C5E" w:rsidRPr="00A51A80" w:rsidRDefault="00E50C5E" w:rsidP="00A13C3C">
      <w:pPr>
        <w:spacing w:after="0"/>
        <w:ind w:left="1080"/>
      </w:pPr>
      <w:r w:rsidRPr="00A51A80">
        <w:t>High priority preventive services (e.g. cancer screenings for HIGH-RISK patients)</w:t>
      </w:r>
    </w:p>
    <w:p w:rsidR="00E50C5E" w:rsidRPr="00A51A80" w:rsidRDefault="00E50C5E" w:rsidP="00A13C3C">
      <w:pPr>
        <w:spacing w:after="0"/>
        <w:ind w:left="1080"/>
      </w:pPr>
      <w:r w:rsidRPr="00A51A80">
        <w:t xml:space="preserve">Pediatric immunizations and </w:t>
      </w:r>
      <w:r>
        <w:t>essential</w:t>
      </w:r>
      <w:r w:rsidRPr="00A51A80">
        <w:t xml:space="preserve"> preventive care</w:t>
      </w:r>
    </w:p>
    <w:p w:rsidR="00E50C5E" w:rsidRDefault="00E50C5E" w:rsidP="00A13C3C">
      <w:pPr>
        <w:spacing w:after="0"/>
        <w:ind w:left="1080"/>
      </w:pPr>
      <w:r>
        <w:t xml:space="preserve">Urgent procedures that, </w:t>
      </w:r>
      <w:r w:rsidRPr="00A51A80">
        <w:t>if deferred</w:t>
      </w:r>
      <w:r>
        <w:t xml:space="preserve">, </w:t>
      </w:r>
      <w:r w:rsidRPr="00A51A80">
        <w:t xml:space="preserve">would lead to worsening </w:t>
      </w:r>
      <w:r>
        <w:t>clinical condition or risk of adverse consequences</w:t>
      </w:r>
    </w:p>
    <w:p w:rsidR="00E50C5E" w:rsidRDefault="00E50C5E" w:rsidP="00A13C3C">
      <w:pPr>
        <w:spacing w:after="0"/>
        <w:ind w:left="720"/>
      </w:pPr>
    </w:p>
    <w:p w:rsidR="00E50C5E" w:rsidRPr="00E50C5E" w:rsidRDefault="00FF0041" w:rsidP="00A13C3C">
      <w:pPr>
        <w:spacing w:after="0"/>
        <w:ind w:left="360"/>
        <w:rPr>
          <w:u w:val="single"/>
        </w:rPr>
      </w:pPr>
      <w:r>
        <w:rPr>
          <w:u w:val="single"/>
        </w:rPr>
        <w:lastRenderedPageBreak/>
        <w:t>Lower priority</w:t>
      </w:r>
    </w:p>
    <w:p w:rsidR="00E50C5E" w:rsidRDefault="00E50C5E" w:rsidP="00A13C3C">
      <w:pPr>
        <w:spacing w:after="0"/>
        <w:ind w:left="1080"/>
      </w:pPr>
      <w:r w:rsidRPr="00A51A80">
        <w:t xml:space="preserve">Acute </w:t>
      </w:r>
      <w:r>
        <w:t>(non-urgent)</w:t>
      </w:r>
      <w:r w:rsidR="00FF0041">
        <w:t xml:space="preserve"> </w:t>
      </w:r>
      <w:r w:rsidRPr="00A51A80">
        <w:t>illnesses requiring in-person visit</w:t>
      </w:r>
    </w:p>
    <w:p w:rsidR="00FF0041" w:rsidRDefault="00FF0041" w:rsidP="00A13C3C">
      <w:pPr>
        <w:spacing w:after="0"/>
        <w:ind w:left="1080"/>
      </w:pPr>
      <w:r w:rsidRPr="00A51A80">
        <w:t xml:space="preserve">Progressive conditions which will worsen without intervention, or with </w:t>
      </w:r>
      <w:proofErr w:type="spellStart"/>
      <w:r w:rsidRPr="00A51A80">
        <w:t>sxs</w:t>
      </w:r>
      <w:proofErr w:type="spellEnd"/>
      <w:r w:rsidRPr="00A51A80">
        <w:t xml:space="preserve"> negatively affecting ADLs or QOL</w:t>
      </w:r>
    </w:p>
    <w:p w:rsidR="00FF0041" w:rsidRDefault="00FF0041" w:rsidP="00A13C3C">
      <w:pPr>
        <w:spacing w:after="0"/>
        <w:ind w:left="720" w:firstLine="360"/>
      </w:pPr>
      <w:r w:rsidRPr="00A51A80">
        <w:t xml:space="preserve">Monitoring health </w:t>
      </w:r>
      <w:r>
        <w:t>status or progression of illness</w:t>
      </w:r>
    </w:p>
    <w:p w:rsidR="00E50C5E" w:rsidRPr="00A51A80" w:rsidRDefault="00FF0041" w:rsidP="00A13C3C">
      <w:pPr>
        <w:spacing w:after="0"/>
        <w:ind w:left="720" w:firstLine="360"/>
      </w:pPr>
      <w:r>
        <w:t>Chronic disease management</w:t>
      </w:r>
    </w:p>
    <w:p w:rsidR="00E50C5E" w:rsidRDefault="00E50C5E" w:rsidP="00A13C3C">
      <w:pPr>
        <w:spacing w:after="0"/>
        <w:ind w:left="1080"/>
      </w:pPr>
      <w:r w:rsidRPr="00A51A80">
        <w:t xml:space="preserve">Adult preventive care </w:t>
      </w:r>
      <w:r w:rsidR="00FF0041">
        <w:t>if it</w:t>
      </w:r>
      <w:r w:rsidRPr="00A51A80">
        <w:t xml:space="preserve"> must be done in person</w:t>
      </w:r>
    </w:p>
    <w:p w:rsidR="00FF0041" w:rsidRDefault="00FF0041" w:rsidP="00A13C3C">
      <w:pPr>
        <w:spacing w:after="0"/>
        <w:ind w:left="720"/>
      </w:pPr>
    </w:p>
    <w:p w:rsidR="00FF0041" w:rsidRPr="00FF0041" w:rsidRDefault="00FF0041" w:rsidP="00A13C3C">
      <w:pPr>
        <w:spacing w:after="0"/>
        <w:ind w:left="360"/>
        <w:rPr>
          <w:u w:val="single"/>
        </w:rPr>
      </w:pPr>
      <w:r w:rsidRPr="00FF0041">
        <w:rPr>
          <w:u w:val="single"/>
        </w:rPr>
        <w:t xml:space="preserve">Not </w:t>
      </w:r>
      <w:r>
        <w:rPr>
          <w:u w:val="single"/>
        </w:rPr>
        <w:t>performed</w:t>
      </w:r>
      <w:r w:rsidRPr="00FF0041">
        <w:rPr>
          <w:u w:val="single"/>
        </w:rPr>
        <w:t xml:space="preserve"> in phase 2</w:t>
      </w:r>
    </w:p>
    <w:p w:rsidR="00FF0041" w:rsidRDefault="00FF0041" w:rsidP="00A13C3C">
      <w:pPr>
        <w:spacing w:after="0"/>
        <w:ind w:left="1080"/>
      </w:pPr>
      <w:r>
        <w:t>Elective cosmetic procedures</w:t>
      </w:r>
    </w:p>
    <w:p w:rsidR="00FF0041" w:rsidRDefault="00FF0041" w:rsidP="00A13C3C">
      <w:pPr>
        <w:spacing w:after="0"/>
        <w:ind w:left="1080"/>
      </w:pPr>
    </w:p>
    <w:p w:rsidR="00DA3A3A" w:rsidRPr="00DA3A3A" w:rsidRDefault="00DA3A3A" w:rsidP="00A13C3C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DA3A3A">
        <w:rPr>
          <w:b/>
        </w:rPr>
        <w:t>Deferral of non-essential elective care for supply concerns</w:t>
      </w:r>
    </w:p>
    <w:p w:rsidR="00FF0041" w:rsidRDefault="00FF0041" w:rsidP="00A13C3C">
      <w:pPr>
        <w:pStyle w:val="ListParagraph"/>
        <w:spacing w:after="0"/>
        <w:ind w:left="1080"/>
      </w:pPr>
      <w:r>
        <w:t xml:space="preserve">Non-essential elective care is deferred if PPE or other essential supply inventories </w:t>
      </w:r>
      <w:r w:rsidR="00DA3A3A">
        <w:t xml:space="preserve">fall below 5 days on hand and resupply is uncertain, or if additional supplies are unable to be procured within this time frame. </w:t>
      </w:r>
    </w:p>
    <w:p w:rsidR="00DA3A3A" w:rsidRDefault="00DA3A3A" w:rsidP="00A13C3C">
      <w:pPr>
        <w:pStyle w:val="ListParagraph"/>
        <w:spacing w:after="0"/>
        <w:ind w:left="1800"/>
      </w:pPr>
    </w:p>
    <w:p w:rsidR="00DA3A3A" w:rsidRPr="00DA3A3A" w:rsidRDefault="00DA3A3A" w:rsidP="00A13C3C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 </w:t>
      </w:r>
      <w:r w:rsidRPr="00DA3A3A">
        <w:rPr>
          <w:b/>
        </w:rPr>
        <w:t>Infection control policies and procedures</w:t>
      </w:r>
    </w:p>
    <w:p w:rsidR="00DA3A3A" w:rsidRPr="00DA3A3A" w:rsidRDefault="00DA3A3A" w:rsidP="00A13C3C">
      <w:pPr>
        <w:pStyle w:val="ListParagraph"/>
        <w:spacing w:after="0"/>
        <w:ind w:left="1080"/>
      </w:pPr>
      <w:r>
        <w:t>We continue to follow all infection control policies from Phase 1.  In addition, after</w:t>
      </w:r>
      <w:r w:rsidR="00A13C3C">
        <w:t xml:space="preserve"> </w:t>
      </w:r>
      <w:r>
        <w:t>invasive procedures, we wait to disinfect and reuse the room until sufficient time has passed to allow the room to be cleared of potential airborne contaminants.</w:t>
      </w:r>
      <w:r w:rsidR="00A13C3C" w:rsidRPr="00DA3A3A">
        <w:t xml:space="preserve"> </w:t>
      </w:r>
      <w:bookmarkEnd w:id="0"/>
    </w:p>
    <w:sectPr w:rsidR="00DA3A3A" w:rsidRPr="00DA3A3A" w:rsidSect="00A13C3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3C" w:rsidRDefault="00A13C3C" w:rsidP="00A13C3C">
      <w:pPr>
        <w:spacing w:after="0" w:line="240" w:lineRule="auto"/>
      </w:pPr>
      <w:r>
        <w:separator/>
      </w:r>
    </w:p>
  </w:endnote>
  <w:endnote w:type="continuationSeparator" w:id="0">
    <w:p w:rsidR="00A13C3C" w:rsidRDefault="00A13C3C" w:rsidP="00A1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3C" w:rsidRDefault="00A13C3C" w:rsidP="00A13C3C">
      <w:pPr>
        <w:spacing w:after="0" w:line="240" w:lineRule="auto"/>
      </w:pPr>
      <w:r>
        <w:separator/>
      </w:r>
    </w:p>
  </w:footnote>
  <w:footnote w:type="continuationSeparator" w:id="0">
    <w:p w:rsidR="00A13C3C" w:rsidRDefault="00A13C3C" w:rsidP="00A1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C3C" w:rsidRDefault="00A13C3C" w:rsidP="00A13C3C">
    <w:pPr>
      <w:spacing w:after="0"/>
      <w:rPr>
        <w:color w:val="2E74B5" w:themeColor="accent1" w:themeShade="BF"/>
        <w:sz w:val="20"/>
        <w:szCs w:val="24"/>
      </w:rPr>
    </w:pPr>
    <w:r w:rsidRPr="00A13C3C">
      <w:rPr>
        <w:color w:val="2E74B5" w:themeColor="accent1" w:themeShade="BF"/>
        <w:sz w:val="20"/>
        <w:szCs w:val="24"/>
      </w:rPr>
      <w:t>Policies and Procedures for providing care in DPH Phase 2 of the COVID-19 era</w:t>
    </w:r>
  </w:p>
  <w:p w:rsidR="00A13C3C" w:rsidRPr="00A13C3C" w:rsidRDefault="00A13C3C" w:rsidP="00A13C3C">
    <w:pPr>
      <w:spacing w:after="0"/>
      <w:rPr>
        <w:color w:val="2E74B5" w:themeColor="accent1" w:themeShade="BF"/>
        <w:sz w:val="20"/>
        <w:szCs w:val="24"/>
      </w:rPr>
    </w:pPr>
    <w:r>
      <w:rPr>
        <w:color w:val="2E74B5" w:themeColor="accent1" w:themeShade="BF"/>
        <w:sz w:val="20"/>
        <w:szCs w:val="24"/>
      </w:rPr>
      <w:t xml:space="preserve">Page </w:t>
    </w:r>
  </w:p>
  <w:p w:rsidR="00A13C3C" w:rsidRDefault="00A13C3C" w:rsidP="00A13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B7C26"/>
    <w:multiLevelType w:val="hybridMultilevel"/>
    <w:tmpl w:val="02B2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5B8B"/>
    <w:multiLevelType w:val="hybridMultilevel"/>
    <w:tmpl w:val="BE28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5E"/>
    <w:rsid w:val="00A13C3C"/>
    <w:rsid w:val="00DA3A3A"/>
    <w:rsid w:val="00E45A05"/>
    <w:rsid w:val="00E50C5E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2129"/>
  <w15:chartTrackingRefBased/>
  <w15:docId w15:val="{40217B13-9EAA-4181-9246-60E1EA4E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C5E"/>
    <w:pPr>
      <w:ind w:left="720"/>
      <w:contextualSpacing/>
    </w:pPr>
  </w:style>
  <w:style w:type="character" w:customStyle="1" w:styleId="ContentChar">
    <w:name w:val="Content Char"/>
    <w:basedOn w:val="DefaultParagraphFont"/>
    <w:link w:val="Content"/>
    <w:locked/>
    <w:rsid w:val="00DA3A3A"/>
    <w:rPr>
      <w:rFonts w:ascii="MS Mincho" w:eastAsiaTheme="minorEastAsia" w:hAnsi="MS Mincho"/>
      <w:color w:val="44546A" w:themeColor="text2"/>
      <w:sz w:val="28"/>
    </w:rPr>
  </w:style>
  <w:style w:type="paragraph" w:customStyle="1" w:styleId="Content">
    <w:name w:val="Content"/>
    <w:basedOn w:val="Normal"/>
    <w:link w:val="ContentChar"/>
    <w:qFormat/>
    <w:rsid w:val="00DA3A3A"/>
    <w:pPr>
      <w:spacing w:after="0" w:line="276" w:lineRule="auto"/>
    </w:pPr>
    <w:rPr>
      <w:rFonts w:ascii="MS Mincho" w:eastAsiaTheme="minorEastAsia" w:hAnsi="MS Mincho"/>
      <w:color w:val="44546A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A13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3C"/>
  </w:style>
  <w:style w:type="paragraph" w:styleId="Footer">
    <w:name w:val="footer"/>
    <w:basedOn w:val="Normal"/>
    <w:link w:val="FooterChar"/>
    <w:uiPriority w:val="99"/>
    <w:unhideWhenUsed/>
    <w:rsid w:val="00A13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Kruskal, Benjamin</dc:creator>
  <cp:keywords/>
  <dc:description/>
  <cp:lastModifiedBy>Holda, Peg</cp:lastModifiedBy>
  <cp:revision>2</cp:revision>
  <dcterms:created xsi:type="dcterms:W3CDTF">2020-06-09T14:24:00Z</dcterms:created>
  <dcterms:modified xsi:type="dcterms:W3CDTF">2020-06-09T14:24:00Z</dcterms:modified>
</cp:coreProperties>
</file>