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5E7BFF" w14:textId="7A8BC5AD" w:rsidR="00A329D2" w:rsidRDefault="00A329D2" w:rsidP="00144D13">
      <w:pPr>
        <w:pStyle w:val="Title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Continued from February 2026, CAAHEP </w:t>
      </w:r>
      <w:r w:rsidR="00872C12">
        <w:rPr>
          <w:rFonts w:ascii="Calibri" w:hAnsi="Calibri" w:cs="Calibri"/>
          <w:sz w:val="24"/>
          <w:szCs w:val="24"/>
        </w:rPr>
        <w:t>Communique</w:t>
      </w:r>
    </w:p>
    <w:p w14:paraId="1F4DEFFA" w14:textId="77777777" w:rsidR="00872C12" w:rsidRPr="00872C12" w:rsidRDefault="00872C12" w:rsidP="00872C12">
      <w:pPr>
        <w:spacing w:after="0"/>
      </w:pPr>
    </w:p>
    <w:p w14:paraId="4C9ACF71" w14:textId="3611A7C8" w:rsidR="00AE6213" w:rsidRPr="00872C12" w:rsidRDefault="00AE6213" w:rsidP="00872C12">
      <w:pPr>
        <w:pStyle w:val="Title"/>
        <w:spacing w:after="0"/>
        <w:rPr>
          <w:rFonts w:ascii="Calibri" w:hAnsi="Calibri" w:cs="Calibri"/>
          <w:sz w:val="32"/>
          <w:szCs w:val="32"/>
        </w:rPr>
      </w:pPr>
      <w:r w:rsidRPr="00872C12">
        <w:rPr>
          <w:rFonts w:ascii="Calibri" w:hAnsi="Calibri" w:cs="Calibri"/>
          <w:sz w:val="32"/>
          <w:szCs w:val="32"/>
        </w:rPr>
        <w:t>CAAHEP Adopts Quality Framework for Health Professions Education</w:t>
      </w:r>
    </w:p>
    <w:p w14:paraId="4B04598E" w14:textId="2B6DF4A3" w:rsidR="00F31F36" w:rsidRPr="00C77F82" w:rsidRDefault="00B0131E">
      <w:pPr>
        <w:rPr>
          <w:rFonts w:cs="Calibri"/>
          <w:b/>
          <w:bCs/>
        </w:rPr>
      </w:pPr>
      <w:r w:rsidRPr="00AF0956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78650406" wp14:editId="60C71D9D">
                <wp:simplePos x="0" y="0"/>
                <wp:positionH relativeFrom="margin">
                  <wp:posOffset>849443</wp:posOffset>
                </wp:positionH>
                <wp:positionV relativeFrom="paragraph">
                  <wp:posOffset>78760</wp:posOffset>
                </wp:positionV>
                <wp:extent cx="4681928" cy="762624"/>
                <wp:effectExtent l="0" t="0" r="0" b="0"/>
                <wp:wrapNone/>
                <wp:docPr id="6" name="TextBox 5">
                  <a:extLst xmlns:a="http://schemas.openxmlformats.org/drawingml/2006/main">
                    <a:ext uri="{FF2B5EF4-FFF2-40B4-BE49-F238E27FC236}">
                      <a16:creationId xmlns:a16="http://schemas.microsoft.com/office/drawing/2014/main" id="{49EC0B9B-9202-96AA-2F3C-68E5D25EE785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81928" cy="762624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437E379F" w14:textId="520E8DA6" w:rsidR="000C7123" w:rsidRPr="00B0131E" w:rsidRDefault="000C7123" w:rsidP="00B0131E">
                            <w:pPr>
                              <w:jc w:val="center"/>
                              <w:rPr>
                                <w:rFonts w:asciiTheme="minorHAnsi" w:hAnsi="Aptos" w:cstheme="minorBidi"/>
                                <w:color w:val="FFFFFF" w:themeColor="background1"/>
                                <w:kern w:val="24"/>
                                <w:sz w:val="44"/>
                                <w:szCs w:val="44"/>
                              </w:rPr>
                            </w:pPr>
                            <w:r w:rsidRPr="00B0131E">
                              <w:rPr>
                                <w:rFonts w:asciiTheme="minorHAnsi" w:hAnsi="Aptos" w:cstheme="minorBidi"/>
                                <w:color w:val="FFFFFF" w:themeColor="background1"/>
                                <w:kern w:val="24"/>
                                <w:sz w:val="44"/>
                                <w:szCs w:val="44"/>
                              </w:rPr>
                              <w:t>Health Professions Education</w:t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8650406" id="_x0000_t202" coordsize="21600,21600" o:spt="202" path="m,l,21600r21600,l21600,xe">
                <v:stroke joinstyle="miter"/>
                <v:path gradientshapeok="t" o:connecttype="rect"/>
              </v:shapetype>
              <v:shape id="TextBox 5" o:spid="_x0000_s1026" type="#_x0000_t202" style="position:absolute;margin-left:66.9pt;margin-top:6.2pt;width:368.65pt;height:60.05pt;z-index:251658241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" filled="f" stroked="f">
                <v:textbox>
                  <w:txbxContent>
                    <w:p w14:paraId="437E379F" w14:textId="520E8DA6" w:rsidR="000C7123" w:rsidRPr="00B0131E" w:rsidRDefault="000C7123" w:rsidP="00B0131E">
                      <w:pPr>
                        <w:jc w:val="center"/>
                        <w:rPr>
                          <w:rFonts w:asciiTheme="minorHAnsi" w:hAnsi="Aptos" w:cstheme="minorBidi"/>
                          <w:color w:val="FFFFFF" w:themeColor="background1"/>
                          <w:kern w:val="24"/>
                          <w:sz w:val="44"/>
                          <w:szCs w:val="44"/>
                        </w:rPr>
                      </w:pPr>
                      <w:r w:rsidRPr="00B0131E">
                        <w:rPr>
                          <w:rFonts w:asciiTheme="minorHAnsi" w:hAnsi="Aptos" w:cstheme="minorBidi"/>
                          <w:color w:val="FFFFFF" w:themeColor="background1"/>
                          <w:kern w:val="24"/>
                          <w:sz w:val="44"/>
                          <w:szCs w:val="44"/>
                        </w:rPr>
                        <w:t>Health Professions Education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B0763FD" w14:textId="744D216F" w:rsidR="009E69E5" w:rsidRPr="00C77F82" w:rsidRDefault="009E69E5" w:rsidP="00B605A2">
      <w:pPr>
        <w:pStyle w:val="Heading1"/>
        <w:rPr>
          <w:b/>
          <w:bCs/>
        </w:rPr>
      </w:pPr>
      <w:r w:rsidRPr="00C77F82">
        <w:rPr>
          <w:b/>
          <w:bCs/>
        </w:rPr>
        <w:t>Core Outcome Measures</w:t>
      </w:r>
    </w:p>
    <w:p w14:paraId="4593DABE" w14:textId="6C8FD5C3" w:rsidR="009E69E5" w:rsidRPr="00AF0956" w:rsidRDefault="009E69E5" w:rsidP="009E69E5">
      <w:pPr>
        <w:rPr>
          <w:rFonts w:cs="Calibri"/>
        </w:rPr>
      </w:pPr>
      <w:r w:rsidRPr="00AF0956">
        <w:rPr>
          <w:rFonts w:cs="Calibri"/>
        </w:rPr>
        <w:t>The Task Force identified four core outcome measures t</w:t>
      </w:r>
      <w:r w:rsidR="00EB77AC" w:rsidRPr="00AF0956">
        <w:rPr>
          <w:rFonts w:cs="Calibri"/>
        </w:rPr>
        <w:t xml:space="preserve">o be </w:t>
      </w:r>
      <w:r w:rsidRPr="00AF0956">
        <w:rPr>
          <w:rFonts w:cs="Calibri"/>
        </w:rPr>
        <w:t xml:space="preserve">incorporated into CAAHEP </w:t>
      </w:r>
      <w:r w:rsidR="007111B4" w:rsidRPr="00AF0956">
        <w:rPr>
          <w:rFonts w:cs="Calibri"/>
        </w:rPr>
        <w:t>s</w:t>
      </w:r>
      <w:r w:rsidRPr="00AF0956">
        <w:rPr>
          <w:rFonts w:cs="Calibri"/>
        </w:rPr>
        <w:t xml:space="preserve">tandards for all accredited programs. Each measure contributes uniquely to understanding different dimensions of program quality. </w:t>
      </w:r>
    </w:p>
    <w:p w14:paraId="543B9233" w14:textId="77777777" w:rsidR="009E69E5" w:rsidRPr="00AF0956" w:rsidRDefault="009E69E5" w:rsidP="002F430C">
      <w:pPr>
        <w:pStyle w:val="Heading3"/>
        <w:rPr>
          <w:rFonts w:cs="Calibri"/>
          <w:b/>
          <w:bCs/>
        </w:rPr>
      </w:pPr>
      <w:r w:rsidRPr="00AF0956">
        <w:rPr>
          <w:rFonts w:cs="Calibri"/>
          <w:b/>
          <w:bCs/>
        </w:rPr>
        <w:t>National Credentialing Examination Performance</w:t>
      </w:r>
    </w:p>
    <w:p w14:paraId="628ADBAB" w14:textId="294D88D4" w:rsidR="009E17CB" w:rsidRPr="00AF0956" w:rsidRDefault="00D82D8A" w:rsidP="00D82D8A">
      <w:pPr>
        <w:rPr>
          <w:rFonts w:cs="Calibri"/>
        </w:rPr>
      </w:pPr>
      <w:r w:rsidRPr="00AF0956">
        <w:rPr>
          <w:rFonts w:cs="Calibri"/>
        </w:rPr>
        <w:t>Credentialing examination performance directly assesses graduate knowledge and skills required for professional practice</w:t>
      </w:r>
      <w:r w:rsidR="009E17CB" w:rsidRPr="00AF0956">
        <w:rPr>
          <w:rFonts w:cs="Calibri"/>
        </w:rPr>
        <w:t xml:space="preserve"> (</w:t>
      </w:r>
      <w:r w:rsidR="00CF1C50" w:rsidRPr="00AF0956">
        <w:rPr>
          <w:rFonts w:cs="Calibri"/>
        </w:rPr>
        <w:t>Davis-Becker &amp; Buckendahl</w:t>
      </w:r>
      <w:r w:rsidR="009E17CB" w:rsidRPr="00AF0956">
        <w:rPr>
          <w:rFonts w:cs="Calibri"/>
        </w:rPr>
        <w:t>, 201</w:t>
      </w:r>
      <w:r w:rsidR="00CF1C50" w:rsidRPr="00AF0956">
        <w:rPr>
          <w:rFonts w:cs="Calibri"/>
        </w:rPr>
        <w:t>7</w:t>
      </w:r>
      <w:r w:rsidR="009E17CB" w:rsidRPr="00AF0956">
        <w:rPr>
          <w:rFonts w:cs="Calibri"/>
        </w:rPr>
        <w:t>)</w:t>
      </w:r>
      <w:r w:rsidRPr="00AF0956">
        <w:rPr>
          <w:rFonts w:cs="Calibri"/>
        </w:rPr>
        <w:t>. Performance patterns across cohorts can indicate curriculum effectiveness, while alignment with current practice requirements demonstrates workforce relevance. Analysis of performance in specific domains helps programs identify targeted curricular improvements (</w:t>
      </w:r>
      <w:r w:rsidR="00420A49" w:rsidRPr="00AF0956">
        <w:rPr>
          <w:rFonts w:cs="Calibri"/>
        </w:rPr>
        <w:t>Chin &amp; Agarwala</w:t>
      </w:r>
      <w:r w:rsidR="00D726EE" w:rsidRPr="00AF0956">
        <w:rPr>
          <w:rFonts w:cs="Calibri"/>
        </w:rPr>
        <w:t xml:space="preserve">, </w:t>
      </w:r>
      <w:r w:rsidR="00420A49" w:rsidRPr="00AF0956">
        <w:rPr>
          <w:rFonts w:cs="Calibri"/>
        </w:rPr>
        <w:t>2020).</w:t>
      </w:r>
    </w:p>
    <w:p w14:paraId="7FF5A5E8" w14:textId="731A45E5" w:rsidR="00D82D8A" w:rsidRPr="00AF0956" w:rsidRDefault="0095438D" w:rsidP="00D82D8A">
      <w:pPr>
        <w:rPr>
          <w:rFonts w:cs="Calibri"/>
        </w:rPr>
      </w:pPr>
      <w:r w:rsidRPr="00AF0956">
        <w:rPr>
          <w:rFonts w:cs="Calibri"/>
        </w:rPr>
        <w:t xml:space="preserve">Exam results used </w:t>
      </w:r>
      <w:r w:rsidR="00AA1235" w:rsidRPr="00AF0956">
        <w:rPr>
          <w:rFonts w:cs="Calibri"/>
        </w:rPr>
        <w:t xml:space="preserve">as </w:t>
      </w:r>
      <w:r w:rsidRPr="00AF0956">
        <w:rPr>
          <w:rFonts w:cs="Calibri"/>
        </w:rPr>
        <w:t>a</w:t>
      </w:r>
      <w:r w:rsidR="00825CFC" w:rsidRPr="00AF0956">
        <w:rPr>
          <w:rFonts w:cs="Calibri"/>
        </w:rPr>
        <w:t xml:space="preserve"> </w:t>
      </w:r>
      <w:r w:rsidRPr="00AF0956">
        <w:rPr>
          <w:rFonts w:cs="Calibri"/>
        </w:rPr>
        <w:t xml:space="preserve">measure of program quality </w:t>
      </w:r>
      <w:r w:rsidR="00D82D8A" w:rsidRPr="00AF0956">
        <w:rPr>
          <w:rFonts w:cs="Calibri"/>
        </w:rPr>
        <w:t>should be based on occupational</w:t>
      </w:r>
      <w:r w:rsidR="00AA1235" w:rsidRPr="00AF0956">
        <w:rPr>
          <w:rFonts w:cs="Calibri"/>
        </w:rPr>
        <w:t>/job</w:t>
      </w:r>
      <w:r w:rsidR="00D82D8A" w:rsidRPr="00AF0956">
        <w:rPr>
          <w:rFonts w:cs="Calibri"/>
        </w:rPr>
        <w:t xml:space="preserve"> analysis </w:t>
      </w:r>
      <w:r w:rsidR="00AA1235" w:rsidRPr="00AF0956">
        <w:rPr>
          <w:rFonts w:cs="Calibri"/>
        </w:rPr>
        <w:t>associated with the profession and t</w:t>
      </w:r>
      <w:r w:rsidR="00D82D8A" w:rsidRPr="00AF0956">
        <w:rPr>
          <w:rFonts w:cs="Calibri"/>
        </w:rPr>
        <w:t xml:space="preserve">he competencies specified in the standards. Where </w:t>
      </w:r>
      <w:r w:rsidR="00825CFC" w:rsidRPr="00AF0956">
        <w:rPr>
          <w:rFonts w:cs="Calibri"/>
        </w:rPr>
        <w:t xml:space="preserve">national </w:t>
      </w:r>
      <w:r w:rsidR="00D82D8A" w:rsidRPr="00AF0956">
        <w:rPr>
          <w:rFonts w:cs="Calibri"/>
        </w:rPr>
        <w:t xml:space="preserve">credentialing examinations are not </w:t>
      </w:r>
      <w:r w:rsidR="00002C94" w:rsidRPr="00AF0956">
        <w:rPr>
          <w:rFonts w:cs="Calibri"/>
        </w:rPr>
        <w:t>available</w:t>
      </w:r>
      <w:r w:rsidR="00D82D8A" w:rsidRPr="00AF0956">
        <w:rPr>
          <w:rFonts w:cs="Calibri"/>
        </w:rPr>
        <w:t xml:space="preserve"> or not fully aligned with program competencies, CAAHEP </w:t>
      </w:r>
      <w:r w:rsidR="00D15DE6" w:rsidRPr="00AF0956">
        <w:rPr>
          <w:rFonts w:cs="Calibri"/>
        </w:rPr>
        <w:t>will</w:t>
      </w:r>
      <w:r w:rsidR="00D82D8A" w:rsidRPr="00AF0956">
        <w:rPr>
          <w:rFonts w:cs="Calibri"/>
        </w:rPr>
        <w:t xml:space="preserve"> </w:t>
      </w:r>
      <w:r w:rsidR="00F64303" w:rsidRPr="00AF0956">
        <w:rPr>
          <w:rFonts w:cs="Calibri"/>
        </w:rPr>
        <w:t>establish</w:t>
      </w:r>
      <w:r w:rsidR="00755432" w:rsidRPr="00AF0956">
        <w:rPr>
          <w:rFonts w:cs="Calibri"/>
        </w:rPr>
        <w:t xml:space="preserve"> policies or </w:t>
      </w:r>
      <w:r w:rsidR="00681A3A" w:rsidRPr="00AF0956">
        <w:rPr>
          <w:rFonts w:cs="Calibri"/>
        </w:rPr>
        <w:t xml:space="preserve">allow </w:t>
      </w:r>
      <w:r w:rsidR="00D15DE6" w:rsidRPr="00AF0956">
        <w:rPr>
          <w:rFonts w:cs="Calibri"/>
        </w:rPr>
        <w:t>variations when each Committee on Accreditation adapts the Standards template</w:t>
      </w:r>
      <w:r w:rsidR="00755432" w:rsidRPr="00AF0956">
        <w:rPr>
          <w:rFonts w:cs="Calibri"/>
        </w:rPr>
        <w:t>.</w:t>
      </w:r>
    </w:p>
    <w:p w14:paraId="78D52D51" w14:textId="77777777" w:rsidR="009E69E5" w:rsidRPr="00AF0956" w:rsidRDefault="009E69E5" w:rsidP="002F430C">
      <w:pPr>
        <w:pStyle w:val="Heading3"/>
        <w:rPr>
          <w:rFonts w:cs="Calibri"/>
          <w:b/>
          <w:bCs/>
        </w:rPr>
      </w:pPr>
      <w:proofErr w:type="gramStart"/>
      <w:r w:rsidRPr="00AF0956">
        <w:rPr>
          <w:rFonts w:cs="Calibri"/>
          <w:b/>
          <w:bCs/>
        </w:rPr>
        <w:t>Program</w:t>
      </w:r>
      <w:proofErr w:type="gramEnd"/>
      <w:r w:rsidRPr="00AF0956">
        <w:rPr>
          <w:rFonts w:cs="Calibri"/>
          <w:b/>
          <w:bCs/>
        </w:rPr>
        <w:t xml:space="preserve"> Completion Rates</w:t>
      </w:r>
    </w:p>
    <w:p w14:paraId="6E738E56" w14:textId="118D9C6C" w:rsidR="00344B03" w:rsidRPr="00AF0956" w:rsidRDefault="00344B03" w:rsidP="00344B03">
      <w:pPr>
        <w:rPr>
          <w:rFonts w:cs="Calibri"/>
        </w:rPr>
      </w:pPr>
      <w:r w:rsidRPr="00AF0956">
        <w:rPr>
          <w:rFonts w:cs="Calibri"/>
        </w:rPr>
        <w:t xml:space="preserve">This measure reflects the effectiveness of the educational process from admission </w:t>
      </w:r>
      <w:r w:rsidR="003D16A6" w:rsidRPr="00AF0956">
        <w:rPr>
          <w:rFonts w:cs="Calibri"/>
        </w:rPr>
        <w:t xml:space="preserve">into the professional phase of the educational program </w:t>
      </w:r>
      <w:r w:rsidRPr="00AF0956">
        <w:rPr>
          <w:rFonts w:cs="Calibri"/>
        </w:rPr>
        <w:t xml:space="preserve">through graduation. </w:t>
      </w:r>
      <w:r w:rsidR="00D15DE6" w:rsidRPr="00AF0956">
        <w:rPr>
          <w:rFonts w:cs="Calibri"/>
        </w:rPr>
        <w:t>CAAHEP will establish standardized definitions that account for program structure and student progression patterns to enable</w:t>
      </w:r>
      <w:r w:rsidR="00944CB7" w:rsidRPr="00AF0956">
        <w:rPr>
          <w:rFonts w:cs="Calibri"/>
        </w:rPr>
        <w:t xml:space="preserve"> accurate assessment and meaningful </w:t>
      </w:r>
      <w:r w:rsidRPr="00AF0956">
        <w:rPr>
          <w:rFonts w:cs="Calibri"/>
        </w:rPr>
        <w:t>comparison.</w:t>
      </w:r>
    </w:p>
    <w:p w14:paraId="680D9091" w14:textId="77777777" w:rsidR="00C205F5" w:rsidRPr="00AF0956" w:rsidRDefault="00344B03" w:rsidP="00C205F5">
      <w:pPr>
        <w:rPr>
          <w:rFonts w:cs="Calibri"/>
        </w:rPr>
      </w:pPr>
      <w:r w:rsidRPr="00AF0956">
        <w:rPr>
          <w:rFonts w:cs="Calibri"/>
        </w:rPr>
        <w:t xml:space="preserve">Completion rates </w:t>
      </w:r>
      <w:r w:rsidR="002F430C" w:rsidRPr="00AF0956">
        <w:rPr>
          <w:rFonts w:cs="Calibri"/>
        </w:rPr>
        <w:t xml:space="preserve">and their patterns over time, when properly interpreted, can help programs identify specific quality improvement opportunities in areas such as </w:t>
      </w:r>
      <w:r w:rsidR="00BA53FD" w:rsidRPr="00AF0956">
        <w:rPr>
          <w:rFonts w:cs="Calibri"/>
        </w:rPr>
        <w:t>instruction</w:t>
      </w:r>
      <w:r w:rsidR="002F430C" w:rsidRPr="00AF0956">
        <w:rPr>
          <w:rFonts w:cs="Calibri"/>
        </w:rPr>
        <w:t>, curriculum sequencing, and student support services (Roberts, 2018</w:t>
      </w:r>
      <w:r w:rsidR="00743497" w:rsidRPr="00AF0956">
        <w:rPr>
          <w:rFonts w:cs="Calibri"/>
        </w:rPr>
        <w:t xml:space="preserve">). </w:t>
      </w:r>
      <w:r w:rsidR="002F430C" w:rsidRPr="00AF0956">
        <w:rPr>
          <w:rFonts w:cs="Calibri"/>
        </w:rPr>
        <w:t xml:space="preserve"> York et al.</w:t>
      </w:r>
      <w:r w:rsidR="00BA53FD" w:rsidRPr="00AF0956">
        <w:rPr>
          <w:rFonts w:cs="Calibri"/>
        </w:rPr>
        <w:t xml:space="preserve"> (</w:t>
      </w:r>
      <w:r w:rsidR="002F430C" w:rsidRPr="00AF0956">
        <w:rPr>
          <w:rFonts w:cs="Calibri"/>
        </w:rPr>
        <w:t>2015)</w:t>
      </w:r>
      <w:r w:rsidR="00BA53FD" w:rsidRPr="00AF0956">
        <w:rPr>
          <w:rFonts w:cs="Calibri"/>
        </w:rPr>
        <w:t xml:space="preserve"> emphasize that </w:t>
      </w:r>
      <w:r w:rsidR="006B74EE" w:rsidRPr="00AF0956">
        <w:rPr>
          <w:rFonts w:cs="Calibri"/>
        </w:rPr>
        <w:t xml:space="preserve">graduation is </w:t>
      </w:r>
      <w:r w:rsidR="0015181A" w:rsidRPr="00AF0956">
        <w:rPr>
          <w:rFonts w:cs="Calibri"/>
        </w:rPr>
        <w:t>not only the primary goal of students but</w:t>
      </w:r>
      <w:r w:rsidR="00D84D10" w:rsidRPr="00AF0956">
        <w:rPr>
          <w:rFonts w:cs="Calibri"/>
        </w:rPr>
        <w:t xml:space="preserve"> a key factor in academic success</w:t>
      </w:r>
      <w:r w:rsidR="0076391D" w:rsidRPr="00AF0956">
        <w:rPr>
          <w:rFonts w:cs="Calibri"/>
        </w:rPr>
        <w:t xml:space="preserve">. </w:t>
      </w:r>
      <w:r w:rsidRPr="00AF0956">
        <w:rPr>
          <w:rFonts w:cs="Calibri"/>
        </w:rPr>
        <w:t>Programs that effectively use completion data can implement targeted interventions to improve student success (Kinzie &amp; Kuh, 2017).</w:t>
      </w:r>
      <w:r w:rsidR="002F430C" w:rsidRPr="00AF0956">
        <w:rPr>
          <w:rFonts w:cs="Calibri"/>
        </w:rPr>
        <w:t xml:space="preserve"> </w:t>
      </w:r>
    </w:p>
    <w:p w14:paraId="6C4C49B6" w14:textId="0E34D541" w:rsidR="004726CB" w:rsidRPr="00B92151" w:rsidRDefault="004726CB" w:rsidP="00B92151">
      <w:pPr>
        <w:rPr>
          <w:rFonts w:cs="Calibri"/>
          <w:b/>
          <w:bCs/>
        </w:rPr>
      </w:pPr>
      <w:r w:rsidRPr="00AF0956">
        <w:rPr>
          <w:rFonts w:cs="Calibri"/>
          <w:b/>
          <w:bCs/>
        </w:rPr>
        <w:t>Positive Placement Rates</w:t>
      </w:r>
      <w:r w:rsidR="00B92151">
        <w:rPr>
          <w:rFonts w:cs="Calibri"/>
          <w:b/>
          <w:bCs/>
        </w:rPr>
        <w:br/>
      </w:r>
      <w:r w:rsidRPr="00AF0956">
        <w:rPr>
          <w:rFonts w:cs="Calibri"/>
        </w:rPr>
        <w:t xml:space="preserve">Positive placement rates </w:t>
      </w:r>
      <w:r w:rsidR="00E55359" w:rsidRPr="00AF0956">
        <w:rPr>
          <w:rFonts w:cs="Calibri"/>
        </w:rPr>
        <w:t xml:space="preserve">are used as </w:t>
      </w:r>
      <w:r w:rsidR="009D2F19">
        <w:rPr>
          <w:rFonts w:cs="Calibri"/>
        </w:rPr>
        <w:t>indicators of employability and competency (</w:t>
      </w:r>
      <w:proofErr w:type="spellStart"/>
      <w:r w:rsidR="009D2F19">
        <w:rPr>
          <w:rFonts w:cs="Calibri"/>
        </w:rPr>
        <w:t>Bridgstock</w:t>
      </w:r>
      <w:proofErr w:type="spellEnd"/>
      <w:r w:rsidR="009D2F19">
        <w:rPr>
          <w:rFonts w:cs="Calibri"/>
        </w:rPr>
        <w:t xml:space="preserve"> &amp; Jackson, 2019), signifying </w:t>
      </w:r>
      <w:r w:rsidRPr="00AF0956">
        <w:rPr>
          <w:rFonts w:cs="Calibri"/>
        </w:rPr>
        <w:t xml:space="preserve">market relevance, stakeholder confidence in graduate preparation, and alignment with </w:t>
      </w:r>
      <w:r w:rsidR="00A16B74" w:rsidRPr="00AF0956">
        <w:rPr>
          <w:rFonts w:cs="Calibri"/>
        </w:rPr>
        <w:t>the needs of the workforce and society</w:t>
      </w:r>
      <w:r w:rsidRPr="00AF0956">
        <w:rPr>
          <w:rFonts w:cs="Calibri"/>
        </w:rPr>
        <w:t xml:space="preserve">. Consistent positive placement success validates graduate preparation effectiveness, while placement trends can inform continuous improvement efforts. </w:t>
      </w:r>
    </w:p>
    <w:p w14:paraId="45B4C447" w14:textId="77777777" w:rsidR="004726CB" w:rsidRPr="00AF0956" w:rsidRDefault="004726CB" w:rsidP="004726CB">
      <w:pPr>
        <w:pStyle w:val="Heading3"/>
        <w:rPr>
          <w:rFonts w:cs="Calibri"/>
        </w:rPr>
      </w:pPr>
      <w:r w:rsidRPr="00AF0956">
        <w:rPr>
          <w:rFonts w:cs="Calibri"/>
        </w:rPr>
        <w:lastRenderedPageBreak/>
        <w:t>Positive placement encompasses multiple successful graduate outcomes, including:</w:t>
      </w:r>
    </w:p>
    <w:p w14:paraId="42DAA6B1" w14:textId="5F5C5C9C" w:rsidR="004726CB" w:rsidRPr="00AF0956" w:rsidRDefault="004726CB" w:rsidP="004726CB">
      <w:pPr>
        <w:pStyle w:val="Heading3"/>
        <w:numPr>
          <w:ilvl w:val="0"/>
          <w:numId w:val="43"/>
        </w:numPr>
        <w:rPr>
          <w:rFonts w:cs="Calibri"/>
        </w:rPr>
      </w:pPr>
      <w:r w:rsidRPr="00AF0956">
        <w:rPr>
          <w:rFonts w:cs="Calibri"/>
        </w:rPr>
        <w:t>Employment in the field or related professional areas</w:t>
      </w:r>
    </w:p>
    <w:p w14:paraId="5939B867" w14:textId="77777777" w:rsidR="004726CB" w:rsidRPr="00AF0956" w:rsidRDefault="004726CB" w:rsidP="004726CB">
      <w:pPr>
        <w:pStyle w:val="Heading3"/>
        <w:numPr>
          <w:ilvl w:val="0"/>
          <w:numId w:val="43"/>
        </w:numPr>
        <w:rPr>
          <w:rFonts w:cs="Calibri"/>
        </w:rPr>
      </w:pPr>
      <w:r w:rsidRPr="00AF0956">
        <w:rPr>
          <w:rFonts w:cs="Calibri"/>
        </w:rPr>
        <w:t>Enrollment in additional education or advanced training programs</w:t>
      </w:r>
    </w:p>
    <w:p w14:paraId="16643B09" w14:textId="77777777" w:rsidR="004726CB" w:rsidRPr="00AF0956" w:rsidRDefault="004726CB" w:rsidP="004726CB">
      <w:pPr>
        <w:pStyle w:val="Heading3"/>
        <w:numPr>
          <w:ilvl w:val="0"/>
          <w:numId w:val="43"/>
        </w:numPr>
        <w:rPr>
          <w:rFonts w:cs="Calibri"/>
        </w:rPr>
      </w:pPr>
      <w:r w:rsidRPr="00AF0956">
        <w:rPr>
          <w:rFonts w:cs="Calibri"/>
        </w:rPr>
        <w:t>Military service</w:t>
      </w:r>
    </w:p>
    <w:p w14:paraId="1E39862A" w14:textId="4245AEDB" w:rsidR="004726CB" w:rsidRPr="00AF0956" w:rsidRDefault="004726CB" w:rsidP="004726CB">
      <w:pPr>
        <w:pStyle w:val="Heading3"/>
        <w:rPr>
          <w:rFonts w:cs="Calibri"/>
        </w:rPr>
      </w:pPr>
      <w:r w:rsidRPr="00AF0956">
        <w:rPr>
          <w:rFonts w:cs="Calibri"/>
        </w:rPr>
        <w:t xml:space="preserve">This broader definition acknowledges diverse pathways to career success and recognizes that graduates may contribute to society and their profession through various avenues beyond traditional employment. Programs can </w:t>
      </w:r>
      <w:r w:rsidR="00154F10" w:rsidRPr="00AF0956">
        <w:rPr>
          <w:rFonts w:cs="Calibri"/>
        </w:rPr>
        <w:t xml:space="preserve">utilize positive placement data to assess their effectiveness in preparing graduates for multiple career pathways while maintaining a </w:t>
      </w:r>
      <w:r w:rsidRPr="00AF0956">
        <w:rPr>
          <w:rFonts w:cs="Calibri"/>
        </w:rPr>
        <w:t>focus on professional preparation.</w:t>
      </w:r>
    </w:p>
    <w:p w14:paraId="3BC6A6B1" w14:textId="77777777" w:rsidR="009E69E5" w:rsidRPr="00AF0956" w:rsidRDefault="009E69E5" w:rsidP="002F430C">
      <w:pPr>
        <w:pStyle w:val="Heading3"/>
        <w:rPr>
          <w:rFonts w:cs="Calibri"/>
          <w:b/>
          <w:bCs/>
        </w:rPr>
      </w:pPr>
      <w:r w:rsidRPr="00AF0956">
        <w:rPr>
          <w:rFonts w:cs="Calibri"/>
          <w:b/>
          <w:bCs/>
        </w:rPr>
        <w:t>Professional Competency Assessment</w:t>
      </w:r>
    </w:p>
    <w:p w14:paraId="498C28EE" w14:textId="269EB659" w:rsidR="007F795E" w:rsidRPr="00AF0956" w:rsidRDefault="007F795E" w:rsidP="007F795E">
      <w:pPr>
        <w:rPr>
          <w:rFonts w:cs="Calibri"/>
        </w:rPr>
      </w:pPr>
      <w:r w:rsidRPr="00AF0956">
        <w:rPr>
          <w:rFonts w:cs="Calibri"/>
        </w:rPr>
        <w:t>Direct assessment of graduate competence using validated methods provides the most authentic measure of educational quality</w:t>
      </w:r>
      <w:r w:rsidR="00E270F3" w:rsidRPr="00AF0956">
        <w:rPr>
          <w:rFonts w:cs="Calibri"/>
        </w:rPr>
        <w:t xml:space="preserve"> for allied health educational programs</w:t>
      </w:r>
      <w:r w:rsidRPr="00AF0956">
        <w:rPr>
          <w:rFonts w:cs="Calibri"/>
        </w:rPr>
        <w:t xml:space="preserve">. The Task Force identified the critical importance of incorporating evidence-based assessments of professional competency as a core component of program evaluation. These assessments provide </w:t>
      </w:r>
      <w:r w:rsidR="00944CB7" w:rsidRPr="00AF0956">
        <w:rPr>
          <w:rFonts w:cs="Calibri"/>
        </w:rPr>
        <w:t xml:space="preserve">a </w:t>
      </w:r>
      <w:r w:rsidRPr="00AF0956">
        <w:rPr>
          <w:rFonts w:cs="Calibri"/>
        </w:rPr>
        <w:t xml:space="preserve">direct evaluation of whether graduates possess the knowledge, skills, and </w:t>
      </w:r>
      <w:r w:rsidR="00E761A8" w:rsidRPr="00AF0956">
        <w:rPr>
          <w:rFonts w:cs="Calibri"/>
        </w:rPr>
        <w:t>abilities</w:t>
      </w:r>
      <w:r w:rsidRPr="00AF0956">
        <w:rPr>
          <w:rFonts w:cs="Calibri"/>
        </w:rPr>
        <w:t xml:space="preserve"> necessary for safe and effective practice across the cognitive, psychomotor, and affective domains.</w:t>
      </w:r>
    </w:p>
    <w:p w14:paraId="260B4891" w14:textId="5F9DB2AC" w:rsidR="00BA59E7" w:rsidRPr="00AF0956" w:rsidRDefault="00240159" w:rsidP="00247B5E">
      <w:pPr>
        <w:rPr>
          <w:rFonts w:cs="Calibri"/>
          <w:b/>
          <w:bCs/>
        </w:rPr>
      </w:pPr>
      <w:r w:rsidRPr="00AF0956">
        <w:rPr>
          <w:rFonts w:cs="Calibri"/>
        </w:rPr>
        <w:t xml:space="preserve">Competency </w:t>
      </w:r>
      <w:r w:rsidR="001E137A" w:rsidRPr="00AF0956">
        <w:rPr>
          <w:rFonts w:cs="Calibri"/>
        </w:rPr>
        <w:t xml:space="preserve">assessment approaches bridge the gap between classroom learning and clinical practice, providing programs with actionable data on graduate readiness for professional practice. </w:t>
      </w:r>
    </w:p>
    <w:p w14:paraId="09ECC8C4" w14:textId="002BA951" w:rsidR="00687180" w:rsidRPr="009D2F19" w:rsidRDefault="00687180" w:rsidP="00B605A2">
      <w:pPr>
        <w:pStyle w:val="Heading1"/>
        <w:rPr>
          <w:b/>
          <w:bCs/>
        </w:rPr>
      </w:pPr>
      <w:r w:rsidRPr="009D2F19">
        <w:rPr>
          <w:b/>
          <w:bCs/>
        </w:rPr>
        <w:t>Relationships Between Outcome Measures and Quality Dimensions</w:t>
      </w:r>
    </w:p>
    <w:p w14:paraId="49AB78E9" w14:textId="0F465B91" w:rsidR="003701FC" w:rsidRPr="00AF0956" w:rsidRDefault="007F795E">
      <w:pPr>
        <w:rPr>
          <w:rFonts w:cs="Calibri"/>
          <w:i/>
          <w:iCs/>
        </w:rPr>
      </w:pPr>
      <w:r w:rsidRPr="00AF0956">
        <w:rPr>
          <w:rFonts w:cs="Calibri"/>
        </w:rPr>
        <w:t xml:space="preserve">Figure 2 </w:t>
      </w:r>
      <w:r w:rsidR="004414B9" w:rsidRPr="00AF0956">
        <w:rPr>
          <w:rFonts w:cs="Calibri"/>
        </w:rPr>
        <w:t xml:space="preserve">illustrates </w:t>
      </w:r>
      <w:r w:rsidR="0011279A" w:rsidRPr="00AF0956">
        <w:rPr>
          <w:rFonts w:cs="Calibri"/>
        </w:rPr>
        <w:t>the relationship between the four dimensions of program educational quality and core outcome measures</w:t>
      </w:r>
      <w:r w:rsidR="002D08DD" w:rsidRPr="00AF0956">
        <w:rPr>
          <w:rFonts w:cs="Calibri"/>
        </w:rPr>
        <w:t xml:space="preserve"> from the Quality Framework</w:t>
      </w:r>
      <w:r w:rsidR="0011279A" w:rsidRPr="00AF0956">
        <w:rPr>
          <w:rFonts w:cs="Calibri"/>
        </w:rPr>
        <w:t xml:space="preserve">. </w:t>
      </w:r>
      <w:r w:rsidRPr="00AF0956">
        <w:rPr>
          <w:rFonts w:cs="Calibri"/>
        </w:rPr>
        <w:t xml:space="preserve">These relationships are not merely theoretical but are grounded in research evidence. For example, studies </w:t>
      </w:r>
      <w:r w:rsidR="008C6729" w:rsidRPr="00AF0956">
        <w:rPr>
          <w:rFonts w:cs="Calibri"/>
        </w:rPr>
        <w:t xml:space="preserve">suggest a </w:t>
      </w:r>
      <w:r w:rsidRPr="00AF0956">
        <w:rPr>
          <w:rFonts w:cs="Calibri"/>
        </w:rPr>
        <w:t>correlation</w:t>
      </w:r>
      <w:r w:rsidR="008C6729" w:rsidRPr="00AF0956">
        <w:rPr>
          <w:rFonts w:cs="Calibri"/>
        </w:rPr>
        <w:t xml:space="preserve"> </w:t>
      </w:r>
      <w:r w:rsidRPr="00AF0956">
        <w:rPr>
          <w:rFonts w:cs="Calibri"/>
        </w:rPr>
        <w:t>between credentialing examination performance and graduate readiness for practice (</w:t>
      </w:r>
      <w:r w:rsidR="008C6729" w:rsidRPr="00AF0956">
        <w:rPr>
          <w:rFonts w:cs="Calibri"/>
        </w:rPr>
        <w:t>Cuddy et al.</w:t>
      </w:r>
      <w:r w:rsidR="0041340A" w:rsidRPr="00AF0956">
        <w:rPr>
          <w:rFonts w:cs="Calibri"/>
        </w:rPr>
        <w:t>,</w:t>
      </w:r>
      <w:r w:rsidR="008C6729" w:rsidRPr="00AF0956">
        <w:rPr>
          <w:rFonts w:cs="Calibri"/>
        </w:rPr>
        <w:t xml:space="preserve"> 2017</w:t>
      </w:r>
      <w:r w:rsidRPr="00AF0956">
        <w:rPr>
          <w:rFonts w:cs="Calibri"/>
        </w:rPr>
        <w:t>)</w:t>
      </w:r>
      <w:r w:rsidR="007D271D" w:rsidRPr="00AF0956">
        <w:rPr>
          <w:rFonts w:cs="Calibri"/>
        </w:rPr>
        <w:t xml:space="preserve">. </w:t>
      </w:r>
    </w:p>
    <w:p w14:paraId="498D44C8" w14:textId="77777777" w:rsidR="009E53B1" w:rsidRPr="00AF0956" w:rsidRDefault="009E53B1">
      <w:pPr>
        <w:rPr>
          <w:rFonts w:cs="Calibri"/>
          <w:i/>
          <w:iCs/>
        </w:rPr>
      </w:pPr>
      <w:r w:rsidRPr="00AF0956">
        <w:rPr>
          <w:rFonts w:cs="Calibri"/>
          <w:i/>
          <w:iCs/>
        </w:rPr>
        <w:br w:type="page"/>
      </w:r>
    </w:p>
    <w:p w14:paraId="786805D6" w14:textId="62964D8A" w:rsidR="00330CAD" w:rsidRPr="00AF0956" w:rsidRDefault="009D1021" w:rsidP="00330CAD">
      <w:pPr>
        <w:rPr>
          <w:rFonts w:cs="Calibri"/>
          <w:i/>
          <w:iCs/>
        </w:rPr>
      </w:pPr>
      <w:r w:rsidRPr="00AF0956">
        <w:rPr>
          <w:rFonts w:cs="Calibri"/>
          <w:i/>
          <w:iCs/>
        </w:rPr>
        <w:lastRenderedPageBreak/>
        <w:t>Figure 2. Relationships between outcome measures and quality dimensions</w:t>
      </w:r>
      <w:r w:rsidR="00D20B5C" w:rsidRPr="00AF0956">
        <w:rPr>
          <w:rFonts w:cs="Calibri"/>
          <w:i/>
          <w:iCs/>
        </w:rPr>
        <w:t>.</w:t>
      </w:r>
    </w:p>
    <w:tbl>
      <w:tblPr>
        <w:tblStyle w:val="TableGrid"/>
        <w:tblW w:w="9649" w:type="dxa"/>
        <w:tblBorders>
          <w:top w:val="single" w:sz="4" w:space="0" w:color="156082"/>
          <w:left w:val="single" w:sz="4" w:space="0" w:color="156082"/>
          <w:bottom w:val="single" w:sz="4" w:space="0" w:color="156082"/>
          <w:right w:val="single" w:sz="4" w:space="0" w:color="156082"/>
          <w:insideH w:val="single" w:sz="4" w:space="0" w:color="156082"/>
          <w:insideV w:val="single" w:sz="4" w:space="0" w:color="156082"/>
        </w:tblBorders>
        <w:tblLook w:val="04A0" w:firstRow="1" w:lastRow="0" w:firstColumn="1" w:lastColumn="0" w:noHBand="0" w:noVBand="1"/>
      </w:tblPr>
      <w:tblGrid>
        <w:gridCol w:w="1632"/>
        <w:gridCol w:w="1687"/>
        <w:gridCol w:w="1546"/>
        <w:gridCol w:w="1635"/>
        <w:gridCol w:w="1443"/>
        <w:gridCol w:w="1706"/>
      </w:tblGrid>
      <w:tr w:rsidR="00A00C2D" w:rsidRPr="00AF0956" w14:paraId="7D9F51C9" w14:textId="77777777" w:rsidTr="00217917">
        <w:trPr>
          <w:trHeight w:val="763"/>
        </w:trPr>
        <w:tc>
          <w:tcPr>
            <w:tcW w:w="3319" w:type="dxa"/>
            <w:gridSpan w:val="2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14:paraId="212E9A06" w14:textId="77777777" w:rsidR="00A00C2D" w:rsidRPr="00AF0956" w:rsidRDefault="00A00C2D" w:rsidP="00A00C2D">
            <w:pPr>
              <w:jc w:val="center"/>
              <w:rPr>
                <w:rFonts w:ascii="Arial" w:hAnsi="Arial" w:cs="Arial"/>
                <w:b/>
                <w:bCs/>
                <w:color w:val="156082"/>
                <w:sz w:val="20"/>
                <w:szCs w:val="20"/>
              </w:rPr>
            </w:pPr>
          </w:p>
        </w:tc>
        <w:tc>
          <w:tcPr>
            <w:tcW w:w="6330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8E8E8" w:themeFill="background2"/>
            <w:vAlign w:val="center"/>
          </w:tcPr>
          <w:p w14:paraId="0881FBA3" w14:textId="53312EB3" w:rsidR="00A00C2D" w:rsidRPr="00AF0956" w:rsidRDefault="00A00C2D" w:rsidP="00416869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AF0956">
              <w:rPr>
                <w:rFonts w:ascii="Arial" w:hAnsi="Arial" w:cs="Arial"/>
                <w:b/>
                <w:bCs/>
                <w:color w:val="156082"/>
                <w:sz w:val="20"/>
                <w:szCs w:val="20"/>
              </w:rPr>
              <w:t>Dimensions of Program Educational Quality</w:t>
            </w:r>
          </w:p>
        </w:tc>
      </w:tr>
      <w:tr w:rsidR="00D0535C" w:rsidRPr="00AF0956" w14:paraId="15B03052" w14:textId="77777777" w:rsidTr="00217917">
        <w:trPr>
          <w:trHeight w:val="763"/>
        </w:trPr>
        <w:tc>
          <w:tcPr>
            <w:tcW w:w="3319" w:type="dxa"/>
            <w:gridSpan w:val="2"/>
            <w:tcBorders>
              <w:top w:val="nil"/>
              <w:left w:val="single" w:sz="12" w:space="0" w:color="auto"/>
              <w:bottom w:val="single" w:sz="12" w:space="0" w:color="auto"/>
            </w:tcBorders>
            <w:vAlign w:val="center"/>
          </w:tcPr>
          <w:p w14:paraId="49B4D635" w14:textId="20D964AB" w:rsidR="00D0535C" w:rsidRPr="00AF0956" w:rsidRDefault="00D0535C" w:rsidP="00A00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46" w:type="dxa"/>
            <w:tcBorders>
              <w:top w:val="single" w:sz="12" w:space="0" w:color="auto"/>
              <w:bottom w:val="single" w:sz="12" w:space="0" w:color="auto"/>
            </w:tcBorders>
            <w:shd w:val="clear" w:color="auto" w:fill="E97132"/>
            <w:vAlign w:val="center"/>
          </w:tcPr>
          <w:p w14:paraId="398A85A6" w14:textId="77777777" w:rsidR="00D0535C" w:rsidRPr="00AF0956" w:rsidRDefault="00D0535C" w:rsidP="00416869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AF095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Graduate Preparation</w:t>
            </w:r>
          </w:p>
        </w:tc>
        <w:tc>
          <w:tcPr>
            <w:tcW w:w="1635" w:type="dxa"/>
            <w:tcBorders>
              <w:top w:val="single" w:sz="12" w:space="0" w:color="auto"/>
              <w:bottom w:val="single" w:sz="12" w:space="0" w:color="auto"/>
            </w:tcBorders>
            <w:shd w:val="clear" w:color="auto" w:fill="196B24"/>
            <w:vAlign w:val="center"/>
          </w:tcPr>
          <w:p w14:paraId="1235F558" w14:textId="77777777" w:rsidR="00D0535C" w:rsidRPr="00AF0956" w:rsidRDefault="00D0535C" w:rsidP="00416869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AF095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Educational Process Effectiveness</w:t>
            </w:r>
          </w:p>
        </w:tc>
        <w:tc>
          <w:tcPr>
            <w:tcW w:w="1443" w:type="dxa"/>
            <w:tcBorders>
              <w:bottom w:val="single" w:sz="12" w:space="0" w:color="auto"/>
            </w:tcBorders>
            <w:shd w:val="clear" w:color="auto" w:fill="0F9ED5"/>
            <w:vAlign w:val="center"/>
          </w:tcPr>
          <w:p w14:paraId="3B11E1BF" w14:textId="77777777" w:rsidR="00D0535C" w:rsidRPr="00AF0956" w:rsidRDefault="00D0535C" w:rsidP="00416869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proofErr w:type="gramStart"/>
            <w:r w:rsidRPr="00AF095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Profession</w:t>
            </w:r>
            <w:proofErr w:type="gramEnd"/>
            <w:r w:rsidRPr="00AF095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 &amp; Workforce Alignment</w:t>
            </w:r>
          </w:p>
        </w:tc>
        <w:tc>
          <w:tcPr>
            <w:tcW w:w="1704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A02B93"/>
            <w:vAlign w:val="center"/>
          </w:tcPr>
          <w:p w14:paraId="380E3FBE" w14:textId="77777777" w:rsidR="00D0535C" w:rsidRPr="00AF0956" w:rsidRDefault="00D0535C" w:rsidP="00416869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AF095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Continuous Improvement</w:t>
            </w:r>
          </w:p>
        </w:tc>
      </w:tr>
      <w:tr w:rsidR="007D271D" w:rsidRPr="00AF0956" w14:paraId="72DF7E25" w14:textId="77777777" w:rsidTr="00217917">
        <w:trPr>
          <w:trHeight w:val="1027"/>
        </w:trPr>
        <w:tc>
          <w:tcPr>
            <w:tcW w:w="1632" w:type="dxa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E8E8E8" w:themeFill="background2"/>
            <w:vAlign w:val="center"/>
          </w:tcPr>
          <w:p w14:paraId="5EB1A710" w14:textId="72BFD2AF" w:rsidR="007D271D" w:rsidRPr="00AF0956" w:rsidRDefault="007D271D" w:rsidP="007D271D">
            <w:pPr>
              <w:jc w:val="center"/>
              <w:rPr>
                <w:rFonts w:ascii="Arial" w:hAnsi="Arial" w:cs="Arial"/>
                <w:b/>
                <w:bCs/>
                <w:color w:val="156082"/>
                <w:sz w:val="20"/>
                <w:szCs w:val="20"/>
              </w:rPr>
            </w:pPr>
            <w:r w:rsidRPr="00AF0956">
              <w:rPr>
                <w:rFonts w:ascii="Arial" w:hAnsi="Arial" w:cs="Arial"/>
                <w:b/>
                <w:bCs/>
                <w:color w:val="156082"/>
                <w:sz w:val="20"/>
                <w:szCs w:val="20"/>
              </w:rPr>
              <w:t xml:space="preserve">Core </w:t>
            </w:r>
            <w:r w:rsidR="00176B68">
              <w:rPr>
                <w:rFonts w:ascii="Arial" w:hAnsi="Arial" w:cs="Arial"/>
                <w:b/>
                <w:bCs/>
                <w:color w:val="156082"/>
                <w:sz w:val="20"/>
                <w:szCs w:val="20"/>
              </w:rPr>
              <w:t xml:space="preserve">Program </w:t>
            </w:r>
            <w:r w:rsidRPr="00AF0956">
              <w:rPr>
                <w:rFonts w:ascii="Arial" w:hAnsi="Arial" w:cs="Arial"/>
                <w:b/>
                <w:bCs/>
                <w:color w:val="156082"/>
                <w:sz w:val="20"/>
                <w:szCs w:val="20"/>
              </w:rPr>
              <w:t>Outcome Measures</w:t>
            </w:r>
          </w:p>
        </w:tc>
        <w:tc>
          <w:tcPr>
            <w:tcW w:w="1686" w:type="dxa"/>
            <w:tcBorders>
              <w:top w:val="single" w:sz="12" w:space="0" w:color="auto"/>
              <w:right w:val="single" w:sz="4" w:space="0" w:color="auto"/>
            </w:tcBorders>
            <w:vAlign w:val="center"/>
          </w:tcPr>
          <w:p w14:paraId="327DF1D2" w14:textId="55D4C5B5" w:rsidR="007D271D" w:rsidRPr="00AF0956" w:rsidRDefault="007D271D" w:rsidP="00416869">
            <w:pPr>
              <w:jc w:val="center"/>
              <w:rPr>
                <w:rFonts w:ascii="Arial" w:hAnsi="Arial" w:cs="Arial"/>
                <w:b/>
                <w:bCs/>
                <w:color w:val="156082"/>
                <w:sz w:val="20"/>
                <w:szCs w:val="20"/>
              </w:rPr>
            </w:pPr>
            <w:r w:rsidRPr="00AF0956">
              <w:rPr>
                <w:rFonts w:ascii="Arial" w:hAnsi="Arial" w:cs="Arial"/>
                <w:b/>
                <w:bCs/>
                <w:color w:val="156082"/>
                <w:sz w:val="20"/>
                <w:szCs w:val="20"/>
              </w:rPr>
              <w:t>National Credentialing Exam Performance</w:t>
            </w:r>
          </w:p>
        </w:tc>
        <w:tc>
          <w:tcPr>
            <w:tcW w:w="1546" w:type="dxa"/>
            <w:tcBorders>
              <w:top w:val="single" w:sz="12" w:space="0" w:color="auto"/>
              <w:left w:val="single" w:sz="4" w:space="0" w:color="auto"/>
            </w:tcBorders>
            <w:shd w:val="clear" w:color="auto" w:fill="E97132"/>
            <w:vAlign w:val="center"/>
          </w:tcPr>
          <w:p w14:paraId="24B2C787" w14:textId="77777777" w:rsidR="007D271D" w:rsidRPr="00AF0956" w:rsidRDefault="007D271D" w:rsidP="004168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F0956">
              <w:rPr>
                <w:rFonts w:ascii="Arial" w:hAnsi="Arial" w:cs="Arial"/>
                <w:color w:val="FFFFFF" w:themeColor="background1"/>
                <w:sz w:val="20"/>
                <w:szCs w:val="20"/>
              </w:rPr>
              <w:t>Strong</w:t>
            </w:r>
          </w:p>
        </w:tc>
        <w:tc>
          <w:tcPr>
            <w:tcW w:w="1635" w:type="dxa"/>
            <w:tcBorders>
              <w:top w:val="single" w:sz="12" w:space="0" w:color="auto"/>
            </w:tcBorders>
            <w:shd w:val="clear" w:color="auto" w:fill="CCD4CC"/>
            <w:vAlign w:val="center"/>
          </w:tcPr>
          <w:p w14:paraId="799D4F65" w14:textId="77777777" w:rsidR="007D271D" w:rsidRPr="00AF0956" w:rsidRDefault="007D271D" w:rsidP="004168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F0956">
              <w:rPr>
                <w:rFonts w:ascii="Arial" w:hAnsi="Arial" w:cs="Arial"/>
                <w:sz w:val="20"/>
                <w:szCs w:val="20"/>
              </w:rPr>
              <w:t>Moderate</w:t>
            </w:r>
          </w:p>
        </w:tc>
        <w:tc>
          <w:tcPr>
            <w:tcW w:w="1443" w:type="dxa"/>
            <w:tcBorders>
              <w:top w:val="single" w:sz="12" w:space="0" w:color="auto"/>
            </w:tcBorders>
            <w:shd w:val="clear" w:color="auto" w:fill="CCDFEF"/>
            <w:vAlign w:val="center"/>
          </w:tcPr>
          <w:p w14:paraId="22FBCF3A" w14:textId="77777777" w:rsidR="007D271D" w:rsidRPr="00AF0956" w:rsidRDefault="007D271D" w:rsidP="004168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F0956">
              <w:rPr>
                <w:rFonts w:ascii="Arial" w:hAnsi="Arial" w:cs="Arial"/>
                <w:sz w:val="20"/>
                <w:szCs w:val="20"/>
              </w:rPr>
              <w:t>Moderate</w:t>
            </w:r>
          </w:p>
        </w:tc>
        <w:tc>
          <w:tcPr>
            <w:tcW w:w="1704" w:type="dxa"/>
            <w:tcBorders>
              <w:top w:val="single" w:sz="12" w:space="0" w:color="auto"/>
              <w:right w:val="single" w:sz="12" w:space="0" w:color="auto"/>
            </w:tcBorders>
            <w:shd w:val="clear" w:color="auto" w:fill="DFCDDC"/>
            <w:vAlign w:val="center"/>
          </w:tcPr>
          <w:p w14:paraId="3149AF86" w14:textId="77777777" w:rsidR="007D271D" w:rsidRPr="00AF0956" w:rsidRDefault="007D271D" w:rsidP="004168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F0956">
              <w:rPr>
                <w:rFonts w:ascii="Arial" w:hAnsi="Arial" w:cs="Arial"/>
                <w:sz w:val="20"/>
                <w:szCs w:val="20"/>
              </w:rPr>
              <w:t>Limited</w:t>
            </w:r>
          </w:p>
        </w:tc>
      </w:tr>
      <w:tr w:rsidR="007D271D" w:rsidRPr="00AF0956" w14:paraId="6567CB15" w14:textId="77777777" w:rsidTr="00217917">
        <w:trPr>
          <w:trHeight w:val="771"/>
        </w:trPr>
        <w:tc>
          <w:tcPr>
            <w:tcW w:w="1632" w:type="dxa"/>
            <w:vMerge/>
            <w:tcBorders>
              <w:left w:val="single" w:sz="12" w:space="0" w:color="auto"/>
            </w:tcBorders>
            <w:shd w:val="clear" w:color="auto" w:fill="E8E8E8" w:themeFill="background2"/>
          </w:tcPr>
          <w:p w14:paraId="13C94D03" w14:textId="77777777" w:rsidR="007D271D" w:rsidRPr="00AF0956" w:rsidRDefault="007D271D" w:rsidP="00416869">
            <w:pPr>
              <w:jc w:val="center"/>
              <w:rPr>
                <w:rFonts w:ascii="Arial" w:hAnsi="Arial" w:cs="Arial"/>
                <w:b/>
                <w:bCs/>
                <w:color w:val="156082"/>
                <w:sz w:val="20"/>
                <w:szCs w:val="20"/>
              </w:rPr>
            </w:pPr>
          </w:p>
        </w:tc>
        <w:tc>
          <w:tcPr>
            <w:tcW w:w="1686" w:type="dxa"/>
            <w:tcBorders>
              <w:right w:val="single" w:sz="4" w:space="0" w:color="auto"/>
            </w:tcBorders>
            <w:vAlign w:val="center"/>
          </w:tcPr>
          <w:p w14:paraId="02F742D0" w14:textId="247ABD9F" w:rsidR="007D271D" w:rsidRPr="00AF0956" w:rsidRDefault="007D271D" w:rsidP="00416869">
            <w:pPr>
              <w:jc w:val="center"/>
              <w:rPr>
                <w:rFonts w:ascii="Arial" w:hAnsi="Arial" w:cs="Arial"/>
                <w:b/>
                <w:bCs/>
                <w:color w:val="156082"/>
                <w:sz w:val="20"/>
                <w:szCs w:val="20"/>
              </w:rPr>
            </w:pPr>
            <w:r w:rsidRPr="00AF0956">
              <w:rPr>
                <w:rFonts w:ascii="Arial" w:hAnsi="Arial" w:cs="Arial"/>
                <w:b/>
                <w:bCs/>
                <w:color w:val="156082"/>
                <w:sz w:val="20"/>
                <w:szCs w:val="20"/>
              </w:rPr>
              <w:t>Program Completion Rates</w:t>
            </w:r>
          </w:p>
        </w:tc>
        <w:tc>
          <w:tcPr>
            <w:tcW w:w="1546" w:type="dxa"/>
            <w:tcBorders>
              <w:left w:val="single" w:sz="4" w:space="0" w:color="auto"/>
            </w:tcBorders>
            <w:shd w:val="clear" w:color="auto" w:fill="F6C5AC" w:themeFill="accent2" w:themeFillTint="66"/>
            <w:vAlign w:val="center"/>
          </w:tcPr>
          <w:p w14:paraId="62CAD24B" w14:textId="77777777" w:rsidR="007D271D" w:rsidRPr="00AF0956" w:rsidRDefault="007D271D" w:rsidP="004168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F0956">
              <w:rPr>
                <w:rFonts w:ascii="Arial" w:hAnsi="Arial" w:cs="Arial"/>
                <w:sz w:val="20"/>
                <w:szCs w:val="20"/>
              </w:rPr>
              <w:t>Limited</w:t>
            </w:r>
          </w:p>
        </w:tc>
        <w:tc>
          <w:tcPr>
            <w:tcW w:w="1635" w:type="dxa"/>
            <w:shd w:val="clear" w:color="auto" w:fill="196B24"/>
            <w:vAlign w:val="center"/>
          </w:tcPr>
          <w:p w14:paraId="19F271F3" w14:textId="77777777" w:rsidR="007D271D" w:rsidRPr="00AF0956" w:rsidRDefault="007D271D" w:rsidP="004168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F0956">
              <w:rPr>
                <w:rFonts w:ascii="Arial" w:hAnsi="Arial" w:cs="Arial"/>
                <w:color w:val="FFFFFF" w:themeColor="background1"/>
                <w:sz w:val="20"/>
                <w:szCs w:val="20"/>
              </w:rPr>
              <w:t>Strong</w:t>
            </w:r>
          </w:p>
        </w:tc>
        <w:tc>
          <w:tcPr>
            <w:tcW w:w="1443" w:type="dxa"/>
            <w:shd w:val="clear" w:color="auto" w:fill="CCDFEF"/>
            <w:vAlign w:val="center"/>
          </w:tcPr>
          <w:p w14:paraId="050A3493" w14:textId="77777777" w:rsidR="007D271D" w:rsidRPr="00AF0956" w:rsidRDefault="007D271D" w:rsidP="004168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F0956">
              <w:rPr>
                <w:rFonts w:ascii="Arial" w:hAnsi="Arial" w:cs="Arial"/>
                <w:sz w:val="20"/>
                <w:szCs w:val="20"/>
              </w:rPr>
              <w:t>Limited</w:t>
            </w:r>
          </w:p>
        </w:tc>
        <w:tc>
          <w:tcPr>
            <w:tcW w:w="1704" w:type="dxa"/>
            <w:tcBorders>
              <w:right w:val="single" w:sz="12" w:space="0" w:color="auto"/>
            </w:tcBorders>
            <w:shd w:val="clear" w:color="auto" w:fill="DFCDDC"/>
            <w:vAlign w:val="center"/>
          </w:tcPr>
          <w:p w14:paraId="738F8ED7" w14:textId="77777777" w:rsidR="007D271D" w:rsidRPr="00AF0956" w:rsidRDefault="007D271D" w:rsidP="004168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F0956">
              <w:rPr>
                <w:rFonts w:ascii="Arial" w:hAnsi="Arial" w:cs="Arial"/>
                <w:sz w:val="20"/>
                <w:szCs w:val="20"/>
              </w:rPr>
              <w:t>Moderate</w:t>
            </w:r>
          </w:p>
        </w:tc>
      </w:tr>
      <w:tr w:rsidR="007D271D" w:rsidRPr="00AF0956" w14:paraId="61251751" w14:textId="77777777" w:rsidTr="00217917">
        <w:trPr>
          <w:trHeight w:val="763"/>
        </w:trPr>
        <w:tc>
          <w:tcPr>
            <w:tcW w:w="1632" w:type="dxa"/>
            <w:vMerge/>
            <w:tcBorders>
              <w:left w:val="single" w:sz="12" w:space="0" w:color="auto"/>
            </w:tcBorders>
            <w:shd w:val="clear" w:color="auto" w:fill="E8E8E8" w:themeFill="background2"/>
          </w:tcPr>
          <w:p w14:paraId="09604932" w14:textId="77777777" w:rsidR="007D271D" w:rsidRPr="00AF0956" w:rsidRDefault="007D271D" w:rsidP="00416869">
            <w:pPr>
              <w:jc w:val="center"/>
              <w:rPr>
                <w:rFonts w:ascii="Arial" w:hAnsi="Arial" w:cs="Arial"/>
                <w:b/>
                <w:bCs/>
                <w:color w:val="156082"/>
                <w:sz w:val="20"/>
                <w:szCs w:val="20"/>
              </w:rPr>
            </w:pPr>
          </w:p>
        </w:tc>
        <w:tc>
          <w:tcPr>
            <w:tcW w:w="1686" w:type="dxa"/>
            <w:vAlign w:val="center"/>
          </w:tcPr>
          <w:p w14:paraId="59E6E3EE" w14:textId="52F07649" w:rsidR="007D271D" w:rsidRPr="00AF0956" w:rsidRDefault="003121A6" w:rsidP="00416869">
            <w:pPr>
              <w:jc w:val="center"/>
              <w:rPr>
                <w:rFonts w:ascii="Arial" w:hAnsi="Arial" w:cs="Arial"/>
                <w:b/>
                <w:bCs/>
                <w:color w:val="156082"/>
                <w:sz w:val="20"/>
                <w:szCs w:val="20"/>
              </w:rPr>
            </w:pPr>
            <w:r w:rsidRPr="00AF0956">
              <w:rPr>
                <w:rFonts w:ascii="Arial" w:hAnsi="Arial" w:cs="Arial"/>
                <w:b/>
                <w:bCs/>
                <w:color w:val="156082"/>
                <w:sz w:val="20"/>
                <w:szCs w:val="20"/>
              </w:rPr>
              <w:t>Positive</w:t>
            </w:r>
            <w:r w:rsidR="007D271D" w:rsidRPr="00AF0956">
              <w:rPr>
                <w:rFonts w:ascii="Arial" w:hAnsi="Arial" w:cs="Arial"/>
                <w:b/>
                <w:bCs/>
                <w:color w:val="156082"/>
                <w:sz w:val="20"/>
                <w:szCs w:val="20"/>
              </w:rPr>
              <w:t xml:space="preserve"> Placement Rates</w:t>
            </w:r>
          </w:p>
        </w:tc>
        <w:tc>
          <w:tcPr>
            <w:tcW w:w="1546" w:type="dxa"/>
            <w:shd w:val="clear" w:color="auto" w:fill="F6C5AC" w:themeFill="accent2" w:themeFillTint="66"/>
            <w:vAlign w:val="center"/>
          </w:tcPr>
          <w:p w14:paraId="09C3129B" w14:textId="77777777" w:rsidR="007D271D" w:rsidRPr="00AF0956" w:rsidRDefault="007D271D" w:rsidP="004168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F0956">
              <w:rPr>
                <w:rFonts w:ascii="Arial" w:hAnsi="Arial" w:cs="Arial"/>
                <w:sz w:val="20"/>
                <w:szCs w:val="20"/>
              </w:rPr>
              <w:t>Moderate</w:t>
            </w:r>
          </w:p>
        </w:tc>
        <w:tc>
          <w:tcPr>
            <w:tcW w:w="1635" w:type="dxa"/>
            <w:shd w:val="clear" w:color="auto" w:fill="CCD4CC"/>
            <w:vAlign w:val="center"/>
          </w:tcPr>
          <w:p w14:paraId="1BAD826D" w14:textId="77777777" w:rsidR="007D271D" w:rsidRPr="00AF0956" w:rsidRDefault="007D271D" w:rsidP="004168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F0956">
              <w:rPr>
                <w:rFonts w:ascii="Arial" w:hAnsi="Arial" w:cs="Arial"/>
                <w:sz w:val="20"/>
                <w:szCs w:val="20"/>
              </w:rPr>
              <w:t>Limited</w:t>
            </w:r>
          </w:p>
        </w:tc>
        <w:tc>
          <w:tcPr>
            <w:tcW w:w="1443" w:type="dxa"/>
            <w:shd w:val="clear" w:color="auto" w:fill="0F9ED5"/>
            <w:vAlign w:val="center"/>
          </w:tcPr>
          <w:p w14:paraId="6A715953" w14:textId="77777777" w:rsidR="007D271D" w:rsidRPr="00AF0956" w:rsidRDefault="007D271D" w:rsidP="004168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F0956">
              <w:rPr>
                <w:rFonts w:ascii="Arial" w:hAnsi="Arial" w:cs="Arial"/>
                <w:color w:val="FFFFFF" w:themeColor="background1"/>
                <w:sz w:val="20"/>
                <w:szCs w:val="20"/>
              </w:rPr>
              <w:t>Strong</w:t>
            </w:r>
          </w:p>
        </w:tc>
        <w:tc>
          <w:tcPr>
            <w:tcW w:w="1704" w:type="dxa"/>
            <w:tcBorders>
              <w:right w:val="single" w:sz="12" w:space="0" w:color="auto"/>
            </w:tcBorders>
            <w:shd w:val="clear" w:color="auto" w:fill="DFCDDC"/>
            <w:vAlign w:val="center"/>
          </w:tcPr>
          <w:p w14:paraId="197CBB2B" w14:textId="77777777" w:rsidR="007D271D" w:rsidRPr="00AF0956" w:rsidRDefault="007D271D" w:rsidP="004168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F0956">
              <w:rPr>
                <w:rFonts w:ascii="Arial" w:hAnsi="Arial" w:cs="Arial"/>
                <w:sz w:val="20"/>
                <w:szCs w:val="20"/>
              </w:rPr>
              <w:t>Limited</w:t>
            </w:r>
          </w:p>
        </w:tc>
      </w:tr>
      <w:tr w:rsidR="007D271D" w:rsidRPr="00AF0956" w14:paraId="4088DF17" w14:textId="77777777" w:rsidTr="00217917">
        <w:trPr>
          <w:trHeight w:val="771"/>
        </w:trPr>
        <w:tc>
          <w:tcPr>
            <w:tcW w:w="1632" w:type="dxa"/>
            <w:vMerge/>
            <w:tcBorders>
              <w:left w:val="single" w:sz="12" w:space="0" w:color="auto"/>
              <w:bottom w:val="single" w:sz="12" w:space="0" w:color="auto"/>
            </w:tcBorders>
            <w:shd w:val="clear" w:color="auto" w:fill="E8E8E8" w:themeFill="background2"/>
          </w:tcPr>
          <w:p w14:paraId="571F955B" w14:textId="77777777" w:rsidR="007D271D" w:rsidRPr="00AF0956" w:rsidRDefault="007D271D" w:rsidP="00416869">
            <w:pPr>
              <w:jc w:val="center"/>
              <w:rPr>
                <w:rFonts w:ascii="Arial" w:hAnsi="Arial" w:cs="Arial"/>
                <w:b/>
                <w:bCs/>
                <w:color w:val="156082"/>
                <w:sz w:val="20"/>
                <w:szCs w:val="20"/>
              </w:rPr>
            </w:pPr>
          </w:p>
        </w:tc>
        <w:tc>
          <w:tcPr>
            <w:tcW w:w="1686" w:type="dxa"/>
            <w:tcBorders>
              <w:bottom w:val="single" w:sz="12" w:space="0" w:color="auto"/>
            </w:tcBorders>
            <w:vAlign w:val="center"/>
          </w:tcPr>
          <w:p w14:paraId="66FC6F31" w14:textId="789DC1C5" w:rsidR="007D271D" w:rsidRPr="00AF0956" w:rsidRDefault="007D271D" w:rsidP="00416869">
            <w:pPr>
              <w:jc w:val="center"/>
              <w:rPr>
                <w:rFonts w:ascii="Arial" w:hAnsi="Arial" w:cs="Arial"/>
                <w:b/>
                <w:bCs/>
                <w:color w:val="156082"/>
                <w:sz w:val="20"/>
                <w:szCs w:val="20"/>
              </w:rPr>
            </w:pPr>
            <w:r w:rsidRPr="00AF0956">
              <w:rPr>
                <w:rFonts w:ascii="Arial" w:hAnsi="Arial" w:cs="Arial"/>
                <w:b/>
                <w:bCs/>
                <w:color w:val="156082"/>
                <w:sz w:val="20"/>
                <w:szCs w:val="20"/>
              </w:rPr>
              <w:t>Professional Competency Assessment</w:t>
            </w:r>
          </w:p>
        </w:tc>
        <w:tc>
          <w:tcPr>
            <w:tcW w:w="1546" w:type="dxa"/>
            <w:tcBorders>
              <w:bottom w:val="single" w:sz="12" w:space="0" w:color="auto"/>
            </w:tcBorders>
            <w:shd w:val="clear" w:color="auto" w:fill="E97132"/>
            <w:vAlign w:val="center"/>
          </w:tcPr>
          <w:p w14:paraId="7D4292CC" w14:textId="77777777" w:rsidR="007D271D" w:rsidRPr="00AF0956" w:rsidRDefault="007D271D" w:rsidP="004168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F0956">
              <w:rPr>
                <w:rFonts w:ascii="Arial" w:hAnsi="Arial" w:cs="Arial"/>
                <w:color w:val="FFFFFF" w:themeColor="background1"/>
                <w:sz w:val="20"/>
                <w:szCs w:val="20"/>
              </w:rPr>
              <w:t>Strong</w:t>
            </w:r>
          </w:p>
        </w:tc>
        <w:tc>
          <w:tcPr>
            <w:tcW w:w="1635" w:type="dxa"/>
            <w:tcBorders>
              <w:bottom w:val="single" w:sz="12" w:space="0" w:color="auto"/>
            </w:tcBorders>
            <w:shd w:val="clear" w:color="auto" w:fill="CCD4CC"/>
            <w:vAlign w:val="center"/>
          </w:tcPr>
          <w:p w14:paraId="7E06A0CE" w14:textId="77777777" w:rsidR="007D271D" w:rsidRPr="00AF0956" w:rsidRDefault="007D271D" w:rsidP="004168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F0956">
              <w:rPr>
                <w:rFonts w:ascii="Arial" w:hAnsi="Arial" w:cs="Arial"/>
                <w:sz w:val="20"/>
                <w:szCs w:val="20"/>
              </w:rPr>
              <w:t>Moderate</w:t>
            </w:r>
          </w:p>
        </w:tc>
        <w:tc>
          <w:tcPr>
            <w:tcW w:w="1443" w:type="dxa"/>
            <w:tcBorders>
              <w:bottom w:val="single" w:sz="12" w:space="0" w:color="auto"/>
            </w:tcBorders>
            <w:shd w:val="clear" w:color="auto" w:fill="CCDFEF"/>
            <w:vAlign w:val="center"/>
          </w:tcPr>
          <w:p w14:paraId="5F53F30C" w14:textId="77777777" w:rsidR="007D271D" w:rsidRPr="00AF0956" w:rsidRDefault="007D271D" w:rsidP="004168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F0956">
              <w:rPr>
                <w:rFonts w:ascii="Arial" w:hAnsi="Arial" w:cs="Arial"/>
                <w:sz w:val="20"/>
                <w:szCs w:val="20"/>
              </w:rPr>
              <w:t>Moderate</w:t>
            </w:r>
          </w:p>
        </w:tc>
        <w:tc>
          <w:tcPr>
            <w:tcW w:w="1704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A02B93"/>
            <w:vAlign w:val="center"/>
          </w:tcPr>
          <w:p w14:paraId="32A00913" w14:textId="77777777" w:rsidR="007D271D" w:rsidRPr="00AF0956" w:rsidRDefault="007D271D" w:rsidP="004168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F0956">
              <w:rPr>
                <w:rFonts w:ascii="Arial" w:hAnsi="Arial" w:cs="Arial"/>
                <w:color w:val="FFFFFF" w:themeColor="background1"/>
                <w:sz w:val="20"/>
                <w:szCs w:val="20"/>
              </w:rPr>
              <w:t>Strong</w:t>
            </w:r>
          </w:p>
        </w:tc>
      </w:tr>
    </w:tbl>
    <w:p w14:paraId="2219EB2F" w14:textId="0DB4587B" w:rsidR="002F430C" w:rsidRPr="00AF0956" w:rsidRDefault="002F430C">
      <w:pPr>
        <w:rPr>
          <w:rFonts w:cs="Calibri"/>
        </w:rPr>
      </w:pPr>
    </w:p>
    <w:p w14:paraId="03FD56B5" w14:textId="31E46596" w:rsidR="00687180" w:rsidRPr="00AF0956" w:rsidRDefault="00687180" w:rsidP="00A30A80">
      <w:pPr>
        <w:pStyle w:val="Heading2"/>
      </w:pPr>
      <w:r w:rsidRPr="00AF0956">
        <w:t>Quality Enhancement Measures</w:t>
      </w:r>
    </w:p>
    <w:p w14:paraId="28F409AA" w14:textId="480C0D44" w:rsidR="00687180" w:rsidRPr="00AF0956" w:rsidRDefault="00687180" w:rsidP="00687180">
      <w:pPr>
        <w:rPr>
          <w:rFonts w:cs="Calibri"/>
        </w:rPr>
      </w:pPr>
      <w:r w:rsidRPr="00AF0956">
        <w:rPr>
          <w:rFonts w:cs="Calibri"/>
        </w:rPr>
        <w:t xml:space="preserve">Quality Enhancement Measures are </w:t>
      </w:r>
      <w:r w:rsidR="00021E66" w:rsidRPr="00AF0956">
        <w:rPr>
          <w:rFonts w:cs="Calibri"/>
        </w:rPr>
        <w:t>supplemental</w:t>
      </w:r>
      <w:r w:rsidRPr="00AF0956">
        <w:rPr>
          <w:rFonts w:cs="Calibri"/>
        </w:rPr>
        <w:t xml:space="preserve"> outcome metrics that programs </w:t>
      </w:r>
      <w:r w:rsidR="00257350" w:rsidRPr="00AF0956">
        <w:rPr>
          <w:rFonts w:cs="Calibri"/>
        </w:rPr>
        <w:t>will submit based</w:t>
      </w:r>
      <w:r w:rsidRPr="00AF0956">
        <w:rPr>
          <w:rFonts w:cs="Calibri"/>
        </w:rPr>
        <w:t xml:space="preserve"> on their </w:t>
      </w:r>
      <w:r w:rsidR="00F54E29">
        <w:rPr>
          <w:rFonts w:cs="Calibri"/>
        </w:rPr>
        <w:t>discipline-specific</w:t>
      </w:r>
      <w:r w:rsidRPr="00AF0956">
        <w:rPr>
          <w:rFonts w:cs="Calibri"/>
        </w:rPr>
        <w:t xml:space="preserve"> context, mission, and improvement priorities. Unlike Core Outcome Measures, which are uniformly required across all programs, Quality Enhancement Measures provide </w:t>
      </w:r>
      <w:r w:rsidR="00257350" w:rsidRPr="00AF0956">
        <w:rPr>
          <w:rFonts w:cs="Calibri"/>
        </w:rPr>
        <w:t xml:space="preserve">programs with flexibility to tailor their assessment approach while maintaining a </w:t>
      </w:r>
      <w:r w:rsidRPr="00AF0956">
        <w:rPr>
          <w:rFonts w:cs="Calibri"/>
        </w:rPr>
        <w:t xml:space="preserve">focus on continuous improvement. These measures </w:t>
      </w:r>
      <w:r w:rsidR="00F11A2B" w:rsidRPr="00AF0956">
        <w:rPr>
          <w:rFonts w:cs="Calibri"/>
        </w:rPr>
        <w:t>enable programs to collect data that addresses their unique educational model, student population, or institutional priorities, while still aligning with</w:t>
      </w:r>
      <w:r w:rsidRPr="00AF0956">
        <w:rPr>
          <w:rFonts w:cs="Calibri"/>
        </w:rPr>
        <w:t xml:space="preserve"> CAAHEP's </w:t>
      </w:r>
      <w:r w:rsidR="00B053F4" w:rsidRPr="00AF0956">
        <w:rPr>
          <w:rFonts w:cs="Calibri"/>
        </w:rPr>
        <w:t>Quality Framework</w:t>
      </w:r>
      <w:r w:rsidRPr="00AF0956">
        <w:rPr>
          <w:rFonts w:cs="Calibri"/>
        </w:rPr>
        <w:t>. Quality Enhancement Measures complement the Core Outcome Measures by providing deeper insights into specific aspects of program quality and supporting targeted improvement efforts.</w:t>
      </w:r>
      <w:r w:rsidR="00A16B74" w:rsidRPr="00AF0956">
        <w:rPr>
          <w:rFonts w:cs="Calibri"/>
        </w:rPr>
        <w:t xml:space="preserve"> The </w:t>
      </w:r>
      <w:r w:rsidR="000537F3" w:rsidRPr="00AF0956">
        <w:rPr>
          <w:rFonts w:cs="Calibri"/>
        </w:rPr>
        <w:t>proposed</w:t>
      </w:r>
      <w:r w:rsidR="00A16B74" w:rsidRPr="00AF0956">
        <w:rPr>
          <w:rFonts w:cs="Calibri"/>
        </w:rPr>
        <w:t xml:space="preserve"> list of Quality Enhancement Measures in the framework </w:t>
      </w:r>
      <w:r w:rsidR="00E75EFF" w:rsidRPr="00AF0956">
        <w:rPr>
          <w:rFonts w:cs="Calibri"/>
        </w:rPr>
        <w:t xml:space="preserve">is based on the task force's initial suggestions, with the expectation that this section will be expanded during the implementation phase. </w:t>
      </w:r>
    </w:p>
    <w:p w14:paraId="34EC4DDE" w14:textId="66452710" w:rsidR="006F01CE" w:rsidRPr="00AF0956" w:rsidRDefault="00687180" w:rsidP="00B605A2">
      <w:pPr>
        <w:pStyle w:val="Heading1"/>
        <w:rPr>
          <w:b/>
          <w:bCs/>
        </w:rPr>
      </w:pPr>
      <w:r w:rsidRPr="00AF0956">
        <w:rPr>
          <w:b/>
          <w:bCs/>
        </w:rPr>
        <w:t xml:space="preserve">Implementation Considerations  </w:t>
      </w:r>
    </w:p>
    <w:p w14:paraId="7A776DB9" w14:textId="040FDFFB" w:rsidR="00687180" w:rsidRPr="00AF0956" w:rsidRDefault="00687180" w:rsidP="0081146C">
      <w:pPr>
        <w:pStyle w:val="Heading2"/>
      </w:pPr>
      <w:r w:rsidRPr="00AF0956">
        <w:t xml:space="preserve">Student Learning Outcomes vs. </w:t>
      </w:r>
      <w:r w:rsidR="00F54E29">
        <w:t>Program</w:t>
      </w:r>
      <w:r w:rsidRPr="00AF0956">
        <w:t xml:space="preserve"> Outcomes</w:t>
      </w:r>
    </w:p>
    <w:p w14:paraId="52B94B97" w14:textId="684791E1" w:rsidR="00687180" w:rsidRPr="00AF0956" w:rsidRDefault="00EB167F" w:rsidP="00687180">
      <w:pPr>
        <w:rPr>
          <w:rFonts w:cs="Calibri"/>
        </w:rPr>
      </w:pPr>
      <w:r w:rsidRPr="00AF0956">
        <w:rPr>
          <w:rFonts w:cs="Calibri"/>
        </w:rPr>
        <w:t>The Quality Framework clarifies the</w:t>
      </w:r>
      <w:r w:rsidR="00687180" w:rsidRPr="00AF0956">
        <w:rPr>
          <w:rFonts w:cs="Calibri"/>
        </w:rPr>
        <w:t xml:space="preserve"> relationship between student learning outcomes and </w:t>
      </w:r>
      <w:r w:rsidR="00F54E29">
        <w:rPr>
          <w:rFonts w:cs="Calibri"/>
        </w:rPr>
        <w:t xml:space="preserve">program </w:t>
      </w:r>
      <w:r w:rsidR="00687180" w:rsidRPr="00AF0956">
        <w:rPr>
          <w:rFonts w:cs="Calibri"/>
        </w:rPr>
        <w:t xml:space="preserve">outcomes. While both types of assessment provide valuable information about program quality, they serve </w:t>
      </w:r>
      <w:r w:rsidR="00F11A2B" w:rsidRPr="00AF0956">
        <w:rPr>
          <w:rFonts w:cs="Calibri"/>
        </w:rPr>
        <w:t xml:space="preserve">distinct purposes and occur at </w:t>
      </w:r>
      <w:r w:rsidR="00313580" w:rsidRPr="00AF0956">
        <w:rPr>
          <w:rFonts w:cs="Calibri"/>
        </w:rPr>
        <w:t>various stages</w:t>
      </w:r>
      <w:r w:rsidR="00F11A2B" w:rsidRPr="00AF0956">
        <w:rPr>
          <w:rFonts w:cs="Calibri"/>
        </w:rPr>
        <w:t xml:space="preserve"> of</w:t>
      </w:r>
      <w:r w:rsidR="00687180" w:rsidRPr="00AF0956">
        <w:rPr>
          <w:rFonts w:cs="Calibri"/>
        </w:rPr>
        <w:t xml:space="preserve"> the educational process.</w:t>
      </w:r>
    </w:p>
    <w:p w14:paraId="2995C396" w14:textId="77777777" w:rsidR="00687180" w:rsidRPr="00AF0956" w:rsidRDefault="00687180" w:rsidP="00687180">
      <w:pPr>
        <w:rPr>
          <w:rFonts w:cs="Calibri"/>
        </w:rPr>
      </w:pPr>
      <w:r w:rsidRPr="00AF0956">
        <w:rPr>
          <w:rFonts w:cs="Calibri"/>
        </w:rPr>
        <w:lastRenderedPageBreak/>
        <w:t>Student learning outcomes assess what students know and can do during the educational program. They provide formative information that helps programs monitor student progress, identify learning gaps, and make real-time adjustments to teaching methods or curriculum sequencing. These assessments primarily serve the Educational Process Effectiveness dimension of quality.</w:t>
      </w:r>
    </w:p>
    <w:p w14:paraId="717D2243" w14:textId="661A2AAE" w:rsidR="00687180" w:rsidRPr="00AF0956" w:rsidRDefault="001724E8" w:rsidP="00687180">
      <w:pPr>
        <w:rPr>
          <w:rFonts w:cs="Calibri"/>
        </w:rPr>
      </w:pPr>
      <w:r>
        <w:rPr>
          <w:rFonts w:cs="Calibri"/>
        </w:rPr>
        <w:t>Program</w:t>
      </w:r>
      <w:r w:rsidR="00841816" w:rsidRPr="00AF0956">
        <w:rPr>
          <w:rFonts w:cs="Calibri"/>
        </w:rPr>
        <w:t xml:space="preserve"> </w:t>
      </w:r>
      <w:r w:rsidR="00687180" w:rsidRPr="00AF0956">
        <w:rPr>
          <w:rFonts w:cs="Calibri"/>
        </w:rPr>
        <w:t>outcomes, in contrast, assess the end results of the educational process. They provide summative information about how well the program has prepared completers for professional practice and how graduates perform in real-world contexts. These assessments primarily serve the Graduate Preparation and Profession &amp; Workforce Alignment dimensions of quality.</w:t>
      </w:r>
    </w:p>
    <w:p w14:paraId="68985D32" w14:textId="2AC6113E" w:rsidR="00687180" w:rsidRPr="00AF0956" w:rsidRDefault="000537F3" w:rsidP="00687180">
      <w:pPr>
        <w:rPr>
          <w:rFonts w:cs="Calibri"/>
        </w:rPr>
      </w:pPr>
      <w:r w:rsidRPr="00AF0956">
        <w:rPr>
          <w:rFonts w:cs="Calibri"/>
        </w:rPr>
        <w:t>W</w:t>
      </w:r>
      <w:r w:rsidR="00687180" w:rsidRPr="00AF0956">
        <w:rPr>
          <w:rFonts w:cs="Calibri"/>
        </w:rPr>
        <w:t xml:space="preserve">hile student learning outcomes and graduate outcomes are related, </w:t>
      </w:r>
      <w:r w:rsidR="00841816" w:rsidRPr="00AF0956">
        <w:rPr>
          <w:rFonts w:cs="Calibri"/>
        </w:rPr>
        <w:t xml:space="preserve">CAAHEP's outcomes assessment primarily focuses </w:t>
      </w:r>
      <w:r w:rsidR="00687180" w:rsidRPr="00AF0956">
        <w:rPr>
          <w:rFonts w:cs="Calibri"/>
        </w:rPr>
        <w:t xml:space="preserve">on the </w:t>
      </w:r>
      <w:r w:rsidR="00CE56E5" w:rsidRPr="00AF0956">
        <w:rPr>
          <w:rFonts w:cs="Calibri"/>
        </w:rPr>
        <w:t>graduate outcomes</w:t>
      </w:r>
      <w:r w:rsidR="00687180" w:rsidRPr="00AF0956">
        <w:rPr>
          <w:rFonts w:cs="Calibri"/>
        </w:rPr>
        <w:t xml:space="preserve"> as indicators of program quality. This focus aligns with CAAHEP's mission to ensure that graduates are competent to enter the profession and meet the needs of employers and the healthcare system.</w:t>
      </w:r>
    </w:p>
    <w:p w14:paraId="383C46EB" w14:textId="67119DA0" w:rsidR="00687180" w:rsidRPr="00AF0956" w:rsidRDefault="00687180" w:rsidP="00687180">
      <w:pPr>
        <w:rPr>
          <w:rFonts w:cs="Calibri"/>
        </w:rPr>
      </w:pPr>
      <w:r w:rsidRPr="00AF0956">
        <w:rPr>
          <w:rFonts w:cs="Calibri"/>
        </w:rPr>
        <w:t xml:space="preserve">Programs should maintain robust systems for assessing both student learning outcomes and graduate outcomes, recognizing their complementary roles in a comprehensive quality assurance framework. Student learning assessment provides critical information for ongoing program improvement, while graduate outcome assessment demonstrates </w:t>
      </w:r>
      <w:r w:rsidR="004D1C0D" w:rsidRPr="00AF0956">
        <w:rPr>
          <w:rFonts w:cs="Calibri"/>
        </w:rPr>
        <w:t xml:space="preserve">the </w:t>
      </w:r>
      <w:r w:rsidR="008F4FC0" w:rsidRPr="00AF0956">
        <w:rPr>
          <w:rFonts w:cs="Calibri"/>
        </w:rPr>
        <w:t xml:space="preserve">overall </w:t>
      </w:r>
      <w:r w:rsidRPr="00AF0956">
        <w:rPr>
          <w:rFonts w:cs="Calibri"/>
        </w:rPr>
        <w:t>effectiveness of the educational process.</w:t>
      </w:r>
    </w:p>
    <w:p w14:paraId="11DB216F" w14:textId="77764B53" w:rsidR="00687180" w:rsidRPr="00AF0956" w:rsidRDefault="00687180" w:rsidP="00B605A2">
      <w:pPr>
        <w:pStyle w:val="Heading2"/>
      </w:pPr>
      <w:r w:rsidRPr="00AF0956">
        <w:t>Conclusion</w:t>
      </w:r>
    </w:p>
    <w:p w14:paraId="1E9E68C2" w14:textId="50045EEC" w:rsidR="00687180" w:rsidRPr="00AF0956" w:rsidRDefault="00687180" w:rsidP="00687180">
      <w:pPr>
        <w:rPr>
          <w:rFonts w:cs="Calibri"/>
        </w:rPr>
      </w:pPr>
      <w:r w:rsidRPr="00AF0956">
        <w:rPr>
          <w:rFonts w:cs="Calibri"/>
        </w:rPr>
        <w:t xml:space="preserve">The </w:t>
      </w:r>
      <w:r w:rsidR="00AE05CC" w:rsidRPr="00AF0956">
        <w:rPr>
          <w:rFonts w:cs="Calibri"/>
        </w:rPr>
        <w:t>Quality Framework</w:t>
      </w:r>
      <w:r w:rsidRPr="00AF0956">
        <w:rPr>
          <w:rFonts w:cs="Calibri"/>
        </w:rPr>
        <w:t xml:space="preserve"> </w:t>
      </w:r>
      <w:r w:rsidR="00AE05CC" w:rsidRPr="00AF0956">
        <w:rPr>
          <w:rFonts w:cs="Calibri"/>
        </w:rPr>
        <w:t>represents</w:t>
      </w:r>
      <w:r w:rsidRPr="00AF0956">
        <w:rPr>
          <w:rFonts w:cs="Calibri"/>
        </w:rPr>
        <w:t xml:space="preserve"> a</w:t>
      </w:r>
      <w:r w:rsidR="00702B2B" w:rsidRPr="00AF0956">
        <w:rPr>
          <w:rFonts w:cs="Calibri"/>
        </w:rPr>
        <w:t xml:space="preserve">n </w:t>
      </w:r>
      <w:r w:rsidRPr="00AF0956">
        <w:rPr>
          <w:rFonts w:cs="Calibri"/>
        </w:rPr>
        <w:t xml:space="preserve">evolution in CAAHEP's </w:t>
      </w:r>
      <w:r w:rsidR="00494510" w:rsidRPr="00AF0956">
        <w:rPr>
          <w:rFonts w:cs="Calibri"/>
        </w:rPr>
        <w:t>outcomes-based accreditation approach</w:t>
      </w:r>
      <w:r w:rsidRPr="00AF0956">
        <w:rPr>
          <w:rFonts w:cs="Calibri"/>
        </w:rPr>
        <w:t xml:space="preserve">. By adopting a multidimensional quality framework and implementing standardized, evidence-based outcome measures, CAAHEP </w:t>
      </w:r>
      <w:r w:rsidR="007B6B1B" w:rsidRPr="00AF0956">
        <w:rPr>
          <w:rFonts w:cs="Calibri"/>
        </w:rPr>
        <w:t>aims to</w:t>
      </w:r>
      <w:r w:rsidRPr="00AF0956">
        <w:rPr>
          <w:rFonts w:cs="Calibri"/>
        </w:rPr>
        <w:t xml:space="preserve"> enhance the value of accreditation for programs, students, employers, and</w:t>
      </w:r>
      <w:r w:rsidR="00F11A2B" w:rsidRPr="00AF0956">
        <w:rPr>
          <w:rFonts w:cs="Calibri"/>
        </w:rPr>
        <w:t>, ultimately,</w:t>
      </w:r>
      <w:r w:rsidRPr="00AF0956">
        <w:rPr>
          <w:rFonts w:cs="Calibri"/>
        </w:rPr>
        <w:t xml:space="preserve"> </w:t>
      </w:r>
      <w:r w:rsidR="008C21B6" w:rsidRPr="00AF0956">
        <w:rPr>
          <w:rFonts w:cs="Calibri"/>
        </w:rPr>
        <w:t>the public</w:t>
      </w:r>
      <w:r w:rsidRPr="00AF0956">
        <w:rPr>
          <w:rFonts w:cs="Calibri"/>
        </w:rPr>
        <w:t>.</w:t>
      </w:r>
      <w:r w:rsidR="007B6B1B" w:rsidRPr="00AF0956">
        <w:rPr>
          <w:rFonts w:cs="Calibri"/>
        </w:rPr>
        <w:t xml:space="preserve">  The framework's integration of Core Outcome Measures and Quality Enhancement Measures is grounded in research evidence demonstrating how specific measures inform distinct aspects of program quality. </w:t>
      </w:r>
    </w:p>
    <w:p w14:paraId="3E258E41" w14:textId="39ED9C9D" w:rsidR="00687180" w:rsidRPr="00AF0956" w:rsidRDefault="00687180" w:rsidP="00687180">
      <w:pPr>
        <w:rPr>
          <w:rFonts w:cs="Calibri"/>
        </w:rPr>
      </w:pPr>
      <w:r w:rsidRPr="00AF0956">
        <w:rPr>
          <w:rFonts w:cs="Calibri"/>
        </w:rPr>
        <w:t xml:space="preserve">The framework </w:t>
      </w:r>
      <w:r w:rsidR="00F11A2B" w:rsidRPr="00AF0956">
        <w:rPr>
          <w:rFonts w:cs="Calibri"/>
        </w:rPr>
        <w:t>strikes a balance between the need for standardization to ensure consistency and opportunities for authentic evaluation of professional competency that fosters</w:t>
      </w:r>
      <w:r w:rsidR="00D17F89" w:rsidRPr="00AF0956">
        <w:rPr>
          <w:rFonts w:cs="Calibri"/>
        </w:rPr>
        <w:t xml:space="preserve"> innovation. </w:t>
      </w:r>
      <w:r w:rsidRPr="00AF0956">
        <w:rPr>
          <w:rFonts w:cs="Calibri"/>
        </w:rPr>
        <w:t xml:space="preserve">It emphasizes both </w:t>
      </w:r>
      <w:r w:rsidR="00D17F89" w:rsidRPr="00AF0956">
        <w:rPr>
          <w:rFonts w:cs="Calibri"/>
        </w:rPr>
        <w:t xml:space="preserve">quality assurance </w:t>
      </w:r>
      <w:r w:rsidRPr="00AF0956">
        <w:rPr>
          <w:rFonts w:cs="Calibri"/>
        </w:rPr>
        <w:t xml:space="preserve">and </w:t>
      </w:r>
      <w:r w:rsidR="00D17F89" w:rsidRPr="00AF0956">
        <w:rPr>
          <w:rFonts w:cs="Calibri"/>
        </w:rPr>
        <w:t>continuous quality i</w:t>
      </w:r>
      <w:r w:rsidRPr="00AF0956">
        <w:rPr>
          <w:rFonts w:cs="Calibri"/>
        </w:rPr>
        <w:t>mprovement, recognizing that the ultimate purpose of outcomes assessment is to enhance the quality of health professions education</w:t>
      </w:r>
      <w:r w:rsidR="009E6A9E" w:rsidRPr="00AF0956">
        <w:rPr>
          <w:rFonts w:cs="Calibri"/>
        </w:rPr>
        <w:t xml:space="preserve"> for all stakeholders.</w:t>
      </w:r>
    </w:p>
    <w:p w14:paraId="761D2F5A" w14:textId="6B44C009" w:rsidR="00196AC6" w:rsidRPr="00AF0956" w:rsidRDefault="002B79D5">
      <w:pPr>
        <w:rPr>
          <w:rFonts w:eastAsia="Times New Roman" w:cs="Calibri"/>
          <w:b/>
          <w:bCs/>
        </w:rPr>
      </w:pPr>
      <w:r w:rsidRPr="002B79D5">
        <w:rPr>
          <w:rFonts w:cs="Calibri"/>
        </w:rPr>
        <w:t>CAAHEP encourages all stakeholders in health professions education - educators, program directors, employers, and accreditation committees - to adopt this new vision of a transformative accreditation model. By collaborating to implement these recommendations and exchanging insights, we can elevate educational quality, empower future professionals, and improve patient outcomes</w:t>
      </w:r>
      <w:r>
        <w:rPr>
          <w:rFonts w:cs="Calibri"/>
        </w:rPr>
        <w:t>.</w:t>
      </w:r>
      <w:r w:rsidR="00196AC6" w:rsidRPr="00AF0956">
        <w:rPr>
          <w:rFonts w:eastAsia="Times New Roman"/>
        </w:rPr>
        <w:br w:type="page"/>
      </w:r>
    </w:p>
    <w:p w14:paraId="036B4753" w14:textId="70688E04" w:rsidR="00DD337C" w:rsidRPr="00AF0956" w:rsidRDefault="00DD337C" w:rsidP="004722A7">
      <w:pPr>
        <w:pStyle w:val="Heading2"/>
        <w:rPr>
          <w:rFonts w:eastAsia="Times New Roman"/>
        </w:rPr>
      </w:pPr>
      <w:r w:rsidRPr="00AF0956">
        <w:rPr>
          <w:rFonts w:eastAsia="Times New Roman"/>
        </w:rPr>
        <w:lastRenderedPageBreak/>
        <w:t>References</w:t>
      </w:r>
    </w:p>
    <w:p w14:paraId="2901E850" w14:textId="48A14FF7" w:rsidR="00312B49" w:rsidRPr="00AF0956" w:rsidRDefault="00312B49" w:rsidP="007113F4">
      <w:pPr>
        <w:spacing w:before="100" w:beforeAutospacing="1" w:after="100" w:afterAutospacing="1" w:line="240" w:lineRule="auto"/>
        <w:ind w:left="720" w:hanging="720"/>
        <w:rPr>
          <w:rFonts w:eastAsia="Times New Roman" w:cs="Calibri"/>
          <w:kern w:val="0"/>
          <w14:ligatures w14:val="none"/>
        </w:rPr>
      </w:pPr>
      <w:proofErr w:type="spellStart"/>
      <w:r w:rsidRPr="00AF0956">
        <w:rPr>
          <w:rFonts w:eastAsia="Times New Roman" w:cs="Calibri"/>
          <w:kern w:val="0"/>
          <w14:ligatures w14:val="none"/>
        </w:rPr>
        <w:t>Bridgstock</w:t>
      </w:r>
      <w:proofErr w:type="spellEnd"/>
      <w:r w:rsidRPr="00AF0956">
        <w:rPr>
          <w:rFonts w:eastAsia="Times New Roman" w:cs="Calibri"/>
          <w:kern w:val="0"/>
          <w14:ligatures w14:val="none"/>
        </w:rPr>
        <w:t>, R., &amp; Jackson, D. (2019). Strategic institutional approaches to graduate employability: navigating meanings, measurements and what really matters. </w:t>
      </w:r>
      <w:r w:rsidRPr="00AF0956">
        <w:rPr>
          <w:rFonts w:eastAsia="Times New Roman" w:cs="Calibri"/>
          <w:i/>
          <w:iCs/>
          <w:kern w:val="0"/>
          <w14:ligatures w14:val="none"/>
        </w:rPr>
        <w:t>Journal of Higher Education Policy and Management</w:t>
      </w:r>
      <w:r w:rsidRPr="00AF0956">
        <w:rPr>
          <w:rFonts w:eastAsia="Times New Roman" w:cs="Calibri"/>
          <w:kern w:val="0"/>
          <w14:ligatures w14:val="none"/>
        </w:rPr>
        <w:t>, </w:t>
      </w:r>
      <w:r w:rsidRPr="00AF0956">
        <w:rPr>
          <w:rFonts w:eastAsia="Times New Roman" w:cs="Calibri"/>
          <w:i/>
          <w:iCs/>
          <w:kern w:val="0"/>
          <w14:ligatures w14:val="none"/>
        </w:rPr>
        <w:t>41</w:t>
      </w:r>
      <w:r w:rsidRPr="00AF0956">
        <w:rPr>
          <w:rFonts w:eastAsia="Times New Roman" w:cs="Calibri"/>
          <w:kern w:val="0"/>
          <w14:ligatures w14:val="none"/>
        </w:rPr>
        <w:t xml:space="preserve">(5), 468–484. </w:t>
      </w:r>
      <w:hyperlink r:id="rId12" w:history="1">
        <w:r w:rsidRPr="00AF0956">
          <w:rPr>
            <w:rStyle w:val="Hyperlink"/>
            <w:rFonts w:eastAsia="Times New Roman" w:cs="Calibri"/>
            <w:color w:val="000000" w:themeColor="text1"/>
            <w:kern w:val="0"/>
            <w14:ligatures w14:val="none"/>
          </w:rPr>
          <w:t>https://doi.org/10.1080/1360080X.2019.1646378</w:t>
        </w:r>
      </w:hyperlink>
    </w:p>
    <w:p w14:paraId="3212681E" w14:textId="5E2B0E0D" w:rsidR="003E147C" w:rsidRPr="00AF0956" w:rsidRDefault="003E147C" w:rsidP="007113F4">
      <w:pPr>
        <w:spacing w:before="100" w:beforeAutospacing="1" w:after="100" w:afterAutospacing="1" w:line="240" w:lineRule="auto"/>
        <w:ind w:left="720" w:hanging="720"/>
        <w:rPr>
          <w:rFonts w:eastAsia="Times New Roman" w:cs="Calibri"/>
          <w:kern w:val="0"/>
          <w14:ligatures w14:val="none"/>
        </w:rPr>
      </w:pPr>
      <w:r w:rsidRPr="00AF0956">
        <w:rPr>
          <w:rFonts w:eastAsia="Times New Roman" w:cs="Calibri"/>
          <w:kern w:val="0"/>
          <w14:ligatures w14:val="none"/>
        </w:rPr>
        <w:t>Chin, R. A., &amp; Agarwala, R. (2020)</w:t>
      </w:r>
      <w:r w:rsidR="009F54BE" w:rsidRPr="00AF0956">
        <w:rPr>
          <w:rFonts w:eastAsia="Times New Roman" w:cs="Calibri"/>
          <w:kern w:val="0"/>
          <w14:ligatures w14:val="none"/>
        </w:rPr>
        <w:t>.</w:t>
      </w:r>
      <w:r w:rsidRPr="00AF0956">
        <w:rPr>
          <w:rFonts w:eastAsia="Times New Roman" w:cs="Calibri"/>
          <w:kern w:val="0"/>
          <w14:ligatures w14:val="none"/>
        </w:rPr>
        <w:t> </w:t>
      </w:r>
      <w:r w:rsidRPr="00AF0956">
        <w:rPr>
          <w:rFonts w:eastAsia="Times New Roman" w:cs="Calibri"/>
          <w:i/>
          <w:iCs/>
          <w:kern w:val="0"/>
          <w14:ligatures w14:val="none"/>
        </w:rPr>
        <w:t>Using the Results of Certification Exam Data: A More Deliberate Approach to Improving Student Learning</w:t>
      </w:r>
      <w:r w:rsidRPr="00AF0956">
        <w:rPr>
          <w:rFonts w:eastAsia="Times New Roman" w:cs="Calibri"/>
          <w:kern w:val="0"/>
          <w14:ligatures w14:val="none"/>
        </w:rPr>
        <w:t xml:space="preserve"> Paper presented at 2020 ASEE Virtual Annual Conference Content Access, Virtual </w:t>
      </w:r>
      <w:proofErr w:type="gramStart"/>
      <w:r w:rsidRPr="00AF0956">
        <w:rPr>
          <w:rFonts w:eastAsia="Times New Roman" w:cs="Calibri"/>
          <w:kern w:val="0"/>
          <w14:ligatures w14:val="none"/>
        </w:rPr>
        <w:t>On line</w:t>
      </w:r>
      <w:proofErr w:type="gramEnd"/>
      <w:r w:rsidRPr="00AF0956">
        <w:rPr>
          <w:rFonts w:eastAsia="Times New Roman" w:cs="Calibri"/>
          <w:kern w:val="0"/>
          <w14:ligatures w14:val="none"/>
        </w:rPr>
        <w:t xml:space="preserve"> . </w:t>
      </w:r>
      <w:hyperlink r:id="rId13" w:history="1">
        <w:r w:rsidR="009E17CB" w:rsidRPr="00AF0956">
          <w:rPr>
            <w:rStyle w:val="Hyperlink"/>
            <w:rFonts w:eastAsia="Times New Roman" w:cs="Calibri"/>
            <w:color w:val="000000" w:themeColor="text1"/>
            <w:kern w:val="0"/>
            <w14:ligatures w14:val="none"/>
          </w:rPr>
          <w:t>https://peer.asee.org/35475</w:t>
        </w:r>
      </w:hyperlink>
      <w:r w:rsidR="009E17CB" w:rsidRPr="00AF0956">
        <w:rPr>
          <w:rFonts w:eastAsia="Times New Roman" w:cs="Calibri"/>
          <w:kern w:val="0"/>
          <w14:ligatures w14:val="none"/>
        </w:rPr>
        <w:t xml:space="preserve"> </w:t>
      </w:r>
    </w:p>
    <w:p w14:paraId="4F5A4CFA" w14:textId="3E3067AC" w:rsidR="00340531" w:rsidRPr="00AF0956" w:rsidRDefault="0088018F" w:rsidP="007113F4">
      <w:pPr>
        <w:spacing w:before="100" w:beforeAutospacing="1" w:after="100" w:afterAutospacing="1" w:line="240" w:lineRule="auto"/>
        <w:ind w:left="720" w:hanging="720"/>
        <w:rPr>
          <w:rFonts w:eastAsia="Times New Roman" w:cs="Calibri"/>
          <w:kern w:val="0"/>
          <w14:ligatures w14:val="none"/>
        </w:rPr>
      </w:pPr>
      <w:r w:rsidRPr="00AF0956">
        <w:rPr>
          <w:rFonts w:eastAsia="Times New Roman" w:cs="Calibri"/>
          <w:kern w:val="0"/>
          <w14:ligatures w14:val="none"/>
        </w:rPr>
        <w:t>Cuddy, M. M., Young, A., Gelman, A., Swanson, D. B., Johnson, D. A., Dillon, G. F., &amp; Clauser, B. E. (2017). Exploring the Relationships Between USMLE Performance and Disciplinary Action in Practice: A Validity Study of Score Inferences From a Licensure Examination. </w:t>
      </w:r>
      <w:r w:rsidRPr="00AF0956">
        <w:rPr>
          <w:rFonts w:eastAsia="Times New Roman" w:cs="Calibri"/>
          <w:i/>
          <w:iCs/>
          <w:kern w:val="0"/>
          <w14:ligatures w14:val="none"/>
        </w:rPr>
        <w:t xml:space="preserve">Academic </w:t>
      </w:r>
      <w:r w:rsidR="00350CAE" w:rsidRPr="00AF0956">
        <w:rPr>
          <w:rFonts w:eastAsia="Times New Roman" w:cs="Calibri"/>
          <w:i/>
          <w:iCs/>
          <w:kern w:val="0"/>
          <w14:ligatures w14:val="none"/>
        </w:rPr>
        <w:t>M</w:t>
      </w:r>
      <w:r w:rsidRPr="00AF0956">
        <w:rPr>
          <w:rFonts w:eastAsia="Times New Roman" w:cs="Calibri"/>
          <w:i/>
          <w:iCs/>
          <w:kern w:val="0"/>
          <w14:ligatures w14:val="none"/>
        </w:rPr>
        <w:t>edicine :</w:t>
      </w:r>
      <w:r w:rsidR="00350CAE" w:rsidRPr="00AF0956">
        <w:rPr>
          <w:rFonts w:eastAsia="Times New Roman" w:cs="Calibri"/>
          <w:i/>
          <w:iCs/>
          <w:kern w:val="0"/>
          <w14:ligatures w14:val="none"/>
        </w:rPr>
        <w:t>J</w:t>
      </w:r>
      <w:r w:rsidRPr="00AF0956">
        <w:rPr>
          <w:rFonts w:eastAsia="Times New Roman" w:cs="Calibri"/>
          <w:i/>
          <w:iCs/>
          <w:kern w:val="0"/>
          <w14:ligatures w14:val="none"/>
        </w:rPr>
        <w:t>ournal of the Association of American Medical Colleges</w:t>
      </w:r>
      <w:r w:rsidRPr="00AF0956">
        <w:rPr>
          <w:rFonts w:eastAsia="Times New Roman" w:cs="Calibri"/>
          <w:kern w:val="0"/>
          <w14:ligatures w14:val="none"/>
        </w:rPr>
        <w:t>, </w:t>
      </w:r>
      <w:r w:rsidRPr="00AF0956">
        <w:rPr>
          <w:rFonts w:eastAsia="Times New Roman" w:cs="Calibri"/>
          <w:i/>
          <w:iCs/>
          <w:kern w:val="0"/>
          <w14:ligatures w14:val="none"/>
        </w:rPr>
        <w:t>92</w:t>
      </w:r>
      <w:r w:rsidRPr="00AF0956">
        <w:rPr>
          <w:rFonts w:eastAsia="Times New Roman" w:cs="Calibri"/>
          <w:kern w:val="0"/>
          <w14:ligatures w14:val="none"/>
        </w:rPr>
        <w:t xml:space="preserve">(12), 1780–1785. </w:t>
      </w:r>
      <w:hyperlink r:id="rId14" w:history="1">
        <w:r w:rsidRPr="00AF0956">
          <w:rPr>
            <w:rStyle w:val="Hyperlink"/>
            <w:rFonts w:eastAsia="Times New Roman" w:cs="Calibri"/>
            <w:color w:val="000000" w:themeColor="text1"/>
            <w:kern w:val="0"/>
            <w14:ligatures w14:val="none"/>
          </w:rPr>
          <w:t>https://doi.org/10.1097/ACM.0000000000001747</w:t>
        </w:r>
      </w:hyperlink>
      <w:r w:rsidRPr="00AF0956">
        <w:rPr>
          <w:rFonts w:eastAsia="Times New Roman" w:cs="Calibri"/>
          <w:kern w:val="0"/>
          <w14:ligatures w14:val="none"/>
        </w:rPr>
        <w:t xml:space="preserve"> </w:t>
      </w:r>
    </w:p>
    <w:p w14:paraId="5E9523AE" w14:textId="204DC641" w:rsidR="004C358F" w:rsidRPr="00AF0956" w:rsidRDefault="004C358F" w:rsidP="007113F4">
      <w:pPr>
        <w:spacing w:before="100" w:beforeAutospacing="1" w:after="100" w:afterAutospacing="1" w:line="240" w:lineRule="auto"/>
        <w:ind w:left="720" w:hanging="720"/>
        <w:rPr>
          <w:rFonts w:eastAsia="Times New Roman" w:cs="Calibri"/>
          <w:kern w:val="0"/>
          <w14:ligatures w14:val="none"/>
        </w:rPr>
      </w:pPr>
      <w:r w:rsidRPr="00AF0956">
        <w:rPr>
          <w:rFonts w:eastAsia="Times New Roman" w:cs="Calibri"/>
          <w:kern w:val="0"/>
          <w14:ligatures w14:val="none"/>
        </w:rPr>
        <w:t>Davis-Becker, S., &amp; Buckendahl, C. W. (2017). </w:t>
      </w:r>
      <w:r w:rsidRPr="00AF0956">
        <w:rPr>
          <w:rFonts w:eastAsia="Times New Roman" w:cs="Calibri"/>
          <w:i/>
          <w:iCs/>
          <w:kern w:val="0"/>
          <w14:ligatures w14:val="none"/>
        </w:rPr>
        <w:t xml:space="preserve">Testing in the professions: </w:t>
      </w:r>
      <w:r w:rsidR="006B131C" w:rsidRPr="00AF0956">
        <w:rPr>
          <w:rFonts w:eastAsia="Times New Roman" w:cs="Calibri"/>
          <w:i/>
          <w:iCs/>
          <w:kern w:val="0"/>
          <w14:ligatures w14:val="none"/>
        </w:rPr>
        <w:t>C</w:t>
      </w:r>
      <w:r w:rsidRPr="00AF0956">
        <w:rPr>
          <w:rFonts w:eastAsia="Times New Roman" w:cs="Calibri"/>
          <w:i/>
          <w:iCs/>
          <w:kern w:val="0"/>
          <w14:ligatures w14:val="none"/>
        </w:rPr>
        <w:t>redentialing policies and practice</w:t>
      </w:r>
      <w:r w:rsidRPr="00AF0956">
        <w:rPr>
          <w:rFonts w:eastAsia="Times New Roman" w:cs="Calibri"/>
          <w:kern w:val="0"/>
          <w14:ligatures w14:val="none"/>
        </w:rPr>
        <w:t>. Taylor &amp; Francis.</w:t>
      </w:r>
    </w:p>
    <w:p w14:paraId="76CFB641" w14:textId="724DEE65" w:rsidR="001A7FED" w:rsidRPr="00AF0956" w:rsidRDefault="001A7FED" w:rsidP="007113F4">
      <w:pPr>
        <w:spacing w:before="100" w:beforeAutospacing="1" w:after="100" w:afterAutospacing="1" w:line="240" w:lineRule="auto"/>
        <w:ind w:left="720" w:hanging="720"/>
        <w:rPr>
          <w:rFonts w:eastAsia="Times New Roman" w:cs="Calibri"/>
          <w:kern w:val="0"/>
          <w14:ligatures w14:val="none"/>
        </w:rPr>
      </w:pPr>
      <w:r w:rsidRPr="00AF0956">
        <w:rPr>
          <w:rFonts w:eastAsia="Times New Roman" w:cs="Calibri"/>
          <w:kern w:val="0"/>
          <w14:ligatures w14:val="none"/>
        </w:rPr>
        <w:t>Frank, J. R., Taber, S., van Zanten, M., Scheele, F., Blouin, D., &amp; International Health Professions Accreditation Outcomes Consortium. (2020). The role of accreditation in 21st century health professions education: report of an International Consensus Group. </w:t>
      </w:r>
      <w:r w:rsidRPr="00AF0956">
        <w:rPr>
          <w:rFonts w:eastAsia="Times New Roman" w:cs="Calibri"/>
          <w:i/>
          <w:iCs/>
          <w:kern w:val="0"/>
          <w14:ligatures w14:val="none"/>
        </w:rPr>
        <w:t>BMC Medical Education</w:t>
      </w:r>
      <w:r w:rsidRPr="00AF0956">
        <w:rPr>
          <w:rFonts w:eastAsia="Times New Roman" w:cs="Calibri"/>
          <w:kern w:val="0"/>
          <w14:ligatures w14:val="none"/>
        </w:rPr>
        <w:t>, </w:t>
      </w:r>
      <w:r w:rsidRPr="00AF0956">
        <w:rPr>
          <w:rFonts w:eastAsia="Times New Roman" w:cs="Calibri"/>
          <w:i/>
          <w:iCs/>
          <w:kern w:val="0"/>
          <w14:ligatures w14:val="none"/>
        </w:rPr>
        <w:t>20</w:t>
      </w:r>
      <w:r w:rsidRPr="00AF0956">
        <w:rPr>
          <w:rFonts w:eastAsia="Times New Roman" w:cs="Calibri"/>
          <w:kern w:val="0"/>
          <w14:ligatures w14:val="none"/>
        </w:rPr>
        <w:t>, 1-9.</w:t>
      </w:r>
      <w:r w:rsidRPr="00AF0956">
        <w:rPr>
          <w:rFonts w:eastAsia="Times New Roman" w:cs="Calibri"/>
          <w:i/>
          <w:iCs/>
          <w:kern w:val="0"/>
          <w14:ligatures w14:val="none"/>
        </w:rPr>
        <w:t xml:space="preserve"> </w:t>
      </w:r>
      <w:hyperlink r:id="rId15" w:history="1">
        <w:r w:rsidRPr="00AF0956">
          <w:rPr>
            <w:rStyle w:val="Hyperlink"/>
            <w:rFonts w:eastAsia="Times New Roman" w:cs="Calibri"/>
            <w:color w:val="000000" w:themeColor="text1"/>
            <w:kern w:val="0"/>
            <w14:ligatures w14:val="none"/>
          </w:rPr>
          <w:t>https://doi.org/10.1186/s12909-020-02121-5</w:t>
        </w:r>
      </w:hyperlink>
    </w:p>
    <w:p w14:paraId="0909B465" w14:textId="01781524" w:rsidR="005F0325" w:rsidRPr="00AF0956" w:rsidRDefault="005F0325" w:rsidP="007113F4">
      <w:pPr>
        <w:spacing w:before="100" w:beforeAutospacing="1" w:after="100" w:afterAutospacing="1" w:line="240" w:lineRule="auto"/>
        <w:ind w:left="720" w:hanging="720"/>
        <w:rPr>
          <w:rFonts w:eastAsia="Times New Roman" w:cs="Calibri"/>
          <w:kern w:val="0"/>
          <w14:ligatures w14:val="none"/>
        </w:rPr>
      </w:pPr>
      <w:r w:rsidRPr="00AF0956">
        <w:rPr>
          <w:rFonts w:eastAsia="Times New Roman" w:cs="Calibri"/>
          <w:kern w:val="0"/>
          <w14:ligatures w14:val="none"/>
        </w:rPr>
        <w:t xml:space="preserve">Jankowski, N. A., Timmer, J. D., Kinzie, J., &amp; Kuh, G. D. (2018). </w:t>
      </w:r>
      <w:r w:rsidRPr="00AF0956">
        <w:rPr>
          <w:rFonts w:eastAsia="Times New Roman" w:cs="Calibri"/>
          <w:i/>
          <w:iCs/>
          <w:kern w:val="0"/>
          <w14:ligatures w14:val="none"/>
        </w:rPr>
        <w:t>Assessment that matters: Trending toward practices that document authentic student learning</w:t>
      </w:r>
      <w:r w:rsidRPr="00AF0956">
        <w:rPr>
          <w:rFonts w:eastAsia="Times New Roman" w:cs="Calibri"/>
          <w:kern w:val="0"/>
          <w14:ligatures w14:val="none"/>
        </w:rPr>
        <w:t>. University of Illinois and Indiana University, National Institute for Learning Outcomes Assessment.</w:t>
      </w:r>
    </w:p>
    <w:p w14:paraId="04A3AF8A" w14:textId="2D822D15" w:rsidR="005F0325" w:rsidRPr="00AF0956" w:rsidRDefault="005F0325" w:rsidP="007113F4">
      <w:pPr>
        <w:spacing w:before="100" w:beforeAutospacing="1" w:after="100" w:afterAutospacing="1" w:line="240" w:lineRule="auto"/>
        <w:ind w:left="720" w:hanging="720"/>
        <w:rPr>
          <w:rFonts w:eastAsia="Times New Roman" w:cs="Calibri"/>
          <w:kern w:val="0"/>
          <w14:ligatures w14:val="none"/>
        </w:rPr>
      </w:pPr>
      <w:r w:rsidRPr="00AF0956">
        <w:rPr>
          <w:rFonts w:eastAsia="Times New Roman" w:cs="Calibri"/>
          <w:kern w:val="0"/>
          <w14:ligatures w14:val="none"/>
        </w:rPr>
        <w:t xml:space="preserve">Kinzie, J., &amp; Kuh, G. D. (2017). Reframing student success in college: Advancing know-what and know-how. </w:t>
      </w:r>
      <w:r w:rsidRPr="00AF0956">
        <w:rPr>
          <w:rFonts w:eastAsia="Times New Roman" w:cs="Calibri"/>
          <w:i/>
          <w:iCs/>
          <w:kern w:val="0"/>
          <w14:ligatures w14:val="none"/>
        </w:rPr>
        <w:t>Change: The Magazine of Higher Learning</w:t>
      </w:r>
      <w:r w:rsidRPr="00AF0956">
        <w:rPr>
          <w:rFonts w:eastAsia="Times New Roman" w:cs="Calibri"/>
          <w:kern w:val="0"/>
          <w14:ligatures w14:val="none"/>
        </w:rPr>
        <w:t xml:space="preserve">, </w:t>
      </w:r>
      <w:r w:rsidRPr="00AF0956">
        <w:rPr>
          <w:rFonts w:eastAsia="Times New Roman" w:cs="Calibri"/>
          <w:i/>
          <w:iCs/>
          <w:kern w:val="0"/>
          <w14:ligatures w14:val="none"/>
        </w:rPr>
        <w:t>49</w:t>
      </w:r>
      <w:r w:rsidRPr="00AF0956">
        <w:rPr>
          <w:rFonts w:eastAsia="Times New Roman" w:cs="Calibri"/>
          <w:kern w:val="0"/>
          <w14:ligatures w14:val="none"/>
        </w:rPr>
        <w:t xml:space="preserve">(3), 19-27. </w:t>
      </w:r>
      <w:hyperlink r:id="rId16" w:tgtFrame="_blank" w:history="1">
        <w:r w:rsidRPr="00AF0956">
          <w:rPr>
            <w:rFonts w:eastAsia="Times New Roman" w:cs="Calibri"/>
            <w:kern w:val="0"/>
            <w:u w:val="single"/>
            <w14:ligatures w14:val="none"/>
          </w:rPr>
          <w:t>https://doi.org/10.1080/00091383.2017.1321429</w:t>
        </w:r>
      </w:hyperlink>
      <w:r w:rsidR="00350CAE" w:rsidRPr="00AF0956">
        <w:t xml:space="preserve"> </w:t>
      </w:r>
    </w:p>
    <w:p w14:paraId="2092A3E6" w14:textId="077EFB7A" w:rsidR="005F0325" w:rsidRPr="00AF0956" w:rsidRDefault="005F0325" w:rsidP="007113F4">
      <w:pPr>
        <w:spacing w:before="100" w:beforeAutospacing="1" w:after="100" w:afterAutospacing="1" w:line="240" w:lineRule="auto"/>
        <w:ind w:left="720" w:hanging="720"/>
        <w:rPr>
          <w:rFonts w:eastAsia="Times New Roman" w:cs="Calibri"/>
          <w:kern w:val="0"/>
          <w14:ligatures w14:val="none"/>
        </w:rPr>
      </w:pPr>
      <w:r w:rsidRPr="00AF0956">
        <w:rPr>
          <w:rFonts w:eastAsia="Times New Roman" w:cs="Calibri"/>
          <w:kern w:val="0"/>
          <w14:ligatures w14:val="none"/>
        </w:rPr>
        <w:t xml:space="preserve">Roberts, J. (2018). Professional staff contributions to student retention and success in higher education. </w:t>
      </w:r>
      <w:r w:rsidRPr="00AF0956">
        <w:rPr>
          <w:rFonts w:eastAsia="Times New Roman" w:cs="Calibri"/>
          <w:i/>
          <w:iCs/>
          <w:kern w:val="0"/>
          <w14:ligatures w14:val="none"/>
        </w:rPr>
        <w:t>Journal of Higher Education Policy and Management</w:t>
      </w:r>
      <w:r w:rsidRPr="00AF0956">
        <w:rPr>
          <w:rFonts w:eastAsia="Times New Roman" w:cs="Calibri"/>
          <w:kern w:val="0"/>
          <w14:ligatures w14:val="none"/>
        </w:rPr>
        <w:t xml:space="preserve">, </w:t>
      </w:r>
      <w:r w:rsidRPr="00AF0956">
        <w:rPr>
          <w:rFonts w:eastAsia="Times New Roman" w:cs="Calibri"/>
          <w:i/>
          <w:iCs/>
          <w:kern w:val="0"/>
          <w14:ligatures w14:val="none"/>
        </w:rPr>
        <w:t>40</w:t>
      </w:r>
      <w:r w:rsidRPr="00AF0956">
        <w:rPr>
          <w:rFonts w:eastAsia="Times New Roman" w:cs="Calibri"/>
          <w:kern w:val="0"/>
          <w14:ligatures w14:val="none"/>
        </w:rPr>
        <w:t xml:space="preserve">(2), 140-153. </w:t>
      </w:r>
      <w:hyperlink r:id="rId17" w:tgtFrame="_blank" w:history="1">
        <w:r w:rsidRPr="00AF0956">
          <w:rPr>
            <w:rFonts w:eastAsia="Times New Roman" w:cs="Calibri"/>
            <w:kern w:val="0"/>
            <w:u w:val="single"/>
            <w14:ligatures w14:val="none"/>
          </w:rPr>
          <w:t>https://doi.org/10.1080/1360080X.2018.1428409</w:t>
        </w:r>
      </w:hyperlink>
      <w:r w:rsidR="00350CAE" w:rsidRPr="00AF0956">
        <w:t xml:space="preserve"> </w:t>
      </w:r>
    </w:p>
    <w:p w14:paraId="2C303427" w14:textId="594B5F90" w:rsidR="005F0325" w:rsidRPr="00350CAE" w:rsidRDefault="005F0325" w:rsidP="007113F4">
      <w:pPr>
        <w:spacing w:before="100" w:beforeAutospacing="1" w:after="100" w:afterAutospacing="1" w:line="240" w:lineRule="auto"/>
        <w:ind w:left="720" w:hanging="720"/>
        <w:rPr>
          <w:rFonts w:eastAsia="Times New Roman" w:cs="Calibri"/>
          <w:kern w:val="0"/>
          <w14:ligatures w14:val="none"/>
        </w:rPr>
      </w:pPr>
      <w:r w:rsidRPr="00AF0956">
        <w:rPr>
          <w:rFonts w:eastAsia="Times New Roman" w:cs="Calibri"/>
          <w:kern w:val="0"/>
          <w14:ligatures w14:val="none"/>
        </w:rPr>
        <w:t xml:space="preserve">York, T. T., Gibson, C., &amp; Rankin, S. (2015). Defining and measuring academic success. </w:t>
      </w:r>
      <w:r w:rsidRPr="00AF0956">
        <w:rPr>
          <w:rFonts w:eastAsia="Times New Roman" w:cs="Calibri"/>
          <w:i/>
          <w:iCs/>
          <w:kern w:val="0"/>
          <w14:ligatures w14:val="none"/>
        </w:rPr>
        <w:t>Practical Assessment, Research, and Evaluation</w:t>
      </w:r>
      <w:r w:rsidRPr="00AF0956">
        <w:rPr>
          <w:rFonts w:eastAsia="Times New Roman" w:cs="Calibri"/>
          <w:kern w:val="0"/>
          <w14:ligatures w14:val="none"/>
        </w:rPr>
        <w:t xml:space="preserve">, </w:t>
      </w:r>
      <w:r w:rsidRPr="00AF0956">
        <w:rPr>
          <w:rFonts w:eastAsia="Times New Roman" w:cs="Calibri"/>
          <w:i/>
          <w:iCs/>
          <w:kern w:val="0"/>
          <w14:ligatures w14:val="none"/>
        </w:rPr>
        <w:t>20</w:t>
      </w:r>
      <w:r w:rsidRPr="00AF0956">
        <w:rPr>
          <w:rFonts w:eastAsia="Times New Roman" w:cs="Calibri"/>
          <w:kern w:val="0"/>
          <w14:ligatures w14:val="none"/>
        </w:rPr>
        <w:t xml:space="preserve">(5), 1-20. </w:t>
      </w:r>
      <w:hyperlink r:id="rId18" w:tgtFrame="_blank" w:history="1">
        <w:r w:rsidRPr="00AF0956">
          <w:rPr>
            <w:rFonts w:eastAsia="Times New Roman" w:cs="Calibri"/>
            <w:kern w:val="0"/>
            <w:u w:val="single"/>
            <w14:ligatures w14:val="none"/>
          </w:rPr>
          <w:t>https://doi.org/10.7275/hz5x-tx03</w:t>
        </w:r>
      </w:hyperlink>
    </w:p>
    <w:p w14:paraId="23AF83B0" w14:textId="4F6B9B41" w:rsidR="0024443E" w:rsidRPr="005B5E18" w:rsidRDefault="0024443E" w:rsidP="005B5E18">
      <w:pPr>
        <w:spacing w:before="100" w:beforeAutospacing="1" w:after="100" w:afterAutospacing="1" w:line="240" w:lineRule="auto"/>
        <w:rPr>
          <w:rFonts w:eastAsia="Times New Roman" w:cs="Calibri"/>
          <w:color w:val="auto"/>
          <w:kern w:val="0"/>
          <w14:ligatures w14:val="none"/>
        </w:rPr>
      </w:pPr>
    </w:p>
    <w:sectPr w:rsidR="0024443E" w:rsidRPr="005B5E18" w:rsidSect="003A39CA">
      <w:footerReference w:type="default" r:id="rId19"/>
      <w:pgSz w:w="12240" w:h="15840"/>
      <w:pgMar w:top="1440" w:right="1440" w:bottom="1440" w:left="1440" w:header="720" w:footer="720" w:gutter="0"/>
      <w:pgNumType w:start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4069D5" w14:textId="77777777" w:rsidR="008831B7" w:rsidRDefault="008831B7" w:rsidP="009676AD">
      <w:r>
        <w:separator/>
      </w:r>
    </w:p>
  </w:endnote>
  <w:endnote w:type="continuationSeparator" w:id="0">
    <w:p w14:paraId="3E26C713" w14:textId="77777777" w:rsidR="008831B7" w:rsidRDefault="008831B7" w:rsidP="009676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11257534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BC65D54" w14:textId="20FA653E" w:rsidR="00407199" w:rsidRDefault="00407199" w:rsidP="009676AD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657DE1F" w14:textId="77777777" w:rsidR="00407199" w:rsidRDefault="00407199" w:rsidP="009676A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F0BDD9" w14:textId="77777777" w:rsidR="008831B7" w:rsidRDefault="008831B7" w:rsidP="009676AD">
      <w:r>
        <w:separator/>
      </w:r>
    </w:p>
  </w:footnote>
  <w:footnote w:type="continuationSeparator" w:id="0">
    <w:p w14:paraId="7F737406" w14:textId="77777777" w:rsidR="008831B7" w:rsidRDefault="008831B7" w:rsidP="009676A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355ED2"/>
    <w:multiLevelType w:val="multilevel"/>
    <w:tmpl w:val="DFE60B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A00E12"/>
    <w:multiLevelType w:val="multilevel"/>
    <w:tmpl w:val="124E8D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E97C71"/>
    <w:multiLevelType w:val="multilevel"/>
    <w:tmpl w:val="857ED7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9FD545A"/>
    <w:multiLevelType w:val="multilevel"/>
    <w:tmpl w:val="70F856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1BC0934"/>
    <w:multiLevelType w:val="multilevel"/>
    <w:tmpl w:val="98DA5D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43F70F2"/>
    <w:multiLevelType w:val="multilevel"/>
    <w:tmpl w:val="70F03A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87D329B"/>
    <w:multiLevelType w:val="multilevel"/>
    <w:tmpl w:val="4036D1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1AF146E5"/>
    <w:multiLevelType w:val="multilevel"/>
    <w:tmpl w:val="F1F854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3A24528"/>
    <w:multiLevelType w:val="multilevel"/>
    <w:tmpl w:val="9CF018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261E1434"/>
    <w:multiLevelType w:val="multilevel"/>
    <w:tmpl w:val="73C6E0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6927394"/>
    <w:multiLevelType w:val="multilevel"/>
    <w:tmpl w:val="8AE4B5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7C3306F"/>
    <w:multiLevelType w:val="multilevel"/>
    <w:tmpl w:val="8DDEE6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CAF760A"/>
    <w:multiLevelType w:val="multilevel"/>
    <w:tmpl w:val="7B26C1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CF60782"/>
    <w:multiLevelType w:val="multilevel"/>
    <w:tmpl w:val="62A25F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E52377E"/>
    <w:multiLevelType w:val="multilevel"/>
    <w:tmpl w:val="11B6EF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5205962"/>
    <w:multiLevelType w:val="multilevel"/>
    <w:tmpl w:val="9CD061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63421EC"/>
    <w:multiLevelType w:val="multilevel"/>
    <w:tmpl w:val="0936AA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6A212EA"/>
    <w:multiLevelType w:val="hybridMultilevel"/>
    <w:tmpl w:val="2CB466CE"/>
    <w:lvl w:ilvl="0" w:tplc="65560CEE">
      <w:start w:val="1"/>
      <w:numFmt w:val="decimal"/>
      <w:lvlText w:val="%1."/>
      <w:lvlJc w:val="left"/>
      <w:pPr>
        <w:ind w:left="360" w:hanging="360"/>
      </w:pPr>
      <w:rPr>
        <w:rFonts w:ascii="Calibri" w:hAnsi="Calibri" w:hint="default"/>
        <w:color w:val="000000" w:themeColor="text1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38F71DBE"/>
    <w:multiLevelType w:val="multilevel"/>
    <w:tmpl w:val="88B068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A2A17CF"/>
    <w:multiLevelType w:val="multilevel"/>
    <w:tmpl w:val="1604E5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BBD7BD6"/>
    <w:multiLevelType w:val="multilevel"/>
    <w:tmpl w:val="2E7E04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0DF62CD"/>
    <w:multiLevelType w:val="hybridMultilevel"/>
    <w:tmpl w:val="A80EBCE6"/>
    <w:lvl w:ilvl="0" w:tplc="002E625C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40E4226E"/>
    <w:multiLevelType w:val="multilevel"/>
    <w:tmpl w:val="28D837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6CA72BC"/>
    <w:multiLevelType w:val="multilevel"/>
    <w:tmpl w:val="F2C2B4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6F56441"/>
    <w:multiLevelType w:val="multilevel"/>
    <w:tmpl w:val="A4F016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81C1168"/>
    <w:multiLevelType w:val="multilevel"/>
    <w:tmpl w:val="CF9AC8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DA15581"/>
    <w:multiLevelType w:val="multilevel"/>
    <w:tmpl w:val="2004B51E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 w:tentative="1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</w:lvl>
    <w:lvl w:ilvl="3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entative="1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</w:lvl>
    <w:lvl w:ilvl="5" w:tentative="1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</w:lvl>
    <w:lvl w:ilvl="6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entative="1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</w:lvl>
    <w:lvl w:ilvl="8" w:tentative="1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</w:lvl>
  </w:abstractNum>
  <w:abstractNum w:abstractNumId="27" w15:restartNumberingAfterBreak="0">
    <w:nsid w:val="53897E0A"/>
    <w:multiLevelType w:val="multilevel"/>
    <w:tmpl w:val="2C669F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4E22CF5"/>
    <w:multiLevelType w:val="hybridMultilevel"/>
    <w:tmpl w:val="F5C2CF18"/>
    <w:lvl w:ilvl="0" w:tplc="65560CEE">
      <w:start w:val="1"/>
      <w:numFmt w:val="decimal"/>
      <w:lvlText w:val="%1."/>
      <w:lvlJc w:val="left"/>
      <w:pPr>
        <w:ind w:left="360" w:hanging="360"/>
      </w:pPr>
      <w:rPr>
        <w:rFonts w:ascii="Calibri" w:hAnsi="Calibri" w:hint="default"/>
        <w:color w:val="000000" w:themeColor="text1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577A2219"/>
    <w:multiLevelType w:val="multilevel"/>
    <w:tmpl w:val="C6D8D1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9A546C2"/>
    <w:multiLevelType w:val="multilevel"/>
    <w:tmpl w:val="8AAC5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BB85FF3"/>
    <w:multiLevelType w:val="multilevel"/>
    <w:tmpl w:val="8D8464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186149D"/>
    <w:multiLevelType w:val="multilevel"/>
    <w:tmpl w:val="EE526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62830DA8"/>
    <w:multiLevelType w:val="multilevel"/>
    <w:tmpl w:val="3A2278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673B0862"/>
    <w:multiLevelType w:val="multilevel"/>
    <w:tmpl w:val="7A26A4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7EA3AB0"/>
    <w:multiLevelType w:val="multilevel"/>
    <w:tmpl w:val="634A78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8067DE9"/>
    <w:multiLevelType w:val="multilevel"/>
    <w:tmpl w:val="8ED89E54"/>
    <w:lvl w:ilvl="0">
      <w:start w:val="1"/>
      <w:numFmt w:val="decimal"/>
      <w:pStyle w:val="Heading4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9110486"/>
    <w:multiLevelType w:val="multilevel"/>
    <w:tmpl w:val="4EACA1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6BAA36BA"/>
    <w:multiLevelType w:val="multilevel"/>
    <w:tmpl w:val="76AC3C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6EBF549C"/>
    <w:multiLevelType w:val="multilevel"/>
    <w:tmpl w:val="34D082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7208723F"/>
    <w:multiLevelType w:val="multilevel"/>
    <w:tmpl w:val="4DE015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786F7A2F"/>
    <w:multiLevelType w:val="multilevel"/>
    <w:tmpl w:val="455EAB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78BC223C"/>
    <w:multiLevelType w:val="multilevel"/>
    <w:tmpl w:val="3C7CCC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7C052E25"/>
    <w:multiLevelType w:val="multilevel"/>
    <w:tmpl w:val="D7ACA2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7F774087"/>
    <w:multiLevelType w:val="multilevel"/>
    <w:tmpl w:val="753AC9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num w:numId="1" w16cid:durableId="909466854">
    <w:abstractNumId w:val="36"/>
  </w:num>
  <w:num w:numId="2" w16cid:durableId="600067621">
    <w:abstractNumId w:val="32"/>
  </w:num>
  <w:num w:numId="3" w16cid:durableId="988480099">
    <w:abstractNumId w:val="9"/>
  </w:num>
  <w:num w:numId="4" w16cid:durableId="1264800340">
    <w:abstractNumId w:val="19"/>
  </w:num>
  <w:num w:numId="5" w16cid:durableId="2112629391">
    <w:abstractNumId w:val="13"/>
  </w:num>
  <w:num w:numId="6" w16cid:durableId="474875972">
    <w:abstractNumId w:val="37"/>
  </w:num>
  <w:num w:numId="7" w16cid:durableId="1557398700">
    <w:abstractNumId w:val="31"/>
  </w:num>
  <w:num w:numId="8" w16cid:durableId="1235624601">
    <w:abstractNumId w:val="43"/>
  </w:num>
  <w:num w:numId="9" w16cid:durableId="45108375">
    <w:abstractNumId w:val="4"/>
  </w:num>
  <w:num w:numId="10" w16cid:durableId="199781257">
    <w:abstractNumId w:val="3"/>
  </w:num>
  <w:num w:numId="11" w16cid:durableId="667488414">
    <w:abstractNumId w:val="11"/>
  </w:num>
  <w:num w:numId="12" w16cid:durableId="672143705">
    <w:abstractNumId w:val="10"/>
  </w:num>
  <w:num w:numId="13" w16cid:durableId="345641884">
    <w:abstractNumId w:val="7"/>
  </w:num>
  <w:num w:numId="14" w16cid:durableId="1368413575">
    <w:abstractNumId w:val="1"/>
  </w:num>
  <w:num w:numId="15" w16cid:durableId="663625948">
    <w:abstractNumId w:val="2"/>
  </w:num>
  <w:num w:numId="16" w16cid:durableId="1776824909">
    <w:abstractNumId w:val="30"/>
  </w:num>
  <w:num w:numId="17" w16cid:durableId="658730333">
    <w:abstractNumId w:val="41"/>
  </w:num>
  <w:num w:numId="18" w16cid:durableId="2114469663">
    <w:abstractNumId w:val="17"/>
  </w:num>
  <w:num w:numId="19" w16cid:durableId="997271649">
    <w:abstractNumId w:val="28"/>
  </w:num>
  <w:num w:numId="20" w16cid:durableId="32535383">
    <w:abstractNumId w:val="18"/>
  </w:num>
  <w:num w:numId="21" w16cid:durableId="1551455266">
    <w:abstractNumId w:val="40"/>
  </w:num>
  <w:num w:numId="22" w16cid:durableId="1990136298">
    <w:abstractNumId w:val="29"/>
  </w:num>
  <w:num w:numId="23" w16cid:durableId="1777017356">
    <w:abstractNumId w:val="34"/>
  </w:num>
  <w:num w:numId="24" w16cid:durableId="427699864">
    <w:abstractNumId w:val="27"/>
  </w:num>
  <w:num w:numId="25" w16cid:durableId="43061918">
    <w:abstractNumId w:val="20"/>
  </w:num>
  <w:num w:numId="26" w16cid:durableId="1871841918">
    <w:abstractNumId w:val="39"/>
  </w:num>
  <w:num w:numId="27" w16cid:durableId="1237935191">
    <w:abstractNumId w:val="22"/>
  </w:num>
  <w:num w:numId="28" w16cid:durableId="30343453">
    <w:abstractNumId w:val="15"/>
  </w:num>
  <w:num w:numId="29" w16cid:durableId="1857034214">
    <w:abstractNumId w:val="35"/>
  </w:num>
  <w:num w:numId="30" w16cid:durableId="213465382">
    <w:abstractNumId w:val="5"/>
  </w:num>
  <w:num w:numId="31" w16cid:durableId="1011948698">
    <w:abstractNumId w:val="14"/>
  </w:num>
  <w:num w:numId="32" w16cid:durableId="1856308166">
    <w:abstractNumId w:val="38"/>
  </w:num>
  <w:num w:numId="33" w16cid:durableId="747457770">
    <w:abstractNumId w:val="21"/>
  </w:num>
  <w:num w:numId="34" w16cid:durableId="718743079">
    <w:abstractNumId w:val="42"/>
  </w:num>
  <w:num w:numId="35" w16cid:durableId="446656754">
    <w:abstractNumId w:val="33"/>
  </w:num>
  <w:num w:numId="36" w16cid:durableId="1939481362">
    <w:abstractNumId w:val="25"/>
  </w:num>
  <w:num w:numId="37" w16cid:durableId="1177310106">
    <w:abstractNumId w:val="44"/>
  </w:num>
  <w:num w:numId="38" w16cid:durableId="1958175811">
    <w:abstractNumId w:val="0"/>
  </w:num>
  <w:num w:numId="39" w16cid:durableId="1086800904">
    <w:abstractNumId w:val="16"/>
  </w:num>
  <w:num w:numId="40" w16cid:durableId="467671829">
    <w:abstractNumId w:val="24"/>
  </w:num>
  <w:num w:numId="41" w16cid:durableId="219632655">
    <w:abstractNumId w:val="26"/>
  </w:num>
  <w:num w:numId="42" w16cid:durableId="1570772324">
    <w:abstractNumId w:val="12"/>
  </w:num>
  <w:num w:numId="43" w16cid:durableId="1629235910">
    <w:abstractNumId w:val="23"/>
  </w:num>
  <w:num w:numId="44" w16cid:durableId="1506628720">
    <w:abstractNumId w:val="6"/>
  </w:num>
  <w:num w:numId="45" w16cid:durableId="823861613">
    <w:abstractNumId w:val="8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61E0"/>
    <w:rsid w:val="000006CA"/>
    <w:rsid w:val="00000B57"/>
    <w:rsid w:val="00002C94"/>
    <w:rsid w:val="000043D8"/>
    <w:rsid w:val="00006E69"/>
    <w:rsid w:val="00007CF3"/>
    <w:rsid w:val="000100DB"/>
    <w:rsid w:val="0001158E"/>
    <w:rsid w:val="0001584C"/>
    <w:rsid w:val="00021336"/>
    <w:rsid w:val="00021E66"/>
    <w:rsid w:val="000230E6"/>
    <w:rsid w:val="000246A7"/>
    <w:rsid w:val="00025EA3"/>
    <w:rsid w:val="00027B85"/>
    <w:rsid w:val="000324B6"/>
    <w:rsid w:val="00037144"/>
    <w:rsid w:val="0003724B"/>
    <w:rsid w:val="000375EC"/>
    <w:rsid w:val="000446B6"/>
    <w:rsid w:val="000528FD"/>
    <w:rsid w:val="000537F3"/>
    <w:rsid w:val="000614C6"/>
    <w:rsid w:val="00063041"/>
    <w:rsid w:val="000647C2"/>
    <w:rsid w:val="00065186"/>
    <w:rsid w:val="00070D14"/>
    <w:rsid w:val="00071B58"/>
    <w:rsid w:val="00082960"/>
    <w:rsid w:val="00083BF1"/>
    <w:rsid w:val="00084219"/>
    <w:rsid w:val="00084A62"/>
    <w:rsid w:val="00087ED2"/>
    <w:rsid w:val="00091EB7"/>
    <w:rsid w:val="00093F4C"/>
    <w:rsid w:val="00094223"/>
    <w:rsid w:val="00094CBA"/>
    <w:rsid w:val="000A0948"/>
    <w:rsid w:val="000B0090"/>
    <w:rsid w:val="000B143F"/>
    <w:rsid w:val="000B1D72"/>
    <w:rsid w:val="000B3EB2"/>
    <w:rsid w:val="000B5101"/>
    <w:rsid w:val="000B61B9"/>
    <w:rsid w:val="000B7E3C"/>
    <w:rsid w:val="000C1B25"/>
    <w:rsid w:val="000C3E22"/>
    <w:rsid w:val="000C59D6"/>
    <w:rsid w:val="000C6A05"/>
    <w:rsid w:val="000C70F1"/>
    <w:rsid w:val="000C7123"/>
    <w:rsid w:val="000C7C1C"/>
    <w:rsid w:val="000D4EE2"/>
    <w:rsid w:val="000D6369"/>
    <w:rsid w:val="000D7756"/>
    <w:rsid w:val="000E0F72"/>
    <w:rsid w:val="000E3466"/>
    <w:rsid w:val="000F0196"/>
    <w:rsid w:val="000F0A45"/>
    <w:rsid w:val="000F4AE9"/>
    <w:rsid w:val="000F525E"/>
    <w:rsid w:val="000F719E"/>
    <w:rsid w:val="00100B39"/>
    <w:rsid w:val="00106360"/>
    <w:rsid w:val="00107B3A"/>
    <w:rsid w:val="0011155E"/>
    <w:rsid w:val="0011279A"/>
    <w:rsid w:val="00113137"/>
    <w:rsid w:val="001164F2"/>
    <w:rsid w:val="001204D4"/>
    <w:rsid w:val="0012191D"/>
    <w:rsid w:val="00123CD5"/>
    <w:rsid w:val="00131A0E"/>
    <w:rsid w:val="00141F32"/>
    <w:rsid w:val="0014473E"/>
    <w:rsid w:val="00144D13"/>
    <w:rsid w:val="00144F25"/>
    <w:rsid w:val="001460A3"/>
    <w:rsid w:val="001460D7"/>
    <w:rsid w:val="00147040"/>
    <w:rsid w:val="0015181A"/>
    <w:rsid w:val="00152718"/>
    <w:rsid w:val="00153D35"/>
    <w:rsid w:val="001544E5"/>
    <w:rsid w:val="00154743"/>
    <w:rsid w:val="00154F10"/>
    <w:rsid w:val="00154F34"/>
    <w:rsid w:val="0015613A"/>
    <w:rsid w:val="001563CD"/>
    <w:rsid w:val="00161A39"/>
    <w:rsid w:val="00164038"/>
    <w:rsid w:val="00165304"/>
    <w:rsid w:val="00166694"/>
    <w:rsid w:val="00170DF1"/>
    <w:rsid w:val="00172345"/>
    <w:rsid w:val="001724E8"/>
    <w:rsid w:val="00173617"/>
    <w:rsid w:val="00176843"/>
    <w:rsid w:val="00176B68"/>
    <w:rsid w:val="00176FD3"/>
    <w:rsid w:val="00181CA4"/>
    <w:rsid w:val="00184DE5"/>
    <w:rsid w:val="00191DCF"/>
    <w:rsid w:val="00194162"/>
    <w:rsid w:val="00194B91"/>
    <w:rsid w:val="00196AC6"/>
    <w:rsid w:val="001A05FD"/>
    <w:rsid w:val="001A15C1"/>
    <w:rsid w:val="001A32AD"/>
    <w:rsid w:val="001A56E5"/>
    <w:rsid w:val="001A5784"/>
    <w:rsid w:val="001A74A1"/>
    <w:rsid w:val="001A7FED"/>
    <w:rsid w:val="001B06EA"/>
    <w:rsid w:val="001B15DA"/>
    <w:rsid w:val="001B1A5C"/>
    <w:rsid w:val="001B370B"/>
    <w:rsid w:val="001B4990"/>
    <w:rsid w:val="001B5218"/>
    <w:rsid w:val="001B5488"/>
    <w:rsid w:val="001B7839"/>
    <w:rsid w:val="001C009E"/>
    <w:rsid w:val="001C3140"/>
    <w:rsid w:val="001C7E70"/>
    <w:rsid w:val="001D0171"/>
    <w:rsid w:val="001D0CEF"/>
    <w:rsid w:val="001D0FA3"/>
    <w:rsid w:val="001D2DA2"/>
    <w:rsid w:val="001D4739"/>
    <w:rsid w:val="001E044C"/>
    <w:rsid w:val="001E137A"/>
    <w:rsid w:val="001E269C"/>
    <w:rsid w:val="001E7BEB"/>
    <w:rsid w:val="001F47FC"/>
    <w:rsid w:val="001F7D3F"/>
    <w:rsid w:val="00201BF2"/>
    <w:rsid w:val="002036FB"/>
    <w:rsid w:val="00203C84"/>
    <w:rsid w:val="002067AA"/>
    <w:rsid w:val="00206F34"/>
    <w:rsid w:val="0020701F"/>
    <w:rsid w:val="00207CB3"/>
    <w:rsid w:val="00211C84"/>
    <w:rsid w:val="00215235"/>
    <w:rsid w:val="00215800"/>
    <w:rsid w:val="00217917"/>
    <w:rsid w:val="002244B1"/>
    <w:rsid w:val="0023740F"/>
    <w:rsid w:val="00240159"/>
    <w:rsid w:val="0024443E"/>
    <w:rsid w:val="00245F0C"/>
    <w:rsid w:val="00246479"/>
    <w:rsid w:val="00247B5E"/>
    <w:rsid w:val="002500DD"/>
    <w:rsid w:val="00250F49"/>
    <w:rsid w:val="0025619E"/>
    <w:rsid w:val="00257350"/>
    <w:rsid w:val="002631B3"/>
    <w:rsid w:val="00273A0A"/>
    <w:rsid w:val="00273B10"/>
    <w:rsid w:val="00276D97"/>
    <w:rsid w:val="00287263"/>
    <w:rsid w:val="00291054"/>
    <w:rsid w:val="002919BD"/>
    <w:rsid w:val="002950ED"/>
    <w:rsid w:val="002A426F"/>
    <w:rsid w:val="002B1582"/>
    <w:rsid w:val="002B3249"/>
    <w:rsid w:val="002B4D0F"/>
    <w:rsid w:val="002B64D0"/>
    <w:rsid w:val="002B72B6"/>
    <w:rsid w:val="002B78C1"/>
    <w:rsid w:val="002B79D5"/>
    <w:rsid w:val="002C0F48"/>
    <w:rsid w:val="002C2BD8"/>
    <w:rsid w:val="002C3F15"/>
    <w:rsid w:val="002C5712"/>
    <w:rsid w:val="002D08DD"/>
    <w:rsid w:val="002D387E"/>
    <w:rsid w:val="002D3CC5"/>
    <w:rsid w:val="002D457B"/>
    <w:rsid w:val="002E0D9B"/>
    <w:rsid w:val="002E0E25"/>
    <w:rsid w:val="002E372F"/>
    <w:rsid w:val="002E48C7"/>
    <w:rsid w:val="002E6E0F"/>
    <w:rsid w:val="002E7236"/>
    <w:rsid w:val="002E7329"/>
    <w:rsid w:val="002E7694"/>
    <w:rsid w:val="002F3241"/>
    <w:rsid w:val="002F430C"/>
    <w:rsid w:val="002F4544"/>
    <w:rsid w:val="002F6584"/>
    <w:rsid w:val="002F77FF"/>
    <w:rsid w:val="00300249"/>
    <w:rsid w:val="00304FBD"/>
    <w:rsid w:val="003121A6"/>
    <w:rsid w:val="00312B49"/>
    <w:rsid w:val="00313580"/>
    <w:rsid w:val="00313617"/>
    <w:rsid w:val="00314A02"/>
    <w:rsid w:val="00317662"/>
    <w:rsid w:val="00320E72"/>
    <w:rsid w:val="00321D0C"/>
    <w:rsid w:val="00321FDF"/>
    <w:rsid w:val="00324237"/>
    <w:rsid w:val="00326873"/>
    <w:rsid w:val="00330CAD"/>
    <w:rsid w:val="003378D3"/>
    <w:rsid w:val="00340531"/>
    <w:rsid w:val="003411E1"/>
    <w:rsid w:val="00344B03"/>
    <w:rsid w:val="00346127"/>
    <w:rsid w:val="00350CAE"/>
    <w:rsid w:val="003545A3"/>
    <w:rsid w:val="00355393"/>
    <w:rsid w:val="00360722"/>
    <w:rsid w:val="00361DF1"/>
    <w:rsid w:val="003627B1"/>
    <w:rsid w:val="0036381D"/>
    <w:rsid w:val="00367C48"/>
    <w:rsid w:val="003701FC"/>
    <w:rsid w:val="00371F2C"/>
    <w:rsid w:val="0037331D"/>
    <w:rsid w:val="003733A2"/>
    <w:rsid w:val="00373AF3"/>
    <w:rsid w:val="00377CC6"/>
    <w:rsid w:val="003822D8"/>
    <w:rsid w:val="00382655"/>
    <w:rsid w:val="003835D2"/>
    <w:rsid w:val="00385498"/>
    <w:rsid w:val="0038692E"/>
    <w:rsid w:val="003921FC"/>
    <w:rsid w:val="003926C2"/>
    <w:rsid w:val="003931B5"/>
    <w:rsid w:val="00393F72"/>
    <w:rsid w:val="0039693A"/>
    <w:rsid w:val="00396FDF"/>
    <w:rsid w:val="00397A6E"/>
    <w:rsid w:val="003A03F2"/>
    <w:rsid w:val="003A12C7"/>
    <w:rsid w:val="003A156F"/>
    <w:rsid w:val="003A18C0"/>
    <w:rsid w:val="003A2F69"/>
    <w:rsid w:val="003A3457"/>
    <w:rsid w:val="003A39CA"/>
    <w:rsid w:val="003A4D58"/>
    <w:rsid w:val="003A6C37"/>
    <w:rsid w:val="003B61F5"/>
    <w:rsid w:val="003C3CBE"/>
    <w:rsid w:val="003C3EED"/>
    <w:rsid w:val="003C7851"/>
    <w:rsid w:val="003C798F"/>
    <w:rsid w:val="003D16A6"/>
    <w:rsid w:val="003D2A32"/>
    <w:rsid w:val="003D2DB0"/>
    <w:rsid w:val="003D3E0B"/>
    <w:rsid w:val="003D696B"/>
    <w:rsid w:val="003D6E9D"/>
    <w:rsid w:val="003D7916"/>
    <w:rsid w:val="003E02A4"/>
    <w:rsid w:val="003E147C"/>
    <w:rsid w:val="003E22C1"/>
    <w:rsid w:val="003E438E"/>
    <w:rsid w:val="003F0F0A"/>
    <w:rsid w:val="00400092"/>
    <w:rsid w:val="00405F9A"/>
    <w:rsid w:val="00407199"/>
    <w:rsid w:val="00412B3D"/>
    <w:rsid w:val="0041340A"/>
    <w:rsid w:val="00415637"/>
    <w:rsid w:val="00415E67"/>
    <w:rsid w:val="00420A49"/>
    <w:rsid w:val="004237C8"/>
    <w:rsid w:val="004256AB"/>
    <w:rsid w:val="0043109A"/>
    <w:rsid w:val="00436A76"/>
    <w:rsid w:val="0043734C"/>
    <w:rsid w:val="00440695"/>
    <w:rsid w:val="004414B9"/>
    <w:rsid w:val="0044294E"/>
    <w:rsid w:val="004447D3"/>
    <w:rsid w:val="004530B5"/>
    <w:rsid w:val="00454C8D"/>
    <w:rsid w:val="00457501"/>
    <w:rsid w:val="00457E7E"/>
    <w:rsid w:val="00460BA6"/>
    <w:rsid w:val="0046277E"/>
    <w:rsid w:val="00466036"/>
    <w:rsid w:val="004722A7"/>
    <w:rsid w:val="00472325"/>
    <w:rsid w:val="004724B8"/>
    <w:rsid w:val="004726CB"/>
    <w:rsid w:val="00472E0E"/>
    <w:rsid w:val="0047595D"/>
    <w:rsid w:val="004760CA"/>
    <w:rsid w:val="00481AC6"/>
    <w:rsid w:val="0049093D"/>
    <w:rsid w:val="00490FF7"/>
    <w:rsid w:val="00494510"/>
    <w:rsid w:val="00495A90"/>
    <w:rsid w:val="0049685F"/>
    <w:rsid w:val="00496897"/>
    <w:rsid w:val="004A03C5"/>
    <w:rsid w:val="004A2E5B"/>
    <w:rsid w:val="004A5688"/>
    <w:rsid w:val="004A6D93"/>
    <w:rsid w:val="004B13B7"/>
    <w:rsid w:val="004B1909"/>
    <w:rsid w:val="004B4CD9"/>
    <w:rsid w:val="004B7AC7"/>
    <w:rsid w:val="004C22BD"/>
    <w:rsid w:val="004C2D6A"/>
    <w:rsid w:val="004C358F"/>
    <w:rsid w:val="004C47EC"/>
    <w:rsid w:val="004C4CC6"/>
    <w:rsid w:val="004C588C"/>
    <w:rsid w:val="004C5899"/>
    <w:rsid w:val="004D0070"/>
    <w:rsid w:val="004D03B4"/>
    <w:rsid w:val="004D0FC1"/>
    <w:rsid w:val="004D1C0D"/>
    <w:rsid w:val="004D45A0"/>
    <w:rsid w:val="004D46EB"/>
    <w:rsid w:val="004D6D91"/>
    <w:rsid w:val="004E1625"/>
    <w:rsid w:val="004E6EDF"/>
    <w:rsid w:val="004F0C27"/>
    <w:rsid w:val="004F22A8"/>
    <w:rsid w:val="004F317D"/>
    <w:rsid w:val="004F3EEC"/>
    <w:rsid w:val="004F4F1A"/>
    <w:rsid w:val="00501603"/>
    <w:rsid w:val="0050291C"/>
    <w:rsid w:val="00504BFC"/>
    <w:rsid w:val="00506D89"/>
    <w:rsid w:val="00507305"/>
    <w:rsid w:val="00510831"/>
    <w:rsid w:val="00515241"/>
    <w:rsid w:val="0051541B"/>
    <w:rsid w:val="00516999"/>
    <w:rsid w:val="00517B52"/>
    <w:rsid w:val="00520875"/>
    <w:rsid w:val="00520B9D"/>
    <w:rsid w:val="0052184B"/>
    <w:rsid w:val="00522929"/>
    <w:rsid w:val="0052476A"/>
    <w:rsid w:val="0052686D"/>
    <w:rsid w:val="00537C2F"/>
    <w:rsid w:val="00540BAE"/>
    <w:rsid w:val="00542BD5"/>
    <w:rsid w:val="00545987"/>
    <w:rsid w:val="00545DCC"/>
    <w:rsid w:val="0054697F"/>
    <w:rsid w:val="005524CA"/>
    <w:rsid w:val="00553DB2"/>
    <w:rsid w:val="00554F4C"/>
    <w:rsid w:val="00555CAB"/>
    <w:rsid w:val="0056154E"/>
    <w:rsid w:val="0056161A"/>
    <w:rsid w:val="00564163"/>
    <w:rsid w:val="00564F94"/>
    <w:rsid w:val="005668B0"/>
    <w:rsid w:val="00566A9F"/>
    <w:rsid w:val="00570B56"/>
    <w:rsid w:val="00573150"/>
    <w:rsid w:val="00585BBF"/>
    <w:rsid w:val="0058763C"/>
    <w:rsid w:val="005901F2"/>
    <w:rsid w:val="00592871"/>
    <w:rsid w:val="00594C1F"/>
    <w:rsid w:val="0059535E"/>
    <w:rsid w:val="00595A07"/>
    <w:rsid w:val="00596BBC"/>
    <w:rsid w:val="005A283B"/>
    <w:rsid w:val="005A317C"/>
    <w:rsid w:val="005A3B6F"/>
    <w:rsid w:val="005A76B0"/>
    <w:rsid w:val="005B5E18"/>
    <w:rsid w:val="005C2370"/>
    <w:rsid w:val="005C3846"/>
    <w:rsid w:val="005C3C10"/>
    <w:rsid w:val="005C3D32"/>
    <w:rsid w:val="005D04B3"/>
    <w:rsid w:val="005D3BE1"/>
    <w:rsid w:val="005D4EDD"/>
    <w:rsid w:val="005D7306"/>
    <w:rsid w:val="005D7471"/>
    <w:rsid w:val="005D7FE6"/>
    <w:rsid w:val="005E0356"/>
    <w:rsid w:val="005E1BE7"/>
    <w:rsid w:val="005E44E3"/>
    <w:rsid w:val="005E4CF5"/>
    <w:rsid w:val="005E7B14"/>
    <w:rsid w:val="005F0325"/>
    <w:rsid w:val="005F07E6"/>
    <w:rsid w:val="005F3F02"/>
    <w:rsid w:val="005F41C1"/>
    <w:rsid w:val="005F6A61"/>
    <w:rsid w:val="00601E4F"/>
    <w:rsid w:val="00603023"/>
    <w:rsid w:val="00603247"/>
    <w:rsid w:val="00604A56"/>
    <w:rsid w:val="00606068"/>
    <w:rsid w:val="006072CE"/>
    <w:rsid w:val="00614A93"/>
    <w:rsid w:val="00614DBD"/>
    <w:rsid w:val="0061655E"/>
    <w:rsid w:val="006203E9"/>
    <w:rsid w:val="00621CC0"/>
    <w:rsid w:val="00622700"/>
    <w:rsid w:val="00626D24"/>
    <w:rsid w:val="006338FD"/>
    <w:rsid w:val="00633EBD"/>
    <w:rsid w:val="0063464F"/>
    <w:rsid w:val="00635B49"/>
    <w:rsid w:val="006367CD"/>
    <w:rsid w:val="0064028F"/>
    <w:rsid w:val="0064205B"/>
    <w:rsid w:val="006477B8"/>
    <w:rsid w:val="0065161C"/>
    <w:rsid w:val="00654946"/>
    <w:rsid w:val="00655BD0"/>
    <w:rsid w:val="006624E6"/>
    <w:rsid w:val="00663ACB"/>
    <w:rsid w:val="0066428F"/>
    <w:rsid w:val="006659B2"/>
    <w:rsid w:val="00665B0E"/>
    <w:rsid w:val="00667148"/>
    <w:rsid w:val="0067040E"/>
    <w:rsid w:val="00670EDC"/>
    <w:rsid w:val="006718DD"/>
    <w:rsid w:val="00671AFF"/>
    <w:rsid w:val="00681A3A"/>
    <w:rsid w:val="006864E8"/>
    <w:rsid w:val="00687180"/>
    <w:rsid w:val="00687334"/>
    <w:rsid w:val="00687953"/>
    <w:rsid w:val="00690A28"/>
    <w:rsid w:val="00690A9B"/>
    <w:rsid w:val="00691EB7"/>
    <w:rsid w:val="006948AA"/>
    <w:rsid w:val="00695952"/>
    <w:rsid w:val="00696618"/>
    <w:rsid w:val="006972B3"/>
    <w:rsid w:val="006A0431"/>
    <w:rsid w:val="006A24CD"/>
    <w:rsid w:val="006A5C8A"/>
    <w:rsid w:val="006A61E0"/>
    <w:rsid w:val="006A6466"/>
    <w:rsid w:val="006A69EE"/>
    <w:rsid w:val="006A77EA"/>
    <w:rsid w:val="006B131C"/>
    <w:rsid w:val="006B2BC5"/>
    <w:rsid w:val="006B320C"/>
    <w:rsid w:val="006B36E6"/>
    <w:rsid w:val="006B40E0"/>
    <w:rsid w:val="006B4229"/>
    <w:rsid w:val="006B49BB"/>
    <w:rsid w:val="006B74EE"/>
    <w:rsid w:val="006C1B11"/>
    <w:rsid w:val="006C32E1"/>
    <w:rsid w:val="006C4864"/>
    <w:rsid w:val="006C7963"/>
    <w:rsid w:val="006D7F4E"/>
    <w:rsid w:val="006E7A49"/>
    <w:rsid w:val="006F01CE"/>
    <w:rsid w:val="006F0DF9"/>
    <w:rsid w:val="006F2C00"/>
    <w:rsid w:val="006F3A18"/>
    <w:rsid w:val="006F68E1"/>
    <w:rsid w:val="006F6C0D"/>
    <w:rsid w:val="0070111E"/>
    <w:rsid w:val="00702B2B"/>
    <w:rsid w:val="00704DDE"/>
    <w:rsid w:val="007111B4"/>
    <w:rsid w:val="007113F4"/>
    <w:rsid w:val="007145E8"/>
    <w:rsid w:val="007212D6"/>
    <w:rsid w:val="00721B25"/>
    <w:rsid w:val="0072257E"/>
    <w:rsid w:val="0072276A"/>
    <w:rsid w:val="00732633"/>
    <w:rsid w:val="00733293"/>
    <w:rsid w:val="00733BC4"/>
    <w:rsid w:val="00733EB1"/>
    <w:rsid w:val="00736CA5"/>
    <w:rsid w:val="00740677"/>
    <w:rsid w:val="00743497"/>
    <w:rsid w:val="00743838"/>
    <w:rsid w:val="00743FA6"/>
    <w:rsid w:val="0074424D"/>
    <w:rsid w:val="007450E1"/>
    <w:rsid w:val="00745213"/>
    <w:rsid w:val="00745D6C"/>
    <w:rsid w:val="0075053D"/>
    <w:rsid w:val="007508B2"/>
    <w:rsid w:val="007517AE"/>
    <w:rsid w:val="00753CF2"/>
    <w:rsid w:val="00755432"/>
    <w:rsid w:val="00756683"/>
    <w:rsid w:val="007573C3"/>
    <w:rsid w:val="007574A1"/>
    <w:rsid w:val="007613A8"/>
    <w:rsid w:val="00761A5D"/>
    <w:rsid w:val="00762A18"/>
    <w:rsid w:val="0076391D"/>
    <w:rsid w:val="00764929"/>
    <w:rsid w:val="007674CB"/>
    <w:rsid w:val="007728BA"/>
    <w:rsid w:val="00773E29"/>
    <w:rsid w:val="00783860"/>
    <w:rsid w:val="007846D9"/>
    <w:rsid w:val="00784D6C"/>
    <w:rsid w:val="007875E2"/>
    <w:rsid w:val="007932D8"/>
    <w:rsid w:val="00797C5C"/>
    <w:rsid w:val="007A0479"/>
    <w:rsid w:val="007A054B"/>
    <w:rsid w:val="007A1FD2"/>
    <w:rsid w:val="007A50A9"/>
    <w:rsid w:val="007A77E8"/>
    <w:rsid w:val="007A7C63"/>
    <w:rsid w:val="007B0B10"/>
    <w:rsid w:val="007B6147"/>
    <w:rsid w:val="007B6B1B"/>
    <w:rsid w:val="007B6E0E"/>
    <w:rsid w:val="007B77DD"/>
    <w:rsid w:val="007C2859"/>
    <w:rsid w:val="007C4AB7"/>
    <w:rsid w:val="007C6BDA"/>
    <w:rsid w:val="007D0D76"/>
    <w:rsid w:val="007D271D"/>
    <w:rsid w:val="007D79BC"/>
    <w:rsid w:val="007E3FB6"/>
    <w:rsid w:val="007E5829"/>
    <w:rsid w:val="007E6B83"/>
    <w:rsid w:val="007E6C75"/>
    <w:rsid w:val="007F15E1"/>
    <w:rsid w:val="007F6481"/>
    <w:rsid w:val="007F7881"/>
    <w:rsid w:val="007F795E"/>
    <w:rsid w:val="00803CBF"/>
    <w:rsid w:val="0080624A"/>
    <w:rsid w:val="0081146C"/>
    <w:rsid w:val="00811BF7"/>
    <w:rsid w:val="00813069"/>
    <w:rsid w:val="00814B33"/>
    <w:rsid w:val="00814D37"/>
    <w:rsid w:val="008153DA"/>
    <w:rsid w:val="0081726F"/>
    <w:rsid w:val="00820A54"/>
    <w:rsid w:val="00821200"/>
    <w:rsid w:val="008232EB"/>
    <w:rsid w:val="00823AE3"/>
    <w:rsid w:val="0082468D"/>
    <w:rsid w:val="00825CFC"/>
    <w:rsid w:val="00834097"/>
    <w:rsid w:val="008364BD"/>
    <w:rsid w:val="0084053F"/>
    <w:rsid w:val="00841816"/>
    <w:rsid w:val="008444AC"/>
    <w:rsid w:val="008446FA"/>
    <w:rsid w:val="00844813"/>
    <w:rsid w:val="00845972"/>
    <w:rsid w:val="00845EE8"/>
    <w:rsid w:val="00851EAD"/>
    <w:rsid w:val="00856645"/>
    <w:rsid w:val="00860AE7"/>
    <w:rsid w:val="00861071"/>
    <w:rsid w:val="00861733"/>
    <w:rsid w:val="00861738"/>
    <w:rsid w:val="00864DEA"/>
    <w:rsid w:val="00867295"/>
    <w:rsid w:val="00871133"/>
    <w:rsid w:val="008725D6"/>
    <w:rsid w:val="00872C12"/>
    <w:rsid w:val="0087377A"/>
    <w:rsid w:val="008753A9"/>
    <w:rsid w:val="00875869"/>
    <w:rsid w:val="0088018F"/>
    <w:rsid w:val="008808AE"/>
    <w:rsid w:val="008827E0"/>
    <w:rsid w:val="008831B7"/>
    <w:rsid w:val="0088578D"/>
    <w:rsid w:val="008868A0"/>
    <w:rsid w:val="008948AC"/>
    <w:rsid w:val="00895D21"/>
    <w:rsid w:val="0089798F"/>
    <w:rsid w:val="008A4703"/>
    <w:rsid w:val="008A5738"/>
    <w:rsid w:val="008A5BFE"/>
    <w:rsid w:val="008A7DBA"/>
    <w:rsid w:val="008B1414"/>
    <w:rsid w:val="008B44DD"/>
    <w:rsid w:val="008B73DD"/>
    <w:rsid w:val="008C0DAD"/>
    <w:rsid w:val="008C21B6"/>
    <w:rsid w:val="008C256D"/>
    <w:rsid w:val="008C6729"/>
    <w:rsid w:val="008C79AB"/>
    <w:rsid w:val="008D066D"/>
    <w:rsid w:val="008D28C1"/>
    <w:rsid w:val="008D547C"/>
    <w:rsid w:val="008D7782"/>
    <w:rsid w:val="008E10EE"/>
    <w:rsid w:val="008E433C"/>
    <w:rsid w:val="008E453E"/>
    <w:rsid w:val="008E4E4B"/>
    <w:rsid w:val="008E7C50"/>
    <w:rsid w:val="008F2480"/>
    <w:rsid w:val="008F4FC0"/>
    <w:rsid w:val="00901B83"/>
    <w:rsid w:val="00907412"/>
    <w:rsid w:val="0091249C"/>
    <w:rsid w:val="00912745"/>
    <w:rsid w:val="00924A08"/>
    <w:rsid w:val="009254D7"/>
    <w:rsid w:val="00925BB3"/>
    <w:rsid w:val="00926583"/>
    <w:rsid w:val="00930E55"/>
    <w:rsid w:val="009351B6"/>
    <w:rsid w:val="0093705B"/>
    <w:rsid w:val="009371BE"/>
    <w:rsid w:val="00941763"/>
    <w:rsid w:val="009418DC"/>
    <w:rsid w:val="009431B8"/>
    <w:rsid w:val="00943C73"/>
    <w:rsid w:val="00944CB7"/>
    <w:rsid w:val="00946A64"/>
    <w:rsid w:val="00954349"/>
    <w:rsid w:val="0095438D"/>
    <w:rsid w:val="00955AE5"/>
    <w:rsid w:val="00960C43"/>
    <w:rsid w:val="009615B3"/>
    <w:rsid w:val="00966DB5"/>
    <w:rsid w:val="009676AD"/>
    <w:rsid w:val="0097063C"/>
    <w:rsid w:val="00971588"/>
    <w:rsid w:val="0097393F"/>
    <w:rsid w:val="0098108A"/>
    <w:rsid w:val="00982D29"/>
    <w:rsid w:val="00982E29"/>
    <w:rsid w:val="009862B7"/>
    <w:rsid w:val="00986E2B"/>
    <w:rsid w:val="009870C2"/>
    <w:rsid w:val="00990B26"/>
    <w:rsid w:val="00991E3E"/>
    <w:rsid w:val="009A0595"/>
    <w:rsid w:val="009A143B"/>
    <w:rsid w:val="009A1F5D"/>
    <w:rsid w:val="009A30A3"/>
    <w:rsid w:val="009A6139"/>
    <w:rsid w:val="009A619F"/>
    <w:rsid w:val="009A7C94"/>
    <w:rsid w:val="009B1C22"/>
    <w:rsid w:val="009B28F3"/>
    <w:rsid w:val="009B3FE6"/>
    <w:rsid w:val="009B7CB2"/>
    <w:rsid w:val="009C01BC"/>
    <w:rsid w:val="009C1320"/>
    <w:rsid w:val="009C320F"/>
    <w:rsid w:val="009D1021"/>
    <w:rsid w:val="009D2F19"/>
    <w:rsid w:val="009D393A"/>
    <w:rsid w:val="009D4781"/>
    <w:rsid w:val="009E17CB"/>
    <w:rsid w:val="009E33F1"/>
    <w:rsid w:val="009E4EE6"/>
    <w:rsid w:val="009E53B1"/>
    <w:rsid w:val="009E69E5"/>
    <w:rsid w:val="009E6A9E"/>
    <w:rsid w:val="009E71A2"/>
    <w:rsid w:val="009F0359"/>
    <w:rsid w:val="009F0612"/>
    <w:rsid w:val="009F3976"/>
    <w:rsid w:val="009F3A1D"/>
    <w:rsid w:val="009F54BE"/>
    <w:rsid w:val="009F5EC9"/>
    <w:rsid w:val="00A00C2D"/>
    <w:rsid w:val="00A02602"/>
    <w:rsid w:val="00A029C8"/>
    <w:rsid w:val="00A03B7B"/>
    <w:rsid w:val="00A06B84"/>
    <w:rsid w:val="00A07223"/>
    <w:rsid w:val="00A105B2"/>
    <w:rsid w:val="00A11AB2"/>
    <w:rsid w:val="00A16B74"/>
    <w:rsid w:val="00A171CC"/>
    <w:rsid w:val="00A22D56"/>
    <w:rsid w:val="00A230FB"/>
    <w:rsid w:val="00A252BB"/>
    <w:rsid w:val="00A26EF1"/>
    <w:rsid w:val="00A27E78"/>
    <w:rsid w:val="00A30A80"/>
    <w:rsid w:val="00A329D2"/>
    <w:rsid w:val="00A3345A"/>
    <w:rsid w:val="00A41639"/>
    <w:rsid w:val="00A41FC0"/>
    <w:rsid w:val="00A43323"/>
    <w:rsid w:val="00A452B2"/>
    <w:rsid w:val="00A62F41"/>
    <w:rsid w:val="00A64855"/>
    <w:rsid w:val="00A64F9C"/>
    <w:rsid w:val="00A65227"/>
    <w:rsid w:val="00A6588D"/>
    <w:rsid w:val="00A7022D"/>
    <w:rsid w:val="00A7404E"/>
    <w:rsid w:val="00A82162"/>
    <w:rsid w:val="00A84034"/>
    <w:rsid w:val="00A915EC"/>
    <w:rsid w:val="00A96D5E"/>
    <w:rsid w:val="00A96EBC"/>
    <w:rsid w:val="00A97135"/>
    <w:rsid w:val="00AA1235"/>
    <w:rsid w:val="00AA6839"/>
    <w:rsid w:val="00AB200C"/>
    <w:rsid w:val="00AB4E39"/>
    <w:rsid w:val="00AC0417"/>
    <w:rsid w:val="00AC3071"/>
    <w:rsid w:val="00AC3B9A"/>
    <w:rsid w:val="00AC5318"/>
    <w:rsid w:val="00AC67C6"/>
    <w:rsid w:val="00AD05AC"/>
    <w:rsid w:val="00AD1597"/>
    <w:rsid w:val="00AD3B7E"/>
    <w:rsid w:val="00AD400E"/>
    <w:rsid w:val="00AD4C9E"/>
    <w:rsid w:val="00AD6582"/>
    <w:rsid w:val="00AD6966"/>
    <w:rsid w:val="00AE05CC"/>
    <w:rsid w:val="00AE09C2"/>
    <w:rsid w:val="00AE3307"/>
    <w:rsid w:val="00AE3DC1"/>
    <w:rsid w:val="00AE6213"/>
    <w:rsid w:val="00AE666E"/>
    <w:rsid w:val="00AE6EC8"/>
    <w:rsid w:val="00AE7A61"/>
    <w:rsid w:val="00AE7C8D"/>
    <w:rsid w:val="00AF0956"/>
    <w:rsid w:val="00AF0AEA"/>
    <w:rsid w:val="00AF32C3"/>
    <w:rsid w:val="00AF3EBB"/>
    <w:rsid w:val="00AF496D"/>
    <w:rsid w:val="00AF4AF0"/>
    <w:rsid w:val="00B006F6"/>
    <w:rsid w:val="00B0131E"/>
    <w:rsid w:val="00B03D6A"/>
    <w:rsid w:val="00B0449E"/>
    <w:rsid w:val="00B053F4"/>
    <w:rsid w:val="00B06354"/>
    <w:rsid w:val="00B06B63"/>
    <w:rsid w:val="00B12EAE"/>
    <w:rsid w:val="00B158E3"/>
    <w:rsid w:val="00B20616"/>
    <w:rsid w:val="00B20BAA"/>
    <w:rsid w:val="00B21EE0"/>
    <w:rsid w:val="00B22259"/>
    <w:rsid w:val="00B22E01"/>
    <w:rsid w:val="00B26AE8"/>
    <w:rsid w:val="00B3065C"/>
    <w:rsid w:val="00B30E3A"/>
    <w:rsid w:val="00B322B8"/>
    <w:rsid w:val="00B3297F"/>
    <w:rsid w:val="00B333F0"/>
    <w:rsid w:val="00B43D9E"/>
    <w:rsid w:val="00B441AC"/>
    <w:rsid w:val="00B44E2B"/>
    <w:rsid w:val="00B50DD3"/>
    <w:rsid w:val="00B51491"/>
    <w:rsid w:val="00B53649"/>
    <w:rsid w:val="00B55A38"/>
    <w:rsid w:val="00B605A2"/>
    <w:rsid w:val="00B60993"/>
    <w:rsid w:val="00B613DF"/>
    <w:rsid w:val="00B624DF"/>
    <w:rsid w:val="00B626A7"/>
    <w:rsid w:val="00B653F6"/>
    <w:rsid w:val="00B7167D"/>
    <w:rsid w:val="00B77981"/>
    <w:rsid w:val="00B82CE8"/>
    <w:rsid w:val="00B873FE"/>
    <w:rsid w:val="00B92126"/>
    <w:rsid w:val="00B92151"/>
    <w:rsid w:val="00B938DC"/>
    <w:rsid w:val="00B960F7"/>
    <w:rsid w:val="00BA22C4"/>
    <w:rsid w:val="00BA3DCF"/>
    <w:rsid w:val="00BA415B"/>
    <w:rsid w:val="00BA53FD"/>
    <w:rsid w:val="00BA59E7"/>
    <w:rsid w:val="00BA75E9"/>
    <w:rsid w:val="00BB0B85"/>
    <w:rsid w:val="00BB784E"/>
    <w:rsid w:val="00BC1330"/>
    <w:rsid w:val="00BC2706"/>
    <w:rsid w:val="00BC4A3C"/>
    <w:rsid w:val="00BC6C10"/>
    <w:rsid w:val="00BC70B6"/>
    <w:rsid w:val="00BD4A00"/>
    <w:rsid w:val="00BD52E3"/>
    <w:rsid w:val="00BD65D8"/>
    <w:rsid w:val="00BE5EB0"/>
    <w:rsid w:val="00BE7E23"/>
    <w:rsid w:val="00BF067F"/>
    <w:rsid w:val="00BF0E16"/>
    <w:rsid w:val="00BF180F"/>
    <w:rsid w:val="00BF4F78"/>
    <w:rsid w:val="00BF62AE"/>
    <w:rsid w:val="00C00910"/>
    <w:rsid w:val="00C03253"/>
    <w:rsid w:val="00C06BF3"/>
    <w:rsid w:val="00C1040E"/>
    <w:rsid w:val="00C1178C"/>
    <w:rsid w:val="00C14F2A"/>
    <w:rsid w:val="00C205F5"/>
    <w:rsid w:val="00C23A30"/>
    <w:rsid w:val="00C25615"/>
    <w:rsid w:val="00C2662A"/>
    <w:rsid w:val="00C27E37"/>
    <w:rsid w:val="00C301FB"/>
    <w:rsid w:val="00C32933"/>
    <w:rsid w:val="00C33ECD"/>
    <w:rsid w:val="00C407A3"/>
    <w:rsid w:val="00C40A99"/>
    <w:rsid w:val="00C4584F"/>
    <w:rsid w:val="00C47523"/>
    <w:rsid w:val="00C511B4"/>
    <w:rsid w:val="00C6478E"/>
    <w:rsid w:val="00C724A5"/>
    <w:rsid w:val="00C74923"/>
    <w:rsid w:val="00C77F82"/>
    <w:rsid w:val="00C800EC"/>
    <w:rsid w:val="00C81CF3"/>
    <w:rsid w:val="00C82930"/>
    <w:rsid w:val="00C85698"/>
    <w:rsid w:val="00C94DA8"/>
    <w:rsid w:val="00C966D3"/>
    <w:rsid w:val="00CA0481"/>
    <w:rsid w:val="00CA0E44"/>
    <w:rsid w:val="00CA2BFC"/>
    <w:rsid w:val="00CA2C06"/>
    <w:rsid w:val="00CA447E"/>
    <w:rsid w:val="00CA7FCD"/>
    <w:rsid w:val="00CB5B24"/>
    <w:rsid w:val="00CB6961"/>
    <w:rsid w:val="00CB7E75"/>
    <w:rsid w:val="00CC31AA"/>
    <w:rsid w:val="00CC49DD"/>
    <w:rsid w:val="00CC5313"/>
    <w:rsid w:val="00CD1CEE"/>
    <w:rsid w:val="00CD3B71"/>
    <w:rsid w:val="00CD3CB7"/>
    <w:rsid w:val="00CD4E5C"/>
    <w:rsid w:val="00CE18F9"/>
    <w:rsid w:val="00CE358B"/>
    <w:rsid w:val="00CE3690"/>
    <w:rsid w:val="00CE56E5"/>
    <w:rsid w:val="00CE7A71"/>
    <w:rsid w:val="00CF005A"/>
    <w:rsid w:val="00CF1C50"/>
    <w:rsid w:val="00CF2233"/>
    <w:rsid w:val="00CF67C7"/>
    <w:rsid w:val="00CF772D"/>
    <w:rsid w:val="00D000C4"/>
    <w:rsid w:val="00D01CBA"/>
    <w:rsid w:val="00D039D4"/>
    <w:rsid w:val="00D04091"/>
    <w:rsid w:val="00D04BBF"/>
    <w:rsid w:val="00D0535C"/>
    <w:rsid w:val="00D07468"/>
    <w:rsid w:val="00D1085B"/>
    <w:rsid w:val="00D128C4"/>
    <w:rsid w:val="00D14B1B"/>
    <w:rsid w:val="00D15DE6"/>
    <w:rsid w:val="00D166FC"/>
    <w:rsid w:val="00D17F89"/>
    <w:rsid w:val="00D20817"/>
    <w:rsid w:val="00D20B5C"/>
    <w:rsid w:val="00D21E42"/>
    <w:rsid w:val="00D2365C"/>
    <w:rsid w:val="00D26C55"/>
    <w:rsid w:val="00D3003E"/>
    <w:rsid w:val="00D36403"/>
    <w:rsid w:val="00D365C9"/>
    <w:rsid w:val="00D376AE"/>
    <w:rsid w:val="00D400BD"/>
    <w:rsid w:val="00D40E2E"/>
    <w:rsid w:val="00D441B2"/>
    <w:rsid w:val="00D4487A"/>
    <w:rsid w:val="00D4542B"/>
    <w:rsid w:val="00D463F7"/>
    <w:rsid w:val="00D46D59"/>
    <w:rsid w:val="00D46F15"/>
    <w:rsid w:val="00D50383"/>
    <w:rsid w:val="00D61466"/>
    <w:rsid w:val="00D65230"/>
    <w:rsid w:val="00D656DD"/>
    <w:rsid w:val="00D66268"/>
    <w:rsid w:val="00D674F7"/>
    <w:rsid w:val="00D71963"/>
    <w:rsid w:val="00D726EE"/>
    <w:rsid w:val="00D73C85"/>
    <w:rsid w:val="00D73E6D"/>
    <w:rsid w:val="00D7520D"/>
    <w:rsid w:val="00D75CCE"/>
    <w:rsid w:val="00D75D91"/>
    <w:rsid w:val="00D765FD"/>
    <w:rsid w:val="00D76A87"/>
    <w:rsid w:val="00D76BB1"/>
    <w:rsid w:val="00D80BB5"/>
    <w:rsid w:val="00D82D8A"/>
    <w:rsid w:val="00D83676"/>
    <w:rsid w:val="00D84D10"/>
    <w:rsid w:val="00D94618"/>
    <w:rsid w:val="00DA19E1"/>
    <w:rsid w:val="00DA66E1"/>
    <w:rsid w:val="00DA68B4"/>
    <w:rsid w:val="00DB136D"/>
    <w:rsid w:val="00DB1371"/>
    <w:rsid w:val="00DB6029"/>
    <w:rsid w:val="00DB6CB7"/>
    <w:rsid w:val="00DB6CF5"/>
    <w:rsid w:val="00DC0B96"/>
    <w:rsid w:val="00DC13A1"/>
    <w:rsid w:val="00DD0CF0"/>
    <w:rsid w:val="00DD0E3C"/>
    <w:rsid w:val="00DD337C"/>
    <w:rsid w:val="00DD45DF"/>
    <w:rsid w:val="00DD6579"/>
    <w:rsid w:val="00DE3F30"/>
    <w:rsid w:val="00DE467B"/>
    <w:rsid w:val="00DE4E44"/>
    <w:rsid w:val="00DE5DDA"/>
    <w:rsid w:val="00DE6EF0"/>
    <w:rsid w:val="00DF354B"/>
    <w:rsid w:val="00DF5B3F"/>
    <w:rsid w:val="00DF5D82"/>
    <w:rsid w:val="00DF6199"/>
    <w:rsid w:val="00E047B7"/>
    <w:rsid w:val="00E050B3"/>
    <w:rsid w:val="00E06E54"/>
    <w:rsid w:val="00E15ED2"/>
    <w:rsid w:val="00E21727"/>
    <w:rsid w:val="00E22CD2"/>
    <w:rsid w:val="00E23341"/>
    <w:rsid w:val="00E24CAC"/>
    <w:rsid w:val="00E270F3"/>
    <w:rsid w:val="00E27DFA"/>
    <w:rsid w:val="00E377B8"/>
    <w:rsid w:val="00E378CA"/>
    <w:rsid w:val="00E4182E"/>
    <w:rsid w:val="00E43361"/>
    <w:rsid w:val="00E455EE"/>
    <w:rsid w:val="00E506DA"/>
    <w:rsid w:val="00E545B5"/>
    <w:rsid w:val="00E54E6D"/>
    <w:rsid w:val="00E55359"/>
    <w:rsid w:val="00E561FA"/>
    <w:rsid w:val="00E6205A"/>
    <w:rsid w:val="00E63945"/>
    <w:rsid w:val="00E655C0"/>
    <w:rsid w:val="00E71279"/>
    <w:rsid w:val="00E727AC"/>
    <w:rsid w:val="00E75EFF"/>
    <w:rsid w:val="00E7602E"/>
    <w:rsid w:val="00E761A8"/>
    <w:rsid w:val="00E82672"/>
    <w:rsid w:val="00E83E8B"/>
    <w:rsid w:val="00E83F3F"/>
    <w:rsid w:val="00E84132"/>
    <w:rsid w:val="00E87819"/>
    <w:rsid w:val="00E93A28"/>
    <w:rsid w:val="00E9502E"/>
    <w:rsid w:val="00E95EE8"/>
    <w:rsid w:val="00E96FE9"/>
    <w:rsid w:val="00EA2AB2"/>
    <w:rsid w:val="00EA2EBF"/>
    <w:rsid w:val="00EA63E8"/>
    <w:rsid w:val="00EA660F"/>
    <w:rsid w:val="00EB07BB"/>
    <w:rsid w:val="00EB07DC"/>
    <w:rsid w:val="00EB167F"/>
    <w:rsid w:val="00EB1937"/>
    <w:rsid w:val="00EB3C41"/>
    <w:rsid w:val="00EB6541"/>
    <w:rsid w:val="00EB74C8"/>
    <w:rsid w:val="00EB77AC"/>
    <w:rsid w:val="00EC1E24"/>
    <w:rsid w:val="00ED186B"/>
    <w:rsid w:val="00ED53C3"/>
    <w:rsid w:val="00ED585B"/>
    <w:rsid w:val="00ED7819"/>
    <w:rsid w:val="00EE2204"/>
    <w:rsid w:val="00EE3086"/>
    <w:rsid w:val="00EE4E8F"/>
    <w:rsid w:val="00EE5060"/>
    <w:rsid w:val="00EE52C3"/>
    <w:rsid w:val="00EE5FB1"/>
    <w:rsid w:val="00EF10AC"/>
    <w:rsid w:val="00EF12C3"/>
    <w:rsid w:val="00EF33B0"/>
    <w:rsid w:val="00EF6C2D"/>
    <w:rsid w:val="00F01BE2"/>
    <w:rsid w:val="00F03040"/>
    <w:rsid w:val="00F10956"/>
    <w:rsid w:val="00F11A2B"/>
    <w:rsid w:val="00F21D35"/>
    <w:rsid w:val="00F269DB"/>
    <w:rsid w:val="00F3099A"/>
    <w:rsid w:val="00F315E2"/>
    <w:rsid w:val="00F31F36"/>
    <w:rsid w:val="00F32A47"/>
    <w:rsid w:val="00F3454B"/>
    <w:rsid w:val="00F34D49"/>
    <w:rsid w:val="00F37C91"/>
    <w:rsid w:val="00F42B6F"/>
    <w:rsid w:val="00F43449"/>
    <w:rsid w:val="00F44C30"/>
    <w:rsid w:val="00F44E9F"/>
    <w:rsid w:val="00F51BAE"/>
    <w:rsid w:val="00F52269"/>
    <w:rsid w:val="00F52D93"/>
    <w:rsid w:val="00F5354E"/>
    <w:rsid w:val="00F54E29"/>
    <w:rsid w:val="00F61E23"/>
    <w:rsid w:val="00F64303"/>
    <w:rsid w:val="00F66349"/>
    <w:rsid w:val="00F6720A"/>
    <w:rsid w:val="00F72B28"/>
    <w:rsid w:val="00F76E3C"/>
    <w:rsid w:val="00F80123"/>
    <w:rsid w:val="00F80BE4"/>
    <w:rsid w:val="00F83F53"/>
    <w:rsid w:val="00F8745C"/>
    <w:rsid w:val="00F87495"/>
    <w:rsid w:val="00F91975"/>
    <w:rsid w:val="00F9221C"/>
    <w:rsid w:val="00F9468D"/>
    <w:rsid w:val="00F96331"/>
    <w:rsid w:val="00F970EC"/>
    <w:rsid w:val="00FA5A1D"/>
    <w:rsid w:val="00FA74A4"/>
    <w:rsid w:val="00FB0B74"/>
    <w:rsid w:val="00FB14BE"/>
    <w:rsid w:val="00FB69A1"/>
    <w:rsid w:val="00FB6AE7"/>
    <w:rsid w:val="00FB7FEF"/>
    <w:rsid w:val="00FC5E99"/>
    <w:rsid w:val="00FC61EE"/>
    <w:rsid w:val="00FD007C"/>
    <w:rsid w:val="00FD2034"/>
    <w:rsid w:val="00FD388B"/>
    <w:rsid w:val="00FD79F7"/>
    <w:rsid w:val="00FE211D"/>
    <w:rsid w:val="00FE3887"/>
    <w:rsid w:val="00FE5021"/>
    <w:rsid w:val="00FE56FC"/>
    <w:rsid w:val="00FE619A"/>
    <w:rsid w:val="00FE62C6"/>
    <w:rsid w:val="00FE6592"/>
    <w:rsid w:val="00FF6C91"/>
    <w:rsid w:val="05E51D6F"/>
    <w:rsid w:val="0CA73806"/>
    <w:rsid w:val="0F2C5C84"/>
    <w:rsid w:val="109BB947"/>
    <w:rsid w:val="187B6BBB"/>
    <w:rsid w:val="21760368"/>
    <w:rsid w:val="2C07DE9D"/>
    <w:rsid w:val="2C0F2C35"/>
    <w:rsid w:val="326C92D3"/>
    <w:rsid w:val="3AA84707"/>
    <w:rsid w:val="41F98DCB"/>
    <w:rsid w:val="4D625C81"/>
    <w:rsid w:val="4EBD1DD3"/>
    <w:rsid w:val="5061E929"/>
    <w:rsid w:val="5F13D043"/>
    <w:rsid w:val="64B7295E"/>
    <w:rsid w:val="6AC5D86F"/>
    <w:rsid w:val="6D581374"/>
    <w:rsid w:val="6D685D48"/>
    <w:rsid w:val="72C943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C62D742"/>
  <w15:chartTrackingRefBased/>
  <w15:docId w15:val="{C99911E6-B0DC-48CF-9DB3-62FDA401E8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676AD"/>
    <w:rPr>
      <w:rFonts w:ascii="Calibri" w:eastAsiaTheme="majorEastAsia" w:hAnsi="Calibri" w:cstheme="majorBidi"/>
      <w:color w:val="000000" w:themeColor="text1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5E44E3"/>
    <w:pPr>
      <w:outlineLvl w:val="0"/>
    </w:pPr>
    <w:rPr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1146C"/>
    <w:pPr>
      <w:outlineLvl w:val="1"/>
    </w:pPr>
    <w:rPr>
      <w:rFonts w:cs="Calibri"/>
      <w:b/>
      <w:bCs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F430C"/>
    <w:pPr>
      <w:keepNext/>
      <w:keepLines/>
      <w:spacing w:before="160" w:after="80"/>
      <w:outlineLvl w:val="2"/>
    </w:p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D128C4"/>
    <w:pPr>
      <w:numPr>
        <w:numId w:val="1"/>
      </w:numPr>
      <w:outlineLvl w:val="3"/>
    </w:pPr>
    <w:rPr>
      <w:b/>
      <w:bCs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A61E0"/>
    <w:pPr>
      <w:keepNext/>
      <w:keepLines/>
      <w:spacing w:before="80" w:after="40"/>
      <w:outlineLvl w:val="4"/>
    </w:pPr>
    <w:rPr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A61E0"/>
    <w:pPr>
      <w:keepNext/>
      <w:keepLines/>
      <w:spacing w:before="40" w:after="0"/>
      <w:outlineLvl w:val="5"/>
    </w:pPr>
    <w:rPr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A61E0"/>
    <w:pPr>
      <w:keepNext/>
      <w:keepLines/>
      <w:spacing w:before="40" w:after="0"/>
      <w:outlineLvl w:val="6"/>
    </w:pPr>
    <w:rPr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A61E0"/>
    <w:pPr>
      <w:keepNext/>
      <w:keepLines/>
      <w:spacing w:after="0"/>
      <w:outlineLvl w:val="7"/>
    </w:pPr>
    <w:rPr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A61E0"/>
    <w:pPr>
      <w:keepNext/>
      <w:keepLines/>
      <w:spacing w:after="0"/>
      <w:outlineLvl w:val="8"/>
    </w:pPr>
    <w:rPr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E44E3"/>
    <w:rPr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81146C"/>
    <w:rPr>
      <w:rFonts w:ascii="Calibri" w:eastAsiaTheme="majorEastAsia" w:hAnsi="Calibri" w:cs="Calibri"/>
      <w:b/>
      <w:bCs/>
      <w:color w:val="000000" w:themeColor="text1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rsid w:val="002F430C"/>
    <w:rPr>
      <w:rFonts w:ascii="Calibri" w:eastAsiaTheme="majorEastAsia" w:hAnsi="Calibri" w:cstheme="majorBidi"/>
      <w:color w:val="000000" w:themeColor="text1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D128C4"/>
    <w:rPr>
      <w:rFonts w:ascii="Calibri" w:eastAsiaTheme="majorEastAsia" w:hAnsi="Calibri" w:cstheme="majorBidi"/>
      <w:b/>
      <w:bCs/>
      <w:color w:val="000000" w:themeColor="text1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6A61E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A61E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A61E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A61E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A61E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A61E0"/>
    <w:pPr>
      <w:spacing w:after="80" w:line="240" w:lineRule="auto"/>
      <w:contextualSpacing/>
    </w:pPr>
    <w:rPr>
      <w:rFonts w:asciiTheme="majorHAnsi" w:hAnsiTheme="majorHAns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A61E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A61E0"/>
    <w:pPr>
      <w:numPr>
        <w:ilvl w:val="1"/>
      </w:numPr>
    </w:pPr>
    <w:rPr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A61E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A61E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A61E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A61E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A61E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A61E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A61E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A61E0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6A61E0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A61E0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2E723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E7236"/>
  </w:style>
  <w:style w:type="paragraph" w:styleId="Footer">
    <w:name w:val="footer"/>
    <w:basedOn w:val="Normal"/>
    <w:link w:val="FooterChar"/>
    <w:uiPriority w:val="99"/>
    <w:unhideWhenUsed/>
    <w:rsid w:val="002E723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E7236"/>
  </w:style>
  <w:style w:type="paragraph" w:styleId="NoSpacing">
    <w:name w:val="No Spacing"/>
    <w:link w:val="NoSpacingChar"/>
    <w:uiPriority w:val="1"/>
    <w:qFormat/>
    <w:rsid w:val="003A39CA"/>
    <w:pPr>
      <w:spacing w:after="0" w:line="240" w:lineRule="auto"/>
    </w:pPr>
    <w:rPr>
      <w:rFonts w:eastAsiaTheme="minorEastAsia"/>
      <w:kern w:val="0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3A39CA"/>
    <w:rPr>
      <w:rFonts w:eastAsiaTheme="minorEastAsia"/>
      <w:kern w:val="0"/>
      <w14:ligatures w14:val="none"/>
    </w:rPr>
  </w:style>
  <w:style w:type="paragraph" w:styleId="Revision">
    <w:name w:val="Revision"/>
    <w:hidden/>
    <w:uiPriority w:val="99"/>
    <w:semiHidden/>
    <w:rsid w:val="00A64F9C"/>
    <w:pPr>
      <w:spacing w:after="0" w:line="240" w:lineRule="auto"/>
    </w:pPr>
    <w:rPr>
      <w:rFonts w:ascii="Calibri" w:hAnsi="Calibri" w:cs="Calibri"/>
      <w:sz w:val="24"/>
      <w:szCs w:val="24"/>
    </w:rPr>
  </w:style>
  <w:style w:type="paragraph" w:styleId="CommentText">
    <w:name w:val="annotation text"/>
    <w:basedOn w:val="Normal"/>
    <w:link w:val="CommentTextChar"/>
    <w:uiPriority w:val="99"/>
    <w:unhideWhenUsed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Pr>
      <w:rFonts w:ascii="Calibri" w:hAnsi="Calibri" w:cs="Calibri"/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4597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45972"/>
    <w:rPr>
      <w:rFonts w:ascii="Calibri" w:hAnsi="Calibri" w:cs="Calibri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1F47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E655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kern w:val="0"/>
      <w14:ligatures w14:val="none"/>
    </w:rPr>
  </w:style>
  <w:style w:type="character" w:styleId="Emphasis">
    <w:name w:val="Emphasis"/>
    <w:basedOn w:val="DefaultParagraphFont"/>
    <w:uiPriority w:val="20"/>
    <w:qFormat/>
    <w:rsid w:val="00E655C0"/>
    <w:rPr>
      <w:i/>
      <w:iCs/>
    </w:rPr>
  </w:style>
  <w:style w:type="table" w:styleId="GridTable1Light">
    <w:name w:val="Grid Table 1 Light"/>
    <w:basedOn w:val="TableNormal"/>
    <w:uiPriority w:val="46"/>
    <w:rsid w:val="000C1B25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FollowedHyperlink">
    <w:name w:val="FollowedHyperlink"/>
    <w:basedOn w:val="DefaultParagraphFont"/>
    <w:uiPriority w:val="99"/>
    <w:semiHidden/>
    <w:unhideWhenUsed/>
    <w:rsid w:val="00D01CBA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16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062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171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5225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6269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61551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40955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04314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79802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53038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79266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979436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80615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206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0267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3839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585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48607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07936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428899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98689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231310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586863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044907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9189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10347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00725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61523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271213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06591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499350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58980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54520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18337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05954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26284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884582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232622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669299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04769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739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7409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5068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17253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91154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210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869052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128270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316374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943323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585871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3147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7622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81903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906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91392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748139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823309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9041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8313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81892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358327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792004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893369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585247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159370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7785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0837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649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8698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31268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0195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369679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71622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275983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577217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195460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3520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8260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26849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69575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72754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744372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695596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7702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74120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7366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5697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146622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240277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701022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781980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084962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9984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2276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6744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1555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9969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40290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90615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23785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204747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957098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959801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54995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8141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7904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04798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93280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653874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802385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052579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7949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78531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06527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0756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576578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9984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915277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354404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1696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629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3916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6665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26117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30890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48280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72817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172839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046025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338955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767996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2862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2554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14483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0564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207453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599961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2584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61449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43903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58441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59118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88015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511518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941088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262820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85648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134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0615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63250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0015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11485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72080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300607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556304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230329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560882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515343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5261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6092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15006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8765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833295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598664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106585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2692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56447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4885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5067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365906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594261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76239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524027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6154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76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3755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55047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77302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32899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37661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187655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667418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384680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596965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19037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166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4548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51265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33038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844768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6986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890998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4550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87247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0289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27514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142907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661383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786241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174131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20106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071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8872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14200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48590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557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05608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272181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471684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7096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451807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17519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4810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79937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93852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7807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948572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556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844707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26660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57745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70302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986249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04816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433973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514568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57684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8784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4924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8123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2459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06834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35567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880627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98867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363093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276137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886898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368333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315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06064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03806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95451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45224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133435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314452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78351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48457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0130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74826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374032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105089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118261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325303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4277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263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5074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64872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92720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69096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30683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139985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291614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991678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250984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549921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1701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21269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45187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16336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039177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70895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853812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9946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48496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26315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57719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35212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926375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9045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760229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6048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3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96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250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305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4549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346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16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321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930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24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03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3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2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2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80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8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67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49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51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62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61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66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3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98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408238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263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99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79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75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505878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049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989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170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0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24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02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82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41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653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496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2544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67618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3205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80457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4646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55879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577867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923799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519759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2847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9887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7364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25319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69910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34896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57670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16013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043008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370426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0323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583586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97009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618796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1171661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245491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652506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835251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7862702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10406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549754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162433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673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27888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0072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4160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90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127785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229653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37451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06074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34112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92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283981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493273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725876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149771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62079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9143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7149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7594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79047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38988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60922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792410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921036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68605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768049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832374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8753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0531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90469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6889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16611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48269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58196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146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16827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84099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26274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070207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931153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689865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759922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00334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1338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056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91734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84686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5238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00298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508758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763738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867896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913994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991758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9620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9940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61998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08106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36911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929333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010063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86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35575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21606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34481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989984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21169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604062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012877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0135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6264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9743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399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12069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14912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5531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59646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155420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593156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383565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775635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787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12924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86512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69365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433584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62451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419833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95048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85056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81534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570263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267992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403143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121941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261769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8607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063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9703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83535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89920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94205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076540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23432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715199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096323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51685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064835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68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48950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5108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28174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16077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610391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37889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9968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45718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07711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45038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139321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720441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426323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111051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847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6464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3042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7118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56583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70127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0031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603928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230694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723781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40705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52253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0592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46936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97493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08193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387890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764821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858588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89842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4625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96132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85915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72109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97856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345765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898002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0589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6214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1510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9793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32198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46169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99371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77924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067386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23488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656883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179349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4923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4577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78425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75054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53234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968978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281885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9424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33213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67492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73941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492761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18655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963012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14980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125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4670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8031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9319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47576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56830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57854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05814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649077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171094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676558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189730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4116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267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2725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70953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868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01250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73541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05526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75758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473501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39837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3203064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603660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193621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490253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4863207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563449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333057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365386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331673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500395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85933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2006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0683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76149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81229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01135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837227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216819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67087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4844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77916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67052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085804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775720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490602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057481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076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1270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1271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18136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69318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28741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88297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543721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61373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724539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995068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252743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7705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8471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14616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50958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209482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28096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666246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2328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03380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66112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55959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982093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052349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279174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568833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9653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794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6427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72679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4361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99511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01615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805100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519219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078454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136719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5279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3323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7563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42383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4765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968442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853568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26358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20586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9429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10991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21092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061415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08799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836637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04061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92108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007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9313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3155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6438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9251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32560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41967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03248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69689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37183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456362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540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9921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75278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37142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991525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98579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422800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3242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341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62156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76825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455092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941297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161724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235424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9465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5635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7966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8207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53776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17598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001850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850949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070985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36309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489416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95710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6926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1757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38298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15158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42682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908084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369915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9899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53182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6294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00996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176690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41489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856250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87844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8373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130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7565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606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5079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008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33558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207662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585519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977671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350286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792014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1439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1584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05386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28387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19020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94901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689066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5091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24561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3173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11814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22005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268144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865349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777760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19185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8242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9099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4708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95244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43584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00577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149094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205777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42610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182544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549300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5371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29193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703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72201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94549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75124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837616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8543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21068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50287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64738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52233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941158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65158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783960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9511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32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14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36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21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8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977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767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02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1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81992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766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715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086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8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65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46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45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6316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849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95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06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878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1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092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8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9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66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77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962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59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86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3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4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09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05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56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2167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0757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82474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6235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66434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02256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732661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47628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550342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668803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82676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868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1329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1228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94208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25666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340939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25086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824697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681022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317033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840735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3963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39250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30405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33524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544660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00455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228032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93261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05166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91362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9493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397478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620615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379839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072500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0347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884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6925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80404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99781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46921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86784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386347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194610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06908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511813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412555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3032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9093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55983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01091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83855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2837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916207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3061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59421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087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26067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945455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211642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896585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528836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6673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1850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7373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649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61498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02660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887069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79273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40616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245116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466136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404524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1675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4435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2080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80796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05041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94545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17480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25834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56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64643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0659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250711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524523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439648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887956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7427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654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1903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04919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36986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00114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73912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429847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10786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363508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271730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515997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7440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84176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46063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91239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80493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954733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436752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34322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3231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51657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10631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68245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640956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044183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077070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31315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500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3613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2319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68591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1875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545559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55396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776813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363292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712025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383679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203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57750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41554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74848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85292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613470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712581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7933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47989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2923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449275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009348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37113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640953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294384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2971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222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8970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148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79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16120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032366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66011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72699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427586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40648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3774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6501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24834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43324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88770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851620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020590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050255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9845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539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89224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71603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188574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760863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96189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711339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2244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660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6975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31712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97325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0860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99830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16605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623004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358480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025518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506288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0804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814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08399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57632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295046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763155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085372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4624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75325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88497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387571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827624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795284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184956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133361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2494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1613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9839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90389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31270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82423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20142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42941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8710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69487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123615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939823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9434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378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97608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10545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186581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816817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29634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53089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90015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43837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04839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6078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649903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86341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745122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9592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819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6609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97721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42196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53831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34925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278357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220365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374806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929689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30905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404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56494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76070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09157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40077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14567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676418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2866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3892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72204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28934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53284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205417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83846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501890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1866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6563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7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5663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61188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10438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54471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330084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05254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358897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388931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734670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9947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87101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43711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5755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020451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473208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350570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0503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12021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87982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79619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20757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069220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690214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152487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791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39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s://peer.asee.org/35475" TargetMode="External"/><Relationship Id="rId18" Type="http://schemas.openxmlformats.org/officeDocument/2006/relationships/hyperlink" Target="https://doi.org/10.7275/hz5x-tx03" TargetMode="Externa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tyles" Target="styles.xml"/><Relationship Id="rId12" Type="http://schemas.openxmlformats.org/officeDocument/2006/relationships/hyperlink" Target="https://doi.org/10.1080/1360080X.2019.1646378" TargetMode="External"/><Relationship Id="rId17" Type="http://schemas.openxmlformats.org/officeDocument/2006/relationships/hyperlink" Target="https://doi.org/10.1080/1360080X.2018.1428409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doi.org/10.1080/00091383.2017.1321429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yperlink" Target="https://doi.org/10.1186/s12909-020-02121-5" TargetMode="External"/><Relationship Id="rId10" Type="http://schemas.openxmlformats.org/officeDocument/2006/relationships/footnotes" Target="footnotes.xml"/><Relationship Id="rId19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https://doi.org/10.1097/ACM.000000000000174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>2025-06-20T00:00:00</PublishDate>
  <Abstract/>
  <CompanyAddress/>
  <CompanyPhone/>
  <CompanyFax/>
  <CompanyEmail/>
</CoverPage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1DA6CDA6DFF854A97314D2FE3C4FAA7" ma:contentTypeVersion="19" ma:contentTypeDescription="Create a new document." ma:contentTypeScope="" ma:versionID="2a94a66e4307bfc79b0e3f14d5810dbf">
  <xsd:schema xmlns:xsd="http://www.w3.org/2001/XMLSchema" xmlns:xs="http://www.w3.org/2001/XMLSchema" xmlns:p="http://schemas.microsoft.com/office/2006/metadata/properties" xmlns:ns2="43370d30-8fcb-4681-b718-6c0dba637bd2" xmlns:ns3="07b80e91-c433-4238-9b4f-c485a433d96a" targetNamespace="http://schemas.microsoft.com/office/2006/metadata/properties" ma:root="true" ma:fieldsID="4a148a2a2470aa20b8994ca03fca8285" ns2:_="" ns3:_="">
    <xsd:import namespace="43370d30-8fcb-4681-b718-6c0dba637bd2"/>
    <xsd:import namespace="07b80e91-c433-4238-9b4f-c485a433d96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LengthInSecond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3370d30-8fcb-4681-b718-6c0dba637bd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2e7b5bc3-d92a-4429-9491-db3c9d173b2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3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7b80e91-c433-4238-9b4f-c485a433d96a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10f78028-a61d-48de-8025-ec68ea9440c7}" ma:internalName="TaxCatchAll" ma:showField="CatchAllData" ma:web="07b80e91-c433-4238-9b4f-c485a433d96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7b80e91-c433-4238-9b4f-c485a433d96a" xsi:nil="true"/>
    <lcf76f155ced4ddcb4097134ff3c332f xmlns="43370d30-8fcb-4681-b718-6c0dba637bd2">
      <Terms xmlns="http://schemas.microsoft.com/office/infopath/2007/PartnerControls"/>
    </lcf76f155ced4ddcb4097134ff3c332f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311E6AB7-1A40-465C-A984-E706EF591FD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3370d30-8fcb-4681-b718-6c0dba637bd2"/>
    <ds:schemaRef ds:uri="07b80e91-c433-4238-9b4f-c485a433d96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4FAE00C-F6F0-43EF-9288-1C6BD48E733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5840D27-6EC7-45EB-9FA5-98EE93CB10F9}">
  <ds:schemaRefs>
    <ds:schemaRef ds:uri="http://schemas.microsoft.com/office/2006/metadata/properties"/>
    <ds:schemaRef ds:uri="http://schemas.microsoft.com/office/infopath/2007/PartnerControls"/>
    <ds:schemaRef ds:uri="07b80e91-c433-4238-9b4f-c485a433d96a"/>
    <ds:schemaRef ds:uri="43370d30-8fcb-4681-b718-6c0dba637bd2"/>
  </ds:schemaRefs>
</ds:datastoreItem>
</file>

<file path=customXml/itemProps5.xml><?xml version="1.0" encoding="utf-8"?>
<ds:datastoreItem xmlns:ds="http://schemas.openxmlformats.org/officeDocument/2006/customXml" ds:itemID="{E0270245-F785-40AE-9D0F-73DD33FEAF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5</Pages>
  <Words>1672</Words>
  <Characters>10037</Characters>
  <Application>Microsoft Office Word</Application>
  <DocSecurity>0</DocSecurity>
  <Lines>179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Measuring What Matters: A Framework for Quality Assessment in Allied Health Program Accreditation</vt:lpstr>
    </vt:vector>
  </TitlesOfParts>
  <Company/>
  <LinksUpToDate>false</LinksUpToDate>
  <CharactersWithSpaces>11678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Measuring What Matters: A Framework for Quality Assessment in Allied Health Program Accreditation</dc:title>
  <dc:subject>A Position Paper from the CAAHEP Outcomes Task Force1</dc:subject>
  <dc:creator>Task Force Member</dc:creator>
  <cp:keywords/>
  <dc:description/>
  <cp:lastModifiedBy>Lorna Frazier-Lindsey</cp:lastModifiedBy>
  <cp:revision>8</cp:revision>
  <cp:lastPrinted>2025-05-20T17:58:00Z</cp:lastPrinted>
  <dcterms:created xsi:type="dcterms:W3CDTF">2026-02-11T19:30:00Z</dcterms:created>
  <dcterms:modified xsi:type="dcterms:W3CDTF">2026-02-12T16:21:00Z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a7fccdcb-7485-4493-b95c-53846b4e58fd</vt:lpwstr>
  </property>
  <property fmtid="{D5CDD505-2E9C-101B-9397-08002B2CF9AE}" pid="3" name="ContentTypeId">
    <vt:lpwstr>0x01010091DA6CDA6DFF854A97314D2FE3C4FAA7</vt:lpwstr>
  </property>
  <property fmtid="{D5CDD505-2E9C-101B-9397-08002B2CF9AE}" pid="4" name="MediaServiceImageTags">
    <vt:lpwstr/>
  </property>
  <property fmtid="{D5CDD505-2E9C-101B-9397-08002B2CF9AE}" pid="5" name="MSIP_Label_5e4b1be8-281e-475d-98b0-21c3457e5a46_Enabled">
    <vt:lpwstr>true</vt:lpwstr>
  </property>
  <property fmtid="{D5CDD505-2E9C-101B-9397-08002B2CF9AE}" pid="6" name="MSIP_Label_5e4b1be8-281e-475d-98b0-21c3457e5a46_SetDate">
    <vt:lpwstr>2025-06-11T15:44:00Z</vt:lpwstr>
  </property>
  <property fmtid="{D5CDD505-2E9C-101B-9397-08002B2CF9AE}" pid="7" name="MSIP_Label_5e4b1be8-281e-475d-98b0-21c3457e5a46_Method">
    <vt:lpwstr>Standard</vt:lpwstr>
  </property>
  <property fmtid="{D5CDD505-2E9C-101B-9397-08002B2CF9AE}" pid="8" name="MSIP_Label_5e4b1be8-281e-475d-98b0-21c3457e5a46_Name">
    <vt:lpwstr>Public</vt:lpwstr>
  </property>
  <property fmtid="{D5CDD505-2E9C-101B-9397-08002B2CF9AE}" pid="9" name="MSIP_Label_5e4b1be8-281e-475d-98b0-21c3457e5a46_SiteId">
    <vt:lpwstr>8b3dd73e-4e72-4679-b191-56da1588712b</vt:lpwstr>
  </property>
  <property fmtid="{D5CDD505-2E9C-101B-9397-08002B2CF9AE}" pid="10" name="MSIP_Label_5e4b1be8-281e-475d-98b0-21c3457e5a46_ActionId">
    <vt:lpwstr>ae95bd52-fc03-4e61-9b86-e7469fe4ce08</vt:lpwstr>
  </property>
  <property fmtid="{D5CDD505-2E9C-101B-9397-08002B2CF9AE}" pid="11" name="MSIP_Label_5e4b1be8-281e-475d-98b0-21c3457e5a46_ContentBits">
    <vt:lpwstr>0</vt:lpwstr>
  </property>
  <property fmtid="{D5CDD505-2E9C-101B-9397-08002B2CF9AE}" pid="12" name="MSIP_Label_5e4b1be8-281e-475d-98b0-21c3457e5a46_Tag">
    <vt:lpwstr>50, 3, 0, 1</vt:lpwstr>
  </property>
  <property fmtid="{D5CDD505-2E9C-101B-9397-08002B2CF9AE}" pid="13" name="docLang">
    <vt:lpwstr>en</vt:lpwstr>
  </property>
</Properties>
</file>