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FCF" w:rsidRDefault="00286FCF"/>
    <w:p w:rsidR="00C24A1E" w:rsidRDefault="00C24A1E" w:rsidP="00C24A1E">
      <w:pPr>
        <w:pStyle w:val="Heading1"/>
      </w:pPr>
      <w:r>
        <w:t xml:space="preserve">How did Trump leave the U.S. Immigration System? </w:t>
      </w:r>
    </w:p>
    <w:p w:rsidR="00C24A1E" w:rsidRDefault="00C24A1E" w:rsidP="00C24A1E">
      <w:pPr>
        <w:ind w:firstLine="720"/>
      </w:pPr>
      <w:r>
        <w:t xml:space="preserve">In the new year we look forward to less-restrictive immigration policies likely to be enacted by the Biden administration. However, the new year also signifies a time of reflection. President Trump issued </w:t>
      </w:r>
      <w:hyperlink r:id="rId7" w:history="1">
        <w:r w:rsidRPr="0020104C">
          <w:rPr>
            <w:rStyle w:val="Hyperlink"/>
          </w:rPr>
          <w:t>more than 400 executive actions</w:t>
        </w:r>
      </w:hyperlink>
      <w:r>
        <w:t xml:space="preserve"> in order to limit immigration. These changes, compounded by the instability caused by COVID-19, have created a myriad of challenges for immigrants, their families, communities, employers, and immigration advocates. We highlight a few challenges below.</w:t>
      </w:r>
    </w:p>
    <w:p w:rsidR="00C24A1E" w:rsidRDefault="00C24A1E" w:rsidP="00C24A1E">
      <w:pPr>
        <w:ind w:firstLine="720"/>
      </w:pPr>
      <w:r>
        <w:t xml:space="preserve">The Trump administration sought to make it significantly harder to obtain a positive adjudication of nonimmigrant visas, as demonstrated through an increase in denials and Requests for Evidence (RFE) rates. For instance, USCIS’ denial rate for I-129 petitions, the form submitted by U.S. employers who wish to sponsor a foreign national for temporary employment in the U.S., has doubled since FY2016, from 7% to nearly 15%. Similarly, USCIS’ rate of issuing RFEs also nearly doubled since FY 2016, from 22.1% to 40%, making it even more time consuming and costly to petition </w:t>
      </w:r>
      <w:r w:rsidRPr="00590605">
        <w:t>foreign</w:t>
      </w:r>
      <w:r>
        <w:t xml:space="preserve"> workers. While the denial and RFE rate held somewhat steady since FY 2018, </w:t>
      </w:r>
      <w:hyperlink r:id="rId8" w:history="1">
        <w:r w:rsidRPr="00F76230">
          <w:rPr>
            <w:rStyle w:val="Hyperlink"/>
          </w:rPr>
          <w:t>this is widely seen as</w:t>
        </w:r>
      </w:hyperlink>
      <w:r>
        <w:t xml:space="preserve"> a result of petitioners and immigration firms adapting and creating successful strategies, such as the implementation of additional specialty occupation evidence to H-1B petitions, to overcome higher levels of scrutiny from USCIS.</w:t>
      </w:r>
    </w:p>
    <w:p w:rsidR="00C24A1E" w:rsidRDefault="00C24A1E" w:rsidP="00C24A1E">
      <w:pPr>
        <w:ind w:firstLine="720"/>
      </w:pPr>
      <w:r>
        <w:t xml:space="preserve">Under Trump, immigrant visa issuance declined due to an increase in denials, longer </w:t>
      </w:r>
      <w:bookmarkStart w:id="0" w:name="_GoBack"/>
      <w:bookmarkEnd w:id="0"/>
      <w:r>
        <w:t xml:space="preserve">processing times, the COVID-19 pandemic and fewer applications. For certain citizens, the issuance of an immigrant visa depends more heavily on their country of origin. For instance, Haitian citizens received 67% fewer immigrant visas between 2016 and 2019. Mainland Chinese citizens received 35% fewer immigrant visas between 2016 and 2019. Countries included in Trump’s travel ban also were negatively impacted. The resettlement of Muslim refugees decreased </w:t>
      </w:r>
      <w:hyperlink r:id="rId9" w:history="1">
        <w:r w:rsidRPr="00F76230">
          <w:rPr>
            <w:rStyle w:val="Hyperlink"/>
          </w:rPr>
          <w:t>91%</w:t>
        </w:r>
      </w:hyperlink>
      <w:r>
        <w:t xml:space="preserve"> from 2016 to 2018. Iranian citizens received approximately 80% fewer immigrant visas. Before COVID-19, total immigrant visa issuance had declined by approximately 24% since FY 2016. At the end of 2020, in the midst of the pandemic, immigrant visa issuance declined 83% compared to FY 2016. </w:t>
      </w:r>
    </w:p>
    <w:p w:rsidR="00C24A1E" w:rsidRDefault="00C24A1E" w:rsidP="00C24A1E">
      <w:pPr>
        <w:ind w:firstLine="720"/>
      </w:pPr>
      <w:r>
        <w:t>The pandemic exacerbated existing trends toward decline. Consulate closures and slower scheduling of interviews and biometrics have certainly contributed, however its notable that the decline existed prior to the pandemic. The USCIS’ denial rate of immigrant visas, which doubled from 8% in FY 2016 to 16% in FY 2020, is also seen as contributing factor in the decline. Consular posts’ denial rates are even higher: the denial rate increased from 13% in FY 2016 to 21% in FY 2019.</w:t>
      </w:r>
    </w:p>
    <w:p w:rsidR="00C24A1E" w:rsidRDefault="00C24A1E" w:rsidP="00C24A1E">
      <w:pPr>
        <w:ind w:firstLine="720"/>
      </w:pPr>
      <w:r>
        <w:t>Another challenge involves the growing backlog of immigration cases at USCIS and the Justice Department’s immigration courts. Together, there exists an astonishing backlog of approximately</w:t>
      </w:r>
      <w:hyperlink r:id="rId10" w:history="1">
        <w:r w:rsidRPr="00F76230">
          <w:rPr>
            <w:rStyle w:val="Hyperlink"/>
          </w:rPr>
          <w:t xml:space="preserve"> 5.7 million cases</w:t>
        </w:r>
      </w:hyperlink>
      <w:r>
        <w:t xml:space="preserve">. For contrast, in 2016 the backlog was approximately </w:t>
      </w:r>
      <w:hyperlink r:id="rId11" w:history="1">
        <w:r w:rsidRPr="00F76230">
          <w:rPr>
            <w:rStyle w:val="Hyperlink"/>
          </w:rPr>
          <w:t>3.4 million</w:t>
        </w:r>
      </w:hyperlink>
      <w:r>
        <w:t xml:space="preserve"> cases. The percentage of pending applications waiting for an adjudication after 7 months has increased from </w:t>
      </w:r>
      <w:hyperlink r:id="rId12" w:history="1">
        <w:r w:rsidRPr="00F76230">
          <w:rPr>
            <w:rStyle w:val="Hyperlink"/>
          </w:rPr>
          <w:t>4.7% in FY 2016 to 50.2% in FY 2020</w:t>
        </w:r>
      </w:hyperlink>
      <w:r>
        <w:t xml:space="preserve">.  Currently, a recently submitted Adjustment of Status application with the Vermont, California, or Texas service centers is estimated to take as long as </w:t>
      </w:r>
      <w:hyperlink r:id="rId13" w:history="1">
        <w:r w:rsidRPr="00F76230">
          <w:rPr>
            <w:rStyle w:val="Hyperlink"/>
          </w:rPr>
          <w:t>30+ months to adjudicate.</w:t>
        </w:r>
      </w:hyperlink>
      <w:r>
        <w:t xml:space="preserve"> </w:t>
      </w:r>
      <w:hyperlink r:id="rId14" w:history="1">
        <w:r w:rsidRPr="00F76230">
          <w:rPr>
            <w:rStyle w:val="Hyperlink"/>
          </w:rPr>
          <w:t>Such extreme backlogs withhold immigration benefits</w:t>
        </w:r>
      </w:hyperlink>
      <w:r>
        <w:t xml:space="preserve">, denying immigrants the ability to receive status, work, or travel authorization and denying Americans the ability to sponsor employees or their family. Any effort by the Biden administration to improve our </w:t>
      </w:r>
      <w:r>
        <w:lastRenderedPageBreak/>
        <w:t>immigration system must also reckon with an immigration system unable to timely adjudicate and process applications.</w:t>
      </w:r>
    </w:p>
    <w:p w:rsidR="00C24A1E" w:rsidRDefault="00C24A1E" w:rsidP="00C24A1E">
      <w:pPr>
        <w:ind w:firstLine="720"/>
      </w:pPr>
      <w:r>
        <w:t>While the Biden administration cannot immediately reverse the impact of the Trump administration’s policies, GYH is pleased that important changes are already being implemented. We recommend watching our webinar, “</w:t>
      </w:r>
      <w:hyperlink r:id="rId15" w:history="1">
        <w:r w:rsidRPr="00F76230">
          <w:rPr>
            <w:rStyle w:val="Hyperlink"/>
          </w:rPr>
          <w:t>Immigration Outlook 2021</w:t>
        </w:r>
      </w:hyperlink>
      <w:r>
        <w:t xml:space="preserve">”, which offers additional details on what these changes may be, which policy changes the Biden administration may prioritize, and when changes may occur. </w:t>
      </w:r>
    </w:p>
    <w:p w:rsidR="00653CE9" w:rsidRDefault="00653CE9"/>
    <w:sectPr w:rsidR="00653CE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CE9" w:rsidRDefault="00653CE9" w:rsidP="00653CE9">
      <w:pPr>
        <w:spacing w:before="0"/>
      </w:pPr>
      <w:r>
        <w:separator/>
      </w:r>
    </w:p>
  </w:endnote>
  <w:endnote w:type="continuationSeparator" w:id="0">
    <w:p w:rsidR="00653CE9" w:rsidRDefault="00653CE9" w:rsidP="00653C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CE9" w:rsidRDefault="00653CE9" w:rsidP="00653CE9">
      <w:pPr>
        <w:spacing w:before="0"/>
      </w:pPr>
      <w:r>
        <w:separator/>
      </w:r>
    </w:p>
  </w:footnote>
  <w:footnote w:type="continuationSeparator" w:id="0">
    <w:p w:rsidR="00653CE9" w:rsidRDefault="00653CE9" w:rsidP="00653C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CE9" w:rsidRDefault="00653CE9" w:rsidP="00653CE9">
    <w:pPr>
      <w:pStyle w:val="Header"/>
      <w:jc w:val="center"/>
    </w:pPr>
    <w:r>
      <w:rPr>
        <w:noProof/>
      </w:rPr>
      <w:drawing>
        <wp:inline distT="0" distB="0" distL="0" distR="0">
          <wp:extent cx="1129085" cy="6161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Logo Globe.jpg"/>
                  <pic:cNvPicPr/>
                </pic:nvPicPr>
                <pic:blipFill>
                  <a:blip r:embed="rId1">
                    <a:extLst>
                      <a:ext uri="{28A0092B-C50C-407E-A947-70E740481C1C}">
                        <a14:useLocalDpi xmlns:a14="http://schemas.microsoft.com/office/drawing/2010/main" val="0"/>
                      </a:ext>
                    </a:extLst>
                  </a:blip>
                  <a:stretch>
                    <a:fillRect/>
                  </a:stretch>
                </pic:blipFill>
                <pic:spPr>
                  <a:xfrm>
                    <a:off x="0" y="0"/>
                    <a:ext cx="1162944" cy="634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C13AC"/>
    <w:multiLevelType w:val="hybridMultilevel"/>
    <w:tmpl w:val="33887834"/>
    <w:lvl w:ilvl="0" w:tplc="1DC8C166">
      <w:start w:val="1"/>
      <w:numFmt w:val="bullet"/>
      <w:pStyle w:val="BulletList1"/>
      <w:lvlText w:val=""/>
      <w:lvlJc w:val="left"/>
      <w:pPr>
        <w:tabs>
          <w:tab w:val="num" w:pos="720"/>
        </w:tabs>
        <w:ind w:left="720" w:hanging="432"/>
      </w:pPr>
      <w:rPr>
        <w:rFonts w:ascii="Symbol" w:hAnsi="Symbol" w:hint="default"/>
        <w:color w:val="000000"/>
      </w:rPr>
    </w:lvl>
    <w:lvl w:ilvl="1" w:tplc="08C00D6A" w:tentative="1">
      <w:start w:val="1"/>
      <w:numFmt w:val="bullet"/>
      <w:lvlText w:val="o"/>
      <w:lvlJc w:val="left"/>
      <w:pPr>
        <w:ind w:left="1800" w:hanging="360"/>
      </w:pPr>
      <w:rPr>
        <w:rFonts w:ascii="Courier New" w:hAnsi="Courier New" w:cs="Courier New" w:hint="default"/>
      </w:rPr>
    </w:lvl>
    <w:lvl w:ilvl="2" w:tplc="E2542EDA" w:tentative="1">
      <w:start w:val="1"/>
      <w:numFmt w:val="bullet"/>
      <w:lvlText w:val=""/>
      <w:lvlJc w:val="left"/>
      <w:pPr>
        <w:ind w:left="2520" w:hanging="360"/>
      </w:pPr>
      <w:rPr>
        <w:rFonts w:ascii="Wingdings" w:hAnsi="Wingdings" w:hint="default"/>
      </w:rPr>
    </w:lvl>
    <w:lvl w:ilvl="3" w:tplc="E2B25240" w:tentative="1">
      <w:start w:val="1"/>
      <w:numFmt w:val="bullet"/>
      <w:lvlText w:val=""/>
      <w:lvlJc w:val="left"/>
      <w:pPr>
        <w:ind w:left="3240" w:hanging="360"/>
      </w:pPr>
      <w:rPr>
        <w:rFonts w:ascii="Symbol" w:hAnsi="Symbol" w:hint="default"/>
      </w:rPr>
    </w:lvl>
    <w:lvl w:ilvl="4" w:tplc="B2E459C2" w:tentative="1">
      <w:start w:val="1"/>
      <w:numFmt w:val="bullet"/>
      <w:lvlText w:val="o"/>
      <w:lvlJc w:val="left"/>
      <w:pPr>
        <w:ind w:left="3960" w:hanging="360"/>
      </w:pPr>
      <w:rPr>
        <w:rFonts w:ascii="Courier New" w:hAnsi="Courier New" w:cs="Courier New" w:hint="default"/>
      </w:rPr>
    </w:lvl>
    <w:lvl w:ilvl="5" w:tplc="D3BC8DDE" w:tentative="1">
      <w:start w:val="1"/>
      <w:numFmt w:val="bullet"/>
      <w:lvlText w:val=""/>
      <w:lvlJc w:val="left"/>
      <w:pPr>
        <w:ind w:left="4680" w:hanging="360"/>
      </w:pPr>
      <w:rPr>
        <w:rFonts w:ascii="Wingdings" w:hAnsi="Wingdings" w:hint="default"/>
      </w:rPr>
    </w:lvl>
    <w:lvl w:ilvl="6" w:tplc="EFD69A28" w:tentative="1">
      <w:start w:val="1"/>
      <w:numFmt w:val="bullet"/>
      <w:lvlText w:val=""/>
      <w:lvlJc w:val="left"/>
      <w:pPr>
        <w:ind w:left="5400" w:hanging="360"/>
      </w:pPr>
      <w:rPr>
        <w:rFonts w:ascii="Symbol" w:hAnsi="Symbol" w:hint="default"/>
      </w:rPr>
    </w:lvl>
    <w:lvl w:ilvl="7" w:tplc="561CE788" w:tentative="1">
      <w:start w:val="1"/>
      <w:numFmt w:val="bullet"/>
      <w:lvlText w:val="o"/>
      <w:lvlJc w:val="left"/>
      <w:pPr>
        <w:ind w:left="6120" w:hanging="360"/>
      </w:pPr>
      <w:rPr>
        <w:rFonts w:ascii="Courier New" w:hAnsi="Courier New" w:cs="Courier New" w:hint="default"/>
      </w:rPr>
    </w:lvl>
    <w:lvl w:ilvl="8" w:tplc="E4067AC4" w:tentative="1">
      <w:start w:val="1"/>
      <w:numFmt w:val="bullet"/>
      <w:lvlText w:val=""/>
      <w:lvlJc w:val="left"/>
      <w:pPr>
        <w:ind w:left="6840" w:hanging="360"/>
      </w:pPr>
      <w:rPr>
        <w:rFonts w:ascii="Wingdings" w:hAnsi="Wingdings" w:hint="default"/>
      </w:rPr>
    </w:lvl>
  </w:abstractNum>
  <w:abstractNum w:abstractNumId="1" w15:restartNumberingAfterBreak="0">
    <w:nsid w:val="461973D9"/>
    <w:multiLevelType w:val="hybridMultilevel"/>
    <w:tmpl w:val="2278D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167AB6"/>
    <w:multiLevelType w:val="hybridMultilevel"/>
    <w:tmpl w:val="DD86F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50E12"/>
    <w:multiLevelType w:val="hybridMultilevel"/>
    <w:tmpl w:val="1012D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RGJN1gounpcrnY8rLMoPKn9wmhVMvresXKpOSjudpkVMnTiGSeivkEQ5EhoLLw0cIJ0B8caXjz8z8Nh5fc9+RQ==" w:salt="ecNDuFDDLFOv6yfGmJjHR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E9"/>
    <w:rsid w:val="001D7575"/>
    <w:rsid w:val="0020104C"/>
    <w:rsid w:val="00207161"/>
    <w:rsid w:val="00286FCF"/>
    <w:rsid w:val="003B014D"/>
    <w:rsid w:val="00594A55"/>
    <w:rsid w:val="00653CE9"/>
    <w:rsid w:val="008F4B5D"/>
    <w:rsid w:val="00B810DB"/>
    <w:rsid w:val="00C24A1E"/>
    <w:rsid w:val="00CA2D06"/>
    <w:rsid w:val="00D5778B"/>
    <w:rsid w:val="00E64C71"/>
    <w:rsid w:val="00F762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9D42F"/>
  <w15:chartTrackingRefBased/>
  <w15:docId w15:val="{A2F3E4C7-1803-4EE0-9429-762F981F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CE9"/>
    <w:rPr>
      <w:rFonts w:ascii="Garamond" w:hAnsi="Garamond"/>
      <w:sz w:val="24"/>
    </w:rPr>
  </w:style>
  <w:style w:type="paragraph" w:styleId="Heading1">
    <w:name w:val="heading 1"/>
    <w:basedOn w:val="Normal"/>
    <w:next w:val="Normal"/>
    <w:link w:val="Heading1Char"/>
    <w:uiPriority w:val="9"/>
    <w:qFormat/>
    <w:rsid w:val="00D5778B"/>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778B"/>
    <w:pPr>
      <w:keepNext/>
      <w:keepLines/>
      <w:spacing w:before="2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778B"/>
    <w:pPr>
      <w:keepNext/>
      <w:keepLines/>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D5778B"/>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A2D06"/>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basedOn w:val="Normal"/>
    <w:rsid w:val="00D5778B"/>
    <w:pPr>
      <w:autoSpaceDE w:val="0"/>
      <w:autoSpaceDN w:val="0"/>
      <w:ind w:left="720" w:hanging="720"/>
    </w:pPr>
    <w:rPr>
      <w:rFonts w:ascii="Univers" w:eastAsia="Times New Roman" w:hAnsi="Univers" w:cs="Times New Roman"/>
      <w:sz w:val="20"/>
      <w:szCs w:val="20"/>
    </w:rPr>
  </w:style>
  <w:style w:type="paragraph" w:customStyle="1" w:styleId="Default">
    <w:name w:val="Default"/>
    <w:rsid w:val="00D5778B"/>
    <w:pPr>
      <w:autoSpaceDE w:val="0"/>
      <w:autoSpaceDN w:val="0"/>
      <w:adjustRightInd w:val="0"/>
    </w:pPr>
    <w:rPr>
      <w:rFonts w:ascii="Times New Roman" w:hAnsi="Times New Roman" w:cs="Times New Roman"/>
      <w:color w:val="000000"/>
      <w:sz w:val="24"/>
      <w:szCs w:val="24"/>
    </w:rPr>
  </w:style>
  <w:style w:type="character" w:customStyle="1" w:styleId="heading2char0">
    <w:name w:val="heading2char"/>
    <w:rsid w:val="00D5778B"/>
    <w:rPr>
      <w:rFonts w:ascii="Arial" w:hAnsi="Arial" w:cs="Arial" w:hint="default"/>
      <w:b/>
      <w:bCs/>
    </w:rPr>
  </w:style>
  <w:style w:type="paragraph" w:customStyle="1" w:styleId="shrm-element-subtitle">
    <w:name w:val="shrm-element-subtitle"/>
    <w:basedOn w:val="Normal"/>
    <w:rsid w:val="00D5778B"/>
    <w:pPr>
      <w:spacing w:before="100" w:beforeAutospacing="1" w:after="100" w:afterAutospacing="1"/>
    </w:pPr>
    <w:rPr>
      <w:rFonts w:ascii="Times New Roman" w:eastAsia="Times New Roman" w:hAnsi="Times New Roman" w:cs="Times New Roman"/>
      <w:szCs w:val="24"/>
    </w:rPr>
  </w:style>
  <w:style w:type="table" w:customStyle="1" w:styleId="GridTable5Dark-Accent51">
    <w:name w:val="Grid Table 5 Dark - Accent 51"/>
    <w:basedOn w:val="TableNormal"/>
    <w:uiPriority w:val="50"/>
    <w:rsid w:val="00D5778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11">
    <w:name w:val="Grid Table 5 Dark - Accent 11"/>
    <w:basedOn w:val="TableNormal"/>
    <w:uiPriority w:val="50"/>
    <w:rsid w:val="00D5778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DocID">
    <w:name w:val="DocID"/>
    <w:basedOn w:val="Footer"/>
    <w:next w:val="Footer"/>
    <w:link w:val="DocIDChar"/>
    <w:rsid w:val="00D5778B"/>
    <w:pPr>
      <w:tabs>
        <w:tab w:val="clear" w:pos="4680"/>
        <w:tab w:val="clear" w:pos="9360"/>
      </w:tabs>
      <w:spacing w:before="0"/>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D5778B"/>
    <w:rPr>
      <w:rFonts w:ascii="Times New Roman" w:eastAsia="Times New Roman" w:hAnsi="Times New Roman" w:cs="Times New Roman"/>
      <w:sz w:val="18"/>
      <w:szCs w:val="20"/>
    </w:rPr>
  </w:style>
  <w:style w:type="paragraph" w:styleId="Footer">
    <w:name w:val="footer"/>
    <w:basedOn w:val="Normal"/>
    <w:link w:val="FooterChar"/>
    <w:uiPriority w:val="99"/>
    <w:unhideWhenUsed/>
    <w:rsid w:val="00D5778B"/>
    <w:pPr>
      <w:tabs>
        <w:tab w:val="center" w:pos="4680"/>
        <w:tab w:val="right" w:pos="9360"/>
      </w:tabs>
    </w:pPr>
  </w:style>
  <w:style w:type="character" w:customStyle="1" w:styleId="FooterChar">
    <w:name w:val="Footer Char"/>
    <w:basedOn w:val="DefaultParagraphFont"/>
    <w:link w:val="Footer"/>
    <w:uiPriority w:val="99"/>
    <w:rsid w:val="00D5778B"/>
    <w:rPr>
      <w:rFonts w:ascii="Garamond" w:hAnsi="Garamond"/>
      <w:sz w:val="24"/>
    </w:rPr>
  </w:style>
  <w:style w:type="paragraph" w:customStyle="1" w:styleId="Paragraph">
    <w:name w:val="Paragraph"/>
    <w:basedOn w:val="Normal"/>
    <w:link w:val="ParagraphChar1"/>
    <w:qFormat/>
    <w:rsid w:val="00D5778B"/>
    <w:pPr>
      <w:spacing w:before="0" w:after="240"/>
      <w:jc w:val="both"/>
      <w:outlineLvl w:val="0"/>
    </w:pPr>
    <w:rPr>
      <w:rFonts w:ascii="Times New Roman" w:eastAsia="Times New Roman" w:hAnsi="Times New Roman" w:cs="Times New Roman"/>
      <w:b/>
      <w:i/>
      <w:szCs w:val="24"/>
    </w:rPr>
  </w:style>
  <w:style w:type="character" w:customStyle="1" w:styleId="ParagraphChar1">
    <w:name w:val="Paragraph Char1"/>
    <w:link w:val="Paragraph"/>
    <w:locked/>
    <w:rsid w:val="00D5778B"/>
    <w:rPr>
      <w:rFonts w:ascii="Times New Roman" w:eastAsia="Times New Roman" w:hAnsi="Times New Roman" w:cs="Times New Roman"/>
      <w:b/>
      <w:i/>
      <w:sz w:val="24"/>
      <w:szCs w:val="24"/>
    </w:rPr>
  </w:style>
  <w:style w:type="paragraph" w:customStyle="1" w:styleId="BulletList1">
    <w:name w:val="Bullet List 1"/>
    <w:link w:val="BulletList1Char"/>
    <w:qFormat/>
    <w:rsid w:val="00D5778B"/>
    <w:pPr>
      <w:numPr>
        <w:numId w:val="4"/>
      </w:numPr>
      <w:spacing w:after="120"/>
    </w:pPr>
    <w:rPr>
      <w:rFonts w:ascii="Times New Roman" w:eastAsia="Times New Roman" w:hAnsi="Times New Roman" w:cs="Times New Roman"/>
      <w:color w:val="000000"/>
      <w:sz w:val="24"/>
      <w:szCs w:val="24"/>
    </w:rPr>
  </w:style>
  <w:style w:type="character" w:customStyle="1" w:styleId="BulletList1Char">
    <w:name w:val="Bullet List 1 Char"/>
    <w:basedOn w:val="DefaultParagraphFont"/>
    <w:link w:val="BulletList1"/>
    <w:rsid w:val="00D5778B"/>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D5778B"/>
    <w:rPr>
      <w:rFonts w:ascii="Garamond" w:eastAsiaTheme="majorEastAsia" w:hAnsi="Garamond" w:cstheme="majorBidi"/>
      <w:color w:val="2F5496" w:themeColor="accent1" w:themeShade="BF"/>
      <w:sz w:val="32"/>
      <w:szCs w:val="32"/>
    </w:rPr>
  </w:style>
  <w:style w:type="character" w:customStyle="1" w:styleId="Heading2Char">
    <w:name w:val="Heading 2 Char"/>
    <w:basedOn w:val="DefaultParagraphFont"/>
    <w:link w:val="Heading2"/>
    <w:uiPriority w:val="9"/>
    <w:rsid w:val="00D5778B"/>
    <w:rPr>
      <w:rFonts w:ascii="Garamond" w:eastAsiaTheme="majorEastAsia" w:hAnsi="Garamond" w:cstheme="majorBidi"/>
      <w:color w:val="2F5496" w:themeColor="accent1" w:themeShade="BF"/>
      <w:sz w:val="26"/>
      <w:szCs w:val="26"/>
    </w:rPr>
  </w:style>
  <w:style w:type="character" w:customStyle="1" w:styleId="Heading3Char">
    <w:name w:val="Heading 3 Char"/>
    <w:basedOn w:val="DefaultParagraphFont"/>
    <w:link w:val="Heading3"/>
    <w:uiPriority w:val="9"/>
    <w:rsid w:val="00D5778B"/>
    <w:rPr>
      <w:rFonts w:ascii="Garamond" w:eastAsiaTheme="majorEastAsia" w:hAnsi="Garamond" w:cstheme="majorBidi"/>
      <w:color w:val="1F3763" w:themeColor="accent1" w:themeShade="7F"/>
      <w:sz w:val="24"/>
      <w:szCs w:val="24"/>
    </w:rPr>
  </w:style>
  <w:style w:type="character" w:customStyle="1" w:styleId="Heading4Char">
    <w:name w:val="Heading 4 Char"/>
    <w:basedOn w:val="DefaultParagraphFont"/>
    <w:link w:val="Heading4"/>
    <w:uiPriority w:val="9"/>
    <w:rsid w:val="00D5778B"/>
    <w:rPr>
      <w:rFonts w:ascii="Garamond" w:eastAsiaTheme="majorEastAsia" w:hAnsi="Garamond" w:cstheme="majorBidi"/>
      <w:i/>
      <w:iCs/>
      <w:color w:val="2F5496" w:themeColor="accent1" w:themeShade="BF"/>
      <w:sz w:val="24"/>
    </w:rPr>
  </w:style>
  <w:style w:type="character" w:customStyle="1" w:styleId="Heading5Char">
    <w:name w:val="Heading 5 Char"/>
    <w:basedOn w:val="DefaultParagraphFont"/>
    <w:link w:val="Heading5"/>
    <w:uiPriority w:val="9"/>
    <w:rsid w:val="00CA2D06"/>
    <w:rPr>
      <w:rFonts w:ascii="Garamond" w:eastAsiaTheme="majorEastAsia" w:hAnsi="Garamond" w:cstheme="majorBidi"/>
      <w:color w:val="2F5496" w:themeColor="accent1" w:themeShade="BF"/>
      <w:sz w:val="24"/>
    </w:rPr>
  </w:style>
  <w:style w:type="paragraph" w:styleId="FootnoteText">
    <w:name w:val="footnote text"/>
    <w:basedOn w:val="Normal"/>
    <w:link w:val="FootnoteTextChar"/>
    <w:uiPriority w:val="99"/>
    <w:semiHidden/>
    <w:unhideWhenUsed/>
    <w:rsid w:val="00D5778B"/>
    <w:pPr>
      <w:spacing w:before="0"/>
    </w:pPr>
    <w:rPr>
      <w:sz w:val="20"/>
      <w:szCs w:val="20"/>
    </w:rPr>
  </w:style>
  <w:style w:type="character" w:customStyle="1" w:styleId="FootnoteTextChar">
    <w:name w:val="Footnote Text Char"/>
    <w:basedOn w:val="DefaultParagraphFont"/>
    <w:link w:val="FootnoteText"/>
    <w:uiPriority w:val="99"/>
    <w:semiHidden/>
    <w:rsid w:val="00D5778B"/>
    <w:rPr>
      <w:rFonts w:ascii="Garamond" w:hAnsi="Garamond"/>
      <w:sz w:val="20"/>
      <w:szCs w:val="20"/>
    </w:rPr>
  </w:style>
  <w:style w:type="paragraph" w:styleId="CommentText">
    <w:name w:val="annotation text"/>
    <w:basedOn w:val="Normal"/>
    <w:link w:val="CommentTextChar"/>
    <w:uiPriority w:val="99"/>
    <w:unhideWhenUsed/>
    <w:rsid w:val="00D5778B"/>
    <w:rPr>
      <w:sz w:val="20"/>
      <w:szCs w:val="20"/>
    </w:rPr>
  </w:style>
  <w:style w:type="character" w:customStyle="1" w:styleId="CommentTextChar">
    <w:name w:val="Comment Text Char"/>
    <w:basedOn w:val="DefaultParagraphFont"/>
    <w:link w:val="CommentText"/>
    <w:uiPriority w:val="99"/>
    <w:rsid w:val="00D5778B"/>
    <w:rPr>
      <w:rFonts w:ascii="Garamond" w:hAnsi="Garamond"/>
      <w:sz w:val="20"/>
      <w:szCs w:val="20"/>
    </w:rPr>
  </w:style>
  <w:style w:type="paragraph" w:styleId="Header">
    <w:name w:val="header"/>
    <w:basedOn w:val="Normal"/>
    <w:link w:val="HeaderChar"/>
    <w:unhideWhenUsed/>
    <w:rsid w:val="00D5778B"/>
    <w:pPr>
      <w:tabs>
        <w:tab w:val="center" w:pos="4680"/>
        <w:tab w:val="right" w:pos="9360"/>
      </w:tabs>
    </w:pPr>
  </w:style>
  <w:style w:type="character" w:customStyle="1" w:styleId="HeaderChar">
    <w:name w:val="Header Char"/>
    <w:basedOn w:val="DefaultParagraphFont"/>
    <w:link w:val="Header"/>
    <w:rsid w:val="00D5778B"/>
    <w:rPr>
      <w:rFonts w:ascii="Garamond" w:hAnsi="Garamond"/>
      <w:sz w:val="24"/>
    </w:rPr>
  </w:style>
  <w:style w:type="character" w:styleId="FootnoteReference">
    <w:name w:val="footnote reference"/>
    <w:basedOn w:val="DefaultParagraphFont"/>
    <w:uiPriority w:val="99"/>
    <w:semiHidden/>
    <w:unhideWhenUsed/>
    <w:rsid w:val="00D5778B"/>
    <w:rPr>
      <w:vertAlign w:val="superscript"/>
    </w:rPr>
  </w:style>
  <w:style w:type="character" w:styleId="CommentReference">
    <w:name w:val="annotation reference"/>
    <w:basedOn w:val="DefaultParagraphFont"/>
    <w:uiPriority w:val="99"/>
    <w:unhideWhenUsed/>
    <w:rsid w:val="00D5778B"/>
    <w:rPr>
      <w:sz w:val="16"/>
      <w:szCs w:val="16"/>
    </w:rPr>
  </w:style>
  <w:style w:type="paragraph" w:styleId="Title">
    <w:name w:val="Title"/>
    <w:basedOn w:val="Normal"/>
    <w:next w:val="Normal"/>
    <w:link w:val="TitleChar"/>
    <w:uiPriority w:val="10"/>
    <w:qFormat/>
    <w:rsid w:val="003B014D"/>
    <w:pPr>
      <w:contextualSpacing/>
    </w:pPr>
    <w:rPr>
      <w:rFonts w:eastAsiaTheme="majorEastAsia" w:cstheme="majorBidi"/>
      <w:spacing w:val="-10"/>
      <w:kern w:val="28"/>
      <w:sz w:val="48"/>
      <w:szCs w:val="56"/>
      <w:u w:color="4472C4" w:themeColor="accent1"/>
    </w:rPr>
  </w:style>
  <w:style w:type="character" w:customStyle="1" w:styleId="TitleChar">
    <w:name w:val="Title Char"/>
    <w:basedOn w:val="DefaultParagraphFont"/>
    <w:link w:val="Title"/>
    <w:uiPriority w:val="10"/>
    <w:rsid w:val="003B014D"/>
    <w:rPr>
      <w:rFonts w:ascii="Garamond" w:eastAsiaTheme="majorEastAsia" w:hAnsi="Garamond" w:cstheme="majorBidi"/>
      <w:spacing w:val="-10"/>
      <w:kern w:val="28"/>
      <w:sz w:val="48"/>
      <w:szCs w:val="56"/>
      <w:u w:color="4472C4" w:themeColor="accent1"/>
    </w:rPr>
  </w:style>
  <w:style w:type="paragraph" w:styleId="BodyText">
    <w:name w:val="Body Text"/>
    <w:basedOn w:val="Normal"/>
    <w:link w:val="BodyTextChar"/>
    <w:rsid w:val="00D5778B"/>
    <w:pPr>
      <w:jc w:val="both"/>
    </w:pPr>
    <w:rPr>
      <w:rFonts w:ascii="Arial" w:eastAsia="Times New Roman" w:hAnsi="Arial" w:cs="Arial"/>
      <w:sz w:val="32"/>
      <w:szCs w:val="32"/>
    </w:rPr>
  </w:style>
  <w:style w:type="character" w:customStyle="1" w:styleId="BodyTextChar">
    <w:name w:val="Body Text Char"/>
    <w:basedOn w:val="DefaultParagraphFont"/>
    <w:link w:val="BodyText"/>
    <w:rsid w:val="00D5778B"/>
    <w:rPr>
      <w:rFonts w:ascii="Arial" w:eastAsia="Times New Roman" w:hAnsi="Arial" w:cs="Arial"/>
      <w:sz w:val="32"/>
      <w:szCs w:val="32"/>
    </w:rPr>
  </w:style>
  <w:style w:type="paragraph" w:styleId="BodyTextIndent">
    <w:name w:val="Body Text Indent"/>
    <w:basedOn w:val="Normal"/>
    <w:link w:val="BodyTextIndentChar"/>
    <w:uiPriority w:val="99"/>
    <w:unhideWhenUsed/>
    <w:rsid w:val="00D5778B"/>
    <w:pPr>
      <w:spacing w:after="120"/>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uiPriority w:val="99"/>
    <w:rsid w:val="00D5778B"/>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5778B"/>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uiPriority w:val="99"/>
    <w:rsid w:val="00D5778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778B"/>
    <w:rPr>
      <w:color w:val="0563C1" w:themeColor="hyperlink"/>
      <w:u w:val="single"/>
    </w:rPr>
  </w:style>
  <w:style w:type="character" w:styleId="FollowedHyperlink">
    <w:name w:val="FollowedHyperlink"/>
    <w:basedOn w:val="DefaultParagraphFont"/>
    <w:uiPriority w:val="99"/>
    <w:semiHidden/>
    <w:unhideWhenUsed/>
    <w:rsid w:val="00D5778B"/>
    <w:rPr>
      <w:color w:val="954F72" w:themeColor="followedHyperlink"/>
      <w:u w:val="single"/>
    </w:rPr>
  </w:style>
  <w:style w:type="character" w:styleId="Strong">
    <w:name w:val="Strong"/>
    <w:basedOn w:val="DefaultParagraphFont"/>
    <w:uiPriority w:val="22"/>
    <w:qFormat/>
    <w:rsid w:val="00D5778B"/>
    <w:rPr>
      <w:b/>
      <w:bCs/>
    </w:rPr>
  </w:style>
  <w:style w:type="character" w:styleId="Emphasis">
    <w:name w:val="Emphasis"/>
    <w:basedOn w:val="DefaultParagraphFont"/>
    <w:uiPriority w:val="20"/>
    <w:qFormat/>
    <w:rsid w:val="00D5778B"/>
    <w:rPr>
      <w:i/>
      <w:iCs/>
    </w:rPr>
  </w:style>
  <w:style w:type="paragraph" w:styleId="NormalWeb">
    <w:name w:val="Normal (Web)"/>
    <w:basedOn w:val="Normal"/>
    <w:uiPriority w:val="99"/>
    <w:rsid w:val="00D5778B"/>
    <w:pPr>
      <w:spacing w:before="100" w:beforeAutospacing="1" w:after="100" w:afterAutospacing="1"/>
    </w:pPr>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D5778B"/>
    <w:rPr>
      <w:b/>
      <w:bCs/>
    </w:rPr>
  </w:style>
  <w:style w:type="character" w:customStyle="1" w:styleId="CommentSubjectChar">
    <w:name w:val="Comment Subject Char"/>
    <w:basedOn w:val="CommentTextChar"/>
    <w:link w:val="CommentSubject"/>
    <w:uiPriority w:val="99"/>
    <w:semiHidden/>
    <w:rsid w:val="00D5778B"/>
    <w:rPr>
      <w:rFonts w:ascii="Garamond" w:hAnsi="Garamond"/>
      <w:b/>
      <w:bCs/>
      <w:sz w:val="20"/>
      <w:szCs w:val="20"/>
    </w:rPr>
  </w:style>
  <w:style w:type="paragraph" w:styleId="BalloonText">
    <w:name w:val="Balloon Text"/>
    <w:basedOn w:val="Normal"/>
    <w:link w:val="BalloonTextChar"/>
    <w:uiPriority w:val="99"/>
    <w:semiHidden/>
    <w:unhideWhenUsed/>
    <w:rsid w:val="00D57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78B"/>
    <w:rPr>
      <w:rFonts w:ascii="Segoe UI" w:hAnsi="Segoe UI" w:cs="Segoe UI"/>
      <w:sz w:val="18"/>
      <w:szCs w:val="18"/>
    </w:rPr>
  </w:style>
  <w:style w:type="table" w:styleId="TableGrid">
    <w:name w:val="Table Grid"/>
    <w:basedOn w:val="TableNormal"/>
    <w:uiPriority w:val="39"/>
    <w:rsid w:val="00D5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78B"/>
    <w:pPr>
      <w:ind w:left="720"/>
      <w:contextualSpacing/>
    </w:pPr>
  </w:style>
  <w:style w:type="character" w:styleId="UnresolvedMention">
    <w:name w:val="Unresolved Mention"/>
    <w:basedOn w:val="DefaultParagraphFont"/>
    <w:uiPriority w:val="99"/>
    <w:semiHidden/>
    <w:unhideWhenUsed/>
    <w:rsid w:val="00201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1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grationpolicy.org/article/trump-effect-immigration-reality" TargetMode="External"/><Relationship Id="rId13" Type="http://schemas.openxmlformats.org/officeDocument/2006/relationships/hyperlink" Target="https://egov.uscis.gov/processing-tim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grationpolicy.org/news/mpi-report-catalogs-immigration-executive-actions-trump-presidency" TargetMode="External"/><Relationship Id="rId12" Type="http://schemas.openxmlformats.org/officeDocument/2006/relationships/hyperlink" Target="https://www.cato.org/blog/visualizing-4-year-assault-legal-immigration-trends-biden-must-reverse-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to.org/blog/visualizing-4-year-assault-legal-immigration-trends-biden-must-reverse-0" TargetMode="External"/><Relationship Id="rId5" Type="http://schemas.openxmlformats.org/officeDocument/2006/relationships/footnotes" Target="footnotes.xml"/><Relationship Id="rId15" Type="http://schemas.openxmlformats.org/officeDocument/2006/relationships/hyperlink" Target="https://www.grossmanyoung.com/immigration-outlook-2021-webinar-recording/" TargetMode="External"/><Relationship Id="rId10" Type="http://schemas.openxmlformats.org/officeDocument/2006/relationships/hyperlink" Target="https://www.cato.org/blog/visualizing-4-year-assault-legal-immigration-trends-biden-must-reverse-0" TargetMode="External"/><Relationship Id="rId4" Type="http://schemas.openxmlformats.org/officeDocument/2006/relationships/webSettings" Target="webSettings.xml"/><Relationship Id="rId9" Type="http://schemas.openxmlformats.org/officeDocument/2006/relationships/hyperlink" Target="https://www.huffpost.com/entry/biden-rescinds-trump-muslim-travel-ban_n_600747adc5b62c0057c0f992" TargetMode="External"/><Relationship Id="rId14" Type="http://schemas.openxmlformats.org/officeDocument/2006/relationships/hyperlink" Target="https://www.cato.org/blog/visualizing-4-year-assault-legal-immigration-trends-biden-must-reverse-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757</Words>
  <Characters>4320</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Kugel</dc:creator>
  <cp:keywords/>
  <dc:description/>
  <cp:lastModifiedBy>Christina Kugel</cp:lastModifiedBy>
  <cp:revision>2</cp:revision>
  <cp:lastPrinted>2021-01-22T21:21:00Z</cp:lastPrinted>
  <dcterms:created xsi:type="dcterms:W3CDTF">2021-01-22T21:03:00Z</dcterms:created>
  <dcterms:modified xsi:type="dcterms:W3CDTF">2021-01-22T22:12:00Z</dcterms:modified>
  <cp:contentStatus/>
</cp:coreProperties>
</file>