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1"/>
      </w:tblGrid>
      <w:tr w:rsidR="006C4059" w14:paraId="54D448D9" w14:textId="77777777" w:rsidTr="000517EB">
        <w:tc>
          <w:tcPr>
            <w:tcW w:w="9741" w:type="dxa"/>
          </w:tcPr>
          <w:tbl>
            <w:tblPr>
              <w:tblW w:w="95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25"/>
            </w:tblGrid>
            <w:tr w:rsidR="006C4059" w:rsidRPr="00715597" w14:paraId="0A838399" w14:textId="77777777" w:rsidTr="00F958C0">
              <w:tc>
                <w:tcPr>
                  <w:tcW w:w="9525" w:type="dxa"/>
                  <w:shd w:val="clear" w:color="auto" w:fill="auto"/>
                  <w:hideMark/>
                </w:tcPr>
                <w:p w14:paraId="7301AC0B" w14:textId="686C585C" w:rsidR="006C4059" w:rsidRPr="00715597" w:rsidRDefault="006C4059" w:rsidP="000517EB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715597">
                    <w:rPr>
                      <w:rFonts w:ascii="Arial" w:eastAsia="Times New Roman" w:hAnsi="Arial" w:cs="Arial"/>
                    </w:rPr>
                    <w:t> </w:t>
                  </w:r>
                </w:p>
                <w:p w14:paraId="22321E14" w14:textId="77777777" w:rsidR="006C4059" w:rsidRPr="00715597" w:rsidRDefault="006C4059" w:rsidP="006C4059">
                  <w:pPr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715597">
                    <w:rPr>
                      <w:noProof/>
                    </w:rPr>
                    <w:drawing>
                      <wp:inline distT="0" distB="0" distL="0" distR="0" wp14:anchorId="4973D1E7" wp14:editId="7B486700">
                        <wp:extent cx="3914775" cy="621665"/>
                        <wp:effectExtent l="0" t="0" r="0" b="635"/>
                        <wp:docPr id="2" name="Picture 2" descr="A picture containing logo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 2" descr="A picture containing 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14775" cy="621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15597">
                    <w:rPr>
                      <w:rFonts w:ascii="Calibri" w:eastAsia="Times New Roman" w:hAnsi="Calibri" w:cs="Calibri"/>
                    </w:rPr>
                    <w:t> </w:t>
                  </w:r>
                </w:p>
                <w:p w14:paraId="77B8B74F" w14:textId="77777777" w:rsidR="006C4059" w:rsidRPr="00715597" w:rsidRDefault="006C4059" w:rsidP="006C4059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715597">
                    <w:rPr>
                      <w:rFonts w:ascii="Arial" w:eastAsia="Times New Roman" w:hAnsi="Arial" w:cs="Arial"/>
                    </w:rPr>
                    <w:t> </w:t>
                  </w:r>
                </w:p>
                <w:p w14:paraId="045D4DEF" w14:textId="77777777" w:rsidR="006C4059" w:rsidRPr="00715597" w:rsidRDefault="006C4059" w:rsidP="006C4059">
                  <w:pPr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715597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</w:tr>
          </w:tbl>
          <w:p w14:paraId="1A870913" w14:textId="77777777" w:rsidR="006C4059" w:rsidRDefault="006C4059" w:rsidP="006C4059"/>
          <w:p w14:paraId="0497F666" w14:textId="77777777" w:rsidR="006C4059" w:rsidRDefault="006C4059"/>
        </w:tc>
      </w:tr>
      <w:tr w:rsidR="006C4059" w14:paraId="41F46B75" w14:textId="77777777" w:rsidTr="000517EB">
        <w:tc>
          <w:tcPr>
            <w:tcW w:w="9741" w:type="dxa"/>
          </w:tcPr>
          <w:tbl>
            <w:tblPr>
              <w:tblW w:w="952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45"/>
              <w:gridCol w:w="4680"/>
            </w:tblGrid>
            <w:tr w:rsidR="00D9223A" w:rsidRPr="00715597" w14:paraId="1897FE88" w14:textId="77777777" w:rsidTr="00F958C0">
              <w:tc>
                <w:tcPr>
                  <w:tcW w:w="4845" w:type="dxa"/>
                  <w:shd w:val="clear" w:color="auto" w:fill="auto"/>
                  <w:hideMark/>
                </w:tcPr>
                <w:p w14:paraId="73B7A8AB" w14:textId="77777777" w:rsidR="005749E3" w:rsidRDefault="00014B32" w:rsidP="00D9223A">
                  <w:pPr>
                    <w:textAlignment w:val="baseline"/>
                    <w:rPr>
                      <w:rFonts w:ascii="Segoe UI" w:eastAsia="Times New Roman" w:hAnsi="Segoe UI" w:cs="Segoe U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Celebrate </w:t>
                  </w:r>
                  <w:r w:rsidR="005749E3">
                    <w:rPr>
                      <w:rFonts w:ascii="Segoe UI" w:eastAsia="Times New Roman" w:hAnsi="Segoe UI" w:cs="Segoe UI"/>
                      <w:b/>
                      <w:bCs/>
                      <w:color w:val="000000" w:themeColor="text1"/>
                      <w:sz w:val="28"/>
                      <w:szCs w:val="28"/>
                    </w:rPr>
                    <w:t>July</w:t>
                  </w:r>
                  <w:r>
                    <w:rPr>
                      <w:rFonts w:ascii="Segoe UI" w:eastAsia="Times New Roman" w:hAnsi="Segoe UI" w:cs="Segoe UI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4</w:t>
                  </w:r>
                  <w:r w:rsidRPr="00014B32">
                    <w:rPr>
                      <w:rFonts w:ascii="Segoe UI" w:eastAsia="Times New Roman" w:hAnsi="Segoe UI" w:cs="Segoe UI"/>
                      <w:b/>
                      <w:bCs/>
                      <w:color w:val="000000" w:themeColor="text1"/>
                      <w:sz w:val="28"/>
                      <w:szCs w:val="28"/>
                      <w:vertAlign w:val="superscript"/>
                    </w:rPr>
                    <w:t>th</w:t>
                  </w:r>
                  <w:r>
                    <w:rPr>
                      <w:rFonts w:ascii="Segoe UI" w:eastAsia="Times New Roman" w:hAnsi="Segoe UI" w:cs="Segoe UI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Safely </w:t>
                  </w:r>
                </w:p>
                <w:p w14:paraId="36B94192" w14:textId="1004E523" w:rsidR="00D9223A" w:rsidRPr="008C4BD2" w:rsidRDefault="00014B32" w:rsidP="00D9223A">
                  <w:pPr>
                    <w:textAlignment w:val="baseline"/>
                    <w:rPr>
                      <w:rFonts w:ascii="Segoe UI" w:eastAsia="Times New Roman" w:hAnsi="Segoe UI" w:cs="Segoe U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Segoe UI" w:eastAsia="Times New Roman" w:hAnsi="Segoe UI" w:cs="Segoe UI"/>
                      <w:b/>
                      <w:bCs/>
                      <w:color w:val="000000" w:themeColor="text1"/>
                      <w:sz w:val="28"/>
                      <w:szCs w:val="28"/>
                    </w:rPr>
                    <w:t>Protect</w:t>
                  </w:r>
                  <w:r w:rsidR="005749E3">
                    <w:rPr>
                      <w:rFonts w:ascii="Segoe UI" w:eastAsia="Times New Roman" w:hAnsi="Segoe UI" w:cs="Segoe UI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Segoe UI" w:eastAsia="Times New Roman" w:hAnsi="Segoe UI" w:cs="Segoe UI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Your Eyes </w:t>
                  </w:r>
                </w:p>
              </w:tc>
              <w:tc>
                <w:tcPr>
                  <w:tcW w:w="4680" w:type="dxa"/>
                  <w:shd w:val="clear" w:color="auto" w:fill="auto"/>
                  <w:hideMark/>
                </w:tcPr>
                <w:p w14:paraId="7C155C98" w14:textId="77777777" w:rsidR="00D9223A" w:rsidRPr="00715597" w:rsidRDefault="00D9223A" w:rsidP="00D9223A">
                  <w:pPr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715597">
                    <w:rPr>
                      <w:rFonts w:ascii="Arial" w:eastAsia="Times New Roman" w:hAnsi="Arial" w:cs="Arial"/>
                      <w:b/>
                      <w:bCs/>
                    </w:rPr>
                    <w:t>CONTACT:</w:t>
                  </w:r>
                  <w:r w:rsidRPr="00715597">
                    <w:rPr>
                      <w:rFonts w:ascii="Arial" w:eastAsia="Times New Roman" w:hAnsi="Arial" w:cs="Arial"/>
                    </w:rPr>
                    <w:t xml:space="preserve"> Judy </w:t>
                  </w:r>
                  <w:proofErr w:type="spellStart"/>
                  <w:r w:rsidRPr="00715597">
                    <w:rPr>
                      <w:rFonts w:ascii="Arial" w:eastAsia="Times New Roman" w:hAnsi="Arial" w:cs="Arial"/>
                    </w:rPr>
                    <w:t>Pardonnet</w:t>
                  </w:r>
                  <w:proofErr w:type="spellEnd"/>
                  <w:r w:rsidRPr="00715597">
                    <w:rPr>
                      <w:rFonts w:ascii="Arial" w:eastAsia="Times New Roman" w:hAnsi="Arial" w:cs="Arial"/>
                    </w:rPr>
                    <w:t xml:space="preserve"> </w:t>
                  </w:r>
                  <w:proofErr w:type="spellStart"/>
                  <w:r w:rsidRPr="00715597">
                    <w:rPr>
                      <w:rFonts w:ascii="Arial" w:eastAsia="Times New Roman" w:hAnsi="Arial" w:cs="Arial"/>
                    </w:rPr>
                    <w:t>Hilkevitch</w:t>
                  </w:r>
                  <w:proofErr w:type="spellEnd"/>
                  <w:r w:rsidRPr="00715597">
                    <w:rPr>
                      <w:rFonts w:ascii="Arial" w:eastAsia="Times New Roman" w:hAnsi="Arial" w:cs="Arial"/>
                    </w:rPr>
                    <w:t> </w:t>
                  </w:r>
                </w:p>
                <w:p w14:paraId="5A8E3C43" w14:textId="77777777" w:rsidR="00D9223A" w:rsidRPr="00715597" w:rsidRDefault="00000000" w:rsidP="00D9223A">
                  <w:pPr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hyperlink r:id="rId5" w:tgtFrame="_blank" w:history="1">
                    <w:r w:rsidR="00D9223A" w:rsidRPr="00715597">
                      <w:rPr>
                        <w:rFonts w:ascii="Arial" w:eastAsia="Times New Roman" w:hAnsi="Arial" w:cs="Arial"/>
                        <w:color w:val="0563C1"/>
                        <w:u w:val="single"/>
                      </w:rPr>
                      <w:t>Judy@TeamStrategia.com</w:t>
                    </w:r>
                  </w:hyperlink>
                  <w:r w:rsidR="00D9223A" w:rsidRPr="00715597">
                    <w:rPr>
                      <w:rFonts w:ascii="Arial" w:eastAsia="Times New Roman" w:hAnsi="Arial" w:cs="Arial"/>
                    </w:rPr>
                    <w:t> </w:t>
                  </w:r>
                </w:p>
                <w:p w14:paraId="1DAAB8B9" w14:textId="77777777" w:rsidR="00D9223A" w:rsidRPr="00715597" w:rsidRDefault="00D9223A" w:rsidP="00D9223A">
                  <w:pPr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715597">
                    <w:rPr>
                      <w:rFonts w:ascii="Arial" w:eastAsia="Times New Roman" w:hAnsi="Arial" w:cs="Arial"/>
                    </w:rPr>
                    <w:t>(630) 445-3019 </w:t>
                  </w:r>
                </w:p>
                <w:p w14:paraId="397D57A4" w14:textId="77777777" w:rsidR="00D9223A" w:rsidRPr="00715597" w:rsidRDefault="00D9223A" w:rsidP="00D9223A">
                  <w:pPr>
                    <w:jc w:val="right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</w:rPr>
                  </w:pPr>
                  <w:r w:rsidRPr="00715597">
                    <w:rPr>
                      <w:rFonts w:ascii="Arial" w:eastAsia="Times New Roman" w:hAnsi="Arial" w:cs="Arial"/>
                    </w:rPr>
                    <w:t> </w:t>
                  </w:r>
                </w:p>
              </w:tc>
            </w:tr>
            <w:tr w:rsidR="008F3FC6" w:rsidRPr="00715597" w14:paraId="77DD8A3D" w14:textId="77777777" w:rsidTr="00F958C0">
              <w:tc>
                <w:tcPr>
                  <w:tcW w:w="4845" w:type="dxa"/>
                  <w:shd w:val="clear" w:color="auto" w:fill="auto"/>
                </w:tcPr>
                <w:p w14:paraId="6D6CB955" w14:textId="77777777" w:rsidR="008F3FC6" w:rsidRPr="008C4BD2" w:rsidRDefault="008F3FC6" w:rsidP="00D9223A">
                  <w:pPr>
                    <w:textAlignment w:val="baseline"/>
                    <w:rPr>
                      <w:rFonts w:ascii="Segoe UI" w:eastAsia="Times New Roman" w:hAnsi="Segoe UI" w:cs="Segoe UI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680" w:type="dxa"/>
                  <w:shd w:val="clear" w:color="auto" w:fill="auto"/>
                </w:tcPr>
                <w:p w14:paraId="7F0EDA66" w14:textId="77777777" w:rsidR="008F3FC6" w:rsidRPr="00715597" w:rsidRDefault="008F3FC6" w:rsidP="00D9223A">
                  <w:pPr>
                    <w:jc w:val="right"/>
                    <w:textAlignment w:val="baseline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</w:tbl>
          <w:p w14:paraId="6DCC749A" w14:textId="46FB458F" w:rsidR="006C4059" w:rsidRPr="005749E3" w:rsidRDefault="005749E3" w:rsidP="005749E3">
            <w:pPr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5749E3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F</w:t>
            </w:r>
            <w:r w:rsidR="008164A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ocus on Eye Safety During Fireworks Season</w:t>
            </w:r>
          </w:p>
          <w:p w14:paraId="6EFB8399" w14:textId="77777777" w:rsidR="006C4059" w:rsidRDefault="006C4059"/>
        </w:tc>
      </w:tr>
      <w:tr w:rsidR="006C4059" w14:paraId="0ADB4485" w14:textId="77777777" w:rsidTr="000517EB">
        <w:tc>
          <w:tcPr>
            <w:tcW w:w="9741" w:type="dxa"/>
          </w:tcPr>
          <w:p w14:paraId="32BC4039" w14:textId="77777777" w:rsidR="006C4059" w:rsidRPr="00DC7A83" w:rsidRDefault="006C4059" w:rsidP="006C4059">
            <w:pPr>
              <w:textAlignment w:val="baseline"/>
              <w:rPr>
                <w:rFonts w:ascii="Arial" w:hAnsi="Arial" w:cs="Arial"/>
                <w:b/>
                <w:bCs/>
              </w:rPr>
            </w:pPr>
          </w:p>
          <w:p w14:paraId="58CB507A" w14:textId="268A9F2E" w:rsidR="006C4059" w:rsidRDefault="006C4059" w:rsidP="005749E3"/>
        </w:tc>
      </w:tr>
      <w:tr w:rsidR="00D9223A" w14:paraId="72F18B46" w14:textId="77777777" w:rsidTr="000517EB">
        <w:trPr>
          <w:trHeight w:val="7794"/>
        </w:trPr>
        <w:tc>
          <w:tcPr>
            <w:tcW w:w="9741" w:type="dxa"/>
          </w:tcPr>
          <w:p w14:paraId="4BAB668D" w14:textId="2B2F2B77" w:rsidR="00D9223A" w:rsidRDefault="005749E3" w:rsidP="005749E3">
            <w:pPr>
              <w:textAlignment w:val="baseline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June 30,</w:t>
            </w:r>
            <w:r w:rsidR="00D54A9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D9223A">
              <w:rPr>
                <w:rFonts w:ascii="Arial" w:eastAsia="Times New Roman" w:hAnsi="Arial" w:cs="Arial"/>
                <w:b/>
                <w:bCs/>
              </w:rPr>
              <w:t xml:space="preserve">2022, </w:t>
            </w:r>
            <w:r w:rsidR="00D9223A" w:rsidRPr="00715597">
              <w:rPr>
                <w:rFonts w:ascii="Arial" w:eastAsia="Times New Roman" w:hAnsi="Arial" w:cs="Arial"/>
                <w:b/>
                <w:bCs/>
              </w:rPr>
              <w:t>SPRINGFIELD, IL—</w:t>
            </w:r>
            <w:r w:rsidR="008164A2">
              <w:rPr>
                <w:rFonts w:ascii="Arial" w:eastAsia="Times New Roman" w:hAnsi="Arial" w:cs="Arial"/>
                <w:b/>
                <w:bCs/>
              </w:rPr>
              <w:t xml:space="preserve">The sights and sounds of fireworks are a trademark of summer celebrations.  </w:t>
            </w:r>
            <w:r w:rsidR="00062A37">
              <w:rPr>
                <w:rFonts w:ascii="Arial" w:eastAsia="Times New Roman" w:hAnsi="Arial" w:cs="Arial"/>
                <w:b/>
                <w:bCs/>
              </w:rPr>
              <w:t xml:space="preserve">Unfortunately, injuries from </w:t>
            </w:r>
            <w:r w:rsidR="00BA58B8">
              <w:rPr>
                <w:rFonts w:ascii="Arial" w:eastAsia="Times New Roman" w:hAnsi="Arial" w:cs="Arial"/>
                <w:b/>
                <w:bCs/>
              </w:rPr>
              <w:t>sparklers and fireworks</w:t>
            </w:r>
            <w:r w:rsidR="007475FE">
              <w:rPr>
                <w:rFonts w:ascii="Arial" w:eastAsia="Times New Roman" w:hAnsi="Arial" w:cs="Arial"/>
                <w:b/>
                <w:bCs/>
              </w:rPr>
              <w:t xml:space="preserve"> sen</w:t>
            </w:r>
            <w:r w:rsidR="00844A8B">
              <w:rPr>
                <w:rFonts w:ascii="Arial" w:eastAsia="Times New Roman" w:hAnsi="Arial" w:cs="Arial"/>
                <w:b/>
                <w:bCs/>
              </w:rPr>
              <w:t>t</w:t>
            </w:r>
            <w:r w:rsidR="007475FE">
              <w:rPr>
                <w:rFonts w:ascii="Arial" w:eastAsia="Times New Roman" w:hAnsi="Arial" w:cs="Arial"/>
                <w:b/>
                <w:bCs/>
              </w:rPr>
              <w:t xml:space="preserve"> an </w:t>
            </w:r>
            <w:r w:rsidR="00601728">
              <w:rPr>
                <w:rFonts w:ascii="Arial" w:eastAsia="Times New Roman" w:hAnsi="Arial" w:cs="Arial"/>
                <w:b/>
                <w:bCs/>
              </w:rPr>
              <w:t>estimated 11,500</w:t>
            </w:r>
            <w:r w:rsidR="007475FE">
              <w:rPr>
                <w:rFonts w:ascii="Arial" w:eastAsia="Times New Roman" w:hAnsi="Arial" w:cs="Arial"/>
                <w:b/>
                <w:bCs/>
              </w:rPr>
              <w:t xml:space="preserve"> Americans to the emergency room </w:t>
            </w:r>
            <w:r w:rsidR="00601728">
              <w:rPr>
                <w:rFonts w:ascii="Arial" w:eastAsia="Times New Roman" w:hAnsi="Arial" w:cs="Arial"/>
                <w:b/>
                <w:bCs/>
              </w:rPr>
              <w:t>last</w:t>
            </w:r>
            <w:r w:rsidR="007475FE">
              <w:rPr>
                <w:rFonts w:ascii="Arial" w:eastAsia="Times New Roman" w:hAnsi="Arial" w:cs="Arial"/>
                <w:b/>
                <w:bCs/>
              </w:rPr>
              <w:t xml:space="preserve"> year</w:t>
            </w:r>
            <w:r w:rsidR="00C62163">
              <w:rPr>
                <w:rFonts w:ascii="Arial" w:eastAsia="Times New Roman" w:hAnsi="Arial" w:cs="Arial"/>
                <w:b/>
                <w:bCs/>
              </w:rPr>
              <w:t xml:space="preserve">, according to a report issued by the </w:t>
            </w:r>
            <w:r w:rsidR="0095253A">
              <w:rPr>
                <w:rFonts w:ascii="Arial" w:eastAsia="Times New Roman" w:hAnsi="Arial" w:cs="Arial"/>
                <w:b/>
                <w:bCs/>
              </w:rPr>
              <w:t xml:space="preserve">U.S. </w:t>
            </w:r>
            <w:r w:rsidR="00C62163">
              <w:rPr>
                <w:rFonts w:ascii="Arial" w:eastAsia="Times New Roman" w:hAnsi="Arial" w:cs="Arial"/>
                <w:b/>
                <w:bCs/>
              </w:rPr>
              <w:t>Consumer Product Safety Commission</w:t>
            </w:r>
            <w:r w:rsidR="00A0159D">
              <w:rPr>
                <w:rFonts w:ascii="Arial" w:eastAsia="Times New Roman" w:hAnsi="Arial" w:cs="Arial"/>
                <w:b/>
                <w:bCs/>
              </w:rPr>
              <w:t>, (CPSC)</w:t>
            </w:r>
            <w:r w:rsidR="0095253A" w:rsidRPr="0095253A">
              <w:rPr>
                <w:rFonts w:ascii="Arial" w:eastAsia="Times New Roman" w:hAnsi="Arial" w:cs="Arial"/>
                <w:b/>
                <w:bCs/>
                <w:vertAlign w:val="superscript"/>
              </w:rPr>
              <w:t>1</w:t>
            </w:r>
            <w:r w:rsidR="00A0159D">
              <w:rPr>
                <w:rFonts w:ascii="Arial" w:eastAsia="Times New Roman" w:hAnsi="Arial" w:cs="Arial"/>
                <w:b/>
                <w:bCs/>
              </w:rPr>
              <w:t>.</w:t>
            </w:r>
          </w:p>
          <w:p w14:paraId="055AEABB" w14:textId="0BEBA828" w:rsidR="007475FE" w:rsidRDefault="007475FE" w:rsidP="005749E3">
            <w:pPr>
              <w:textAlignment w:val="baseline"/>
              <w:rPr>
                <w:rFonts w:ascii="Arial" w:hAnsi="Arial" w:cs="Arial"/>
                <w:b/>
                <w:bCs/>
              </w:rPr>
            </w:pPr>
          </w:p>
          <w:p w14:paraId="3131E464" w14:textId="6C0AE024" w:rsidR="00A0159D" w:rsidRDefault="007475FE" w:rsidP="005749E3">
            <w:pPr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“The best way to enjoy fireworks is at a professional display</w:t>
            </w:r>
            <w:r w:rsidR="00C62163">
              <w:rPr>
                <w:rFonts w:ascii="Arial" w:hAnsi="Arial" w:cs="Arial"/>
                <w:b/>
                <w:bCs/>
              </w:rPr>
              <w:t xml:space="preserve"> by a licensed exhibitor</w:t>
            </w:r>
            <w:r>
              <w:rPr>
                <w:rFonts w:ascii="Arial" w:hAnsi="Arial" w:cs="Arial"/>
                <w:b/>
                <w:bCs/>
              </w:rPr>
              <w:t xml:space="preserve">,” said </w:t>
            </w:r>
            <w:r w:rsidR="003A2590">
              <w:rPr>
                <w:rFonts w:ascii="Arial" w:hAnsi="Arial" w:cs="Arial"/>
                <w:b/>
                <w:bCs/>
              </w:rPr>
              <w:t>Tim Cundiff, O.D., President and Chair of the Illinois Optometric Association</w:t>
            </w:r>
            <w:r>
              <w:rPr>
                <w:rFonts w:ascii="Arial" w:hAnsi="Arial" w:cs="Arial"/>
                <w:b/>
                <w:bCs/>
              </w:rPr>
              <w:t>.  “</w:t>
            </w:r>
            <w:r w:rsidR="00566C66">
              <w:rPr>
                <w:rFonts w:ascii="Arial" w:hAnsi="Arial" w:cs="Arial"/>
                <w:b/>
                <w:bCs/>
              </w:rPr>
              <w:t>Every year across the country h</w:t>
            </w:r>
            <w:r>
              <w:rPr>
                <w:rFonts w:ascii="Arial" w:hAnsi="Arial" w:cs="Arial"/>
                <w:b/>
                <w:bCs/>
              </w:rPr>
              <w:t xml:space="preserve">undreds of patients </w:t>
            </w:r>
            <w:r w:rsidR="00F72FA8">
              <w:rPr>
                <w:rFonts w:ascii="Arial" w:hAnsi="Arial" w:cs="Arial"/>
                <w:b/>
                <w:bCs/>
              </w:rPr>
              <w:t>visit emergency rooms</w:t>
            </w:r>
            <w:r w:rsidR="00566C66">
              <w:rPr>
                <w:rFonts w:ascii="Arial" w:hAnsi="Arial" w:cs="Arial"/>
                <w:b/>
                <w:bCs/>
              </w:rPr>
              <w:t xml:space="preserve"> with eye injuries from </w:t>
            </w:r>
            <w:r w:rsidR="00CB6ABB">
              <w:rPr>
                <w:rFonts w:ascii="Arial" w:hAnsi="Arial" w:cs="Arial"/>
                <w:b/>
                <w:bCs/>
              </w:rPr>
              <w:t xml:space="preserve">fireworks, </w:t>
            </w:r>
            <w:r w:rsidR="00566C66">
              <w:rPr>
                <w:rFonts w:ascii="Arial" w:hAnsi="Arial" w:cs="Arial"/>
                <w:b/>
                <w:bCs/>
              </w:rPr>
              <w:t xml:space="preserve">smoke bombs, bottle rockets, and </w:t>
            </w:r>
            <w:r w:rsidR="00CB6ABB">
              <w:rPr>
                <w:rFonts w:ascii="Arial" w:hAnsi="Arial" w:cs="Arial"/>
                <w:b/>
                <w:bCs/>
              </w:rPr>
              <w:t>sparklers,</w:t>
            </w:r>
            <w:r w:rsidR="000402B5">
              <w:rPr>
                <w:rFonts w:ascii="Arial" w:hAnsi="Arial" w:cs="Arial"/>
                <w:b/>
                <w:bCs/>
              </w:rPr>
              <w:t xml:space="preserve">” </w:t>
            </w:r>
            <w:r w:rsidR="003A2590">
              <w:rPr>
                <w:rFonts w:ascii="Arial" w:hAnsi="Arial" w:cs="Arial"/>
                <w:b/>
                <w:bCs/>
              </w:rPr>
              <w:t>Cundiff</w:t>
            </w:r>
            <w:r w:rsidR="00566C66">
              <w:rPr>
                <w:rFonts w:ascii="Arial" w:hAnsi="Arial" w:cs="Arial"/>
                <w:b/>
                <w:bCs/>
              </w:rPr>
              <w:t xml:space="preserve"> said.  </w:t>
            </w:r>
          </w:p>
          <w:p w14:paraId="22C27B5A" w14:textId="77777777" w:rsidR="00A0159D" w:rsidRDefault="00A0159D" w:rsidP="005749E3">
            <w:pPr>
              <w:textAlignment w:val="baseline"/>
              <w:rPr>
                <w:rFonts w:ascii="Arial" w:hAnsi="Arial" w:cs="Arial"/>
                <w:b/>
                <w:bCs/>
              </w:rPr>
            </w:pPr>
          </w:p>
          <w:p w14:paraId="6A9EBE0D" w14:textId="16BA0320" w:rsidR="007475FE" w:rsidRDefault="00566C66" w:rsidP="005749E3">
            <w:pPr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Children should</w:t>
            </w:r>
            <w:r w:rsidR="00CB6ABB">
              <w:rPr>
                <w:rFonts w:ascii="Arial" w:hAnsi="Arial" w:cs="Arial"/>
                <w:b/>
                <w:bCs/>
              </w:rPr>
              <w:t xml:space="preserve"> not be allowed to use sparklers because they</w:t>
            </w:r>
            <w:r w:rsidR="00C62163">
              <w:rPr>
                <w:rFonts w:ascii="Arial" w:hAnsi="Arial" w:cs="Arial"/>
                <w:b/>
                <w:bCs/>
              </w:rPr>
              <w:t xml:space="preserve"> can</w:t>
            </w:r>
            <w:r w:rsidR="00CB6ABB">
              <w:rPr>
                <w:rFonts w:ascii="Arial" w:hAnsi="Arial" w:cs="Arial"/>
                <w:b/>
                <w:bCs/>
              </w:rPr>
              <w:t xml:space="preserve"> heat </w:t>
            </w:r>
            <w:r w:rsidR="00C62163">
              <w:rPr>
                <w:rFonts w:ascii="Arial" w:hAnsi="Arial" w:cs="Arial"/>
                <w:b/>
                <w:bCs/>
              </w:rPr>
              <w:t xml:space="preserve">up </w:t>
            </w:r>
            <w:r w:rsidR="00CB6ABB">
              <w:rPr>
                <w:rFonts w:ascii="Arial" w:hAnsi="Arial" w:cs="Arial"/>
                <w:b/>
                <w:bCs/>
              </w:rPr>
              <w:t>to 2,000 degrees or hotter</w:t>
            </w:r>
            <w:r w:rsidR="000402B5">
              <w:rPr>
                <w:rFonts w:ascii="Arial" w:hAnsi="Arial" w:cs="Arial"/>
                <w:b/>
                <w:bCs/>
              </w:rPr>
              <w:t xml:space="preserve"> which is hot enough to melt gold</w:t>
            </w:r>
            <w:r w:rsidR="00A0159D">
              <w:rPr>
                <w:rFonts w:ascii="Arial" w:hAnsi="Arial" w:cs="Arial"/>
                <w:b/>
                <w:bCs/>
              </w:rPr>
              <w:t>. The CPSC reports sparklers are the No. 1 cause of firework injuries requiring visits to emergency rooms and account for</w:t>
            </w:r>
            <w:r w:rsidR="00CF755D">
              <w:rPr>
                <w:rFonts w:ascii="Arial" w:hAnsi="Arial" w:cs="Arial"/>
                <w:b/>
                <w:bCs/>
              </w:rPr>
              <w:t xml:space="preserve"> more than half of the total estimated injuries to children under 5.</w:t>
            </w:r>
          </w:p>
          <w:p w14:paraId="10404291" w14:textId="0C466349" w:rsidR="00CB6ABB" w:rsidRDefault="00CB6ABB" w:rsidP="005749E3">
            <w:pPr>
              <w:textAlignment w:val="baseline"/>
              <w:rPr>
                <w:rFonts w:ascii="Arial" w:hAnsi="Arial" w:cs="Arial"/>
                <w:b/>
                <w:bCs/>
              </w:rPr>
            </w:pPr>
          </w:p>
          <w:p w14:paraId="035B9A40" w14:textId="5A9A7968" w:rsidR="00CB6ABB" w:rsidRDefault="00CB6ABB" w:rsidP="005749E3">
            <w:pPr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The American Optometric Association recommends wearing safety glasses when</w:t>
            </w:r>
            <w:r w:rsidR="000402B5">
              <w:rPr>
                <w:rFonts w:ascii="Arial" w:hAnsi="Arial" w:cs="Arial"/>
                <w:b/>
                <w:bCs/>
              </w:rPr>
              <w:t xml:space="preserve"> lighting or handling</w:t>
            </w:r>
            <w:r>
              <w:rPr>
                <w:rFonts w:ascii="Arial" w:hAnsi="Arial" w:cs="Arial"/>
                <w:b/>
                <w:bCs/>
              </w:rPr>
              <w:t xml:space="preserve"> fireworks and only light them when family, friends and children are at a safe distance</w:t>
            </w:r>
            <w:r w:rsidR="000402B5">
              <w:rPr>
                <w:rFonts w:ascii="Arial" w:hAnsi="Arial" w:cs="Arial"/>
                <w:b/>
                <w:bCs/>
              </w:rPr>
              <w:t>.</w:t>
            </w:r>
          </w:p>
          <w:p w14:paraId="73306AD6" w14:textId="237F8EB4" w:rsidR="000402B5" w:rsidRDefault="000402B5" w:rsidP="005749E3">
            <w:pPr>
              <w:textAlignment w:val="baseline"/>
              <w:rPr>
                <w:rFonts w:ascii="Arial" w:hAnsi="Arial" w:cs="Arial"/>
                <w:b/>
                <w:bCs/>
              </w:rPr>
            </w:pPr>
          </w:p>
          <w:p w14:paraId="7856FDFE" w14:textId="2123AF5E" w:rsidR="00D9223A" w:rsidRDefault="000402B5" w:rsidP="00D9223A">
            <w:pPr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Smoke bombs and bottle rockets </w:t>
            </w:r>
            <w:r w:rsidR="00A0159D">
              <w:rPr>
                <w:rFonts w:ascii="Arial" w:hAnsi="Arial" w:cs="Arial"/>
                <w:b/>
                <w:bCs/>
              </w:rPr>
              <w:t xml:space="preserve">can shed </w:t>
            </w:r>
            <w:r w:rsidR="00CF755D">
              <w:rPr>
                <w:rFonts w:ascii="Arial" w:hAnsi="Arial" w:cs="Arial"/>
                <w:b/>
                <w:bCs/>
              </w:rPr>
              <w:t xml:space="preserve">objects and debris that can </w:t>
            </w:r>
            <w:r w:rsidR="00066A7D">
              <w:rPr>
                <w:rFonts w:ascii="Arial" w:hAnsi="Arial" w:cs="Arial"/>
                <w:b/>
                <w:bCs/>
              </w:rPr>
              <w:t>become lodged in</w:t>
            </w:r>
            <w:r w:rsidR="00CF755D">
              <w:rPr>
                <w:rFonts w:ascii="Arial" w:hAnsi="Arial" w:cs="Arial"/>
                <w:b/>
                <w:bCs/>
              </w:rPr>
              <w:t xml:space="preserve"> the eye.  “If you are injured by fireworks</w:t>
            </w:r>
            <w:r w:rsidR="00E82D12">
              <w:rPr>
                <w:rFonts w:ascii="Arial" w:hAnsi="Arial" w:cs="Arial"/>
                <w:b/>
                <w:bCs/>
              </w:rPr>
              <w:t>,</w:t>
            </w:r>
            <w:r w:rsidR="00066A7D">
              <w:rPr>
                <w:rFonts w:ascii="Arial" w:hAnsi="Arial" w:cs="Arial"/>
                <w:b/>
                <w:bCs/>
              </w:rPr>
              <w:t xml:space="preserve"> do not attempt to remove debris from your eye and do not rub it</w:t>
            </w:r>
            <w:r w:rsidR="00780BD5">
              <w:rPr>
                <w:rFonts w:ascii="Arial" w:hAnsi="Arial" w:cs="Arial"/>
                <w:b/>
                <w:bCs/>
              </w:rPr>
              <w:t>.</w:t>
            </w:r>
            <w:r w:rsidR="00066A7D">
              <w:rPr>
                <w:rFonts w:ascii="Arial" w:hAnsi="Arial" w:cs="Arial"/>
                <w:b/>
                <w:bCs/>
              </w:rPr>
              <w:t xml:space="preserve"> </w:t>
            </w:r>
            <w:r w:rsidR="00780BD5">
              <w:rPr>
                <w:rFonts w:ascii="Arial" w:hAnsi="Arial" w:cs="Arial"/>
                <w:b/>
                <w:bCs/>
              </w:rPr>
              <w:t>S</w:t>
            </w:r>
            <w:r w:rsidR="00066A7D">
              <w:rPr>
                <w:rFonts w:ascii="Arial" w:hAnsi="Arial" w:cs="Arial"/>
                <w:b/>
                <w:bCs/>
              </w:rPr>
              <w:t>eek medical attention from a Doctor of Optometry or the nearest emergency room, immediately,</w:t>
            </w:r>
            <w:r w:rsidR="00E82D12">
              <w:rPr>
                <w:rFonts w:ascii="Arial" w:hAnsi="Arial" w:cs="Arial"/>
                <w:b/>
                <w:bCs/>
              </w:rPr>
              <w:t>”</w:t>
            </w:r>
            <w:r w:rsidR="00066A7D">
              <w:rPr>
                <w:rFonts w:ascii="Arial" w:hAnsi="Arial" w:cs="Arial"/>
                <w:b/>
                <w:bCs/>
              </w:rPr>
              <w:t xml:space="preserve"> said</w:t>
            </w:r>
            <w:r w:rsidR="003A2590">
              <w:rPr>
                <w:rFonts w:ascii="Arial" w:hAnsi="Arial" w:cs="Arial"/>
                <w:b/>
                <w:bCs/>
              </w:rPr>
              <w:t xml:space="preserve"> Dr. Cundiff</w:t>
            </w:r>
            <w:r w:rsidR="00066A7D">
              <w:rPr>
                <w:rFonts w:ascii="Arial" w:hAnsi="Arial" w:cs="Arial"/>
                <w:b/>
                <w:bCs/>
              </w:rPr>
              <w:t>.  “A seemingly mild injury can get worse if treatment is delayed</w:t>
            </w:r>
            <w:r w:rsidR="00187849">
              <w:rPr>
                <w:rFonts w:ascii="Arial" w:hAnsi="Arial" w:cs="Arial"/>
                <w:b/>
                <w:bCs/>
              </w:rPr>
              <w:t>,” Cundiff said.</w:t>
            </w:r>
          </w:p>
          <w:p w14:paraId="3C5AE03A" w14:textId="77777777" w:rsidR="00D9223A" w:rsidRPr="00DC7A83" w:rsidRDefault="00D9223A" w:rsidP="00D9223A">
            <w:pPr>
              <w:textAlignment w:val="baseline"/>
              <w:rPr>
                <w:rFonts w:ascii="Arial" w:hAnsi="Arial" w:cs="Arial"/>
                <w:b/>
                <w:bCs/>
              </w:rPr>
            </w:pPr>
          </w:p>
          <w:p w14:paraId="18E060E2" w14:textId="0C5ACFDB" w:rsidR="00D9223A" w:rsidRPr="000517EB" w:rsidRDefault="0095253A" w:rsidP="00D9223A">
            <w:pPr>
              <w:rPr>
                <w:rFonts w:ascii="Arial" w:hAnsi="Arial" w:cs="Arial"/>
                <w:sz w:val="28"/>
                <w:szCs w:val="28"/>
              </w:rPr>
            </w:pPr>
            <w:r w:rsidRPr="0095253A">
              <w:rPr>
                <w:rFonts w:ascii="Arial" w:hAnsi="Arial" w:cs="Arial"/>
                <w:sz w:val="28"/>
                <w:szCs w:val="28"/>
                <w:vertAlign w:val="superscript"/>
              </w:rPr>
              <w:t>1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6" w:history="1">
              <w:r w:rsidRPr="007D3FC8">
                <w:rPr>
                  <w:rStyle w:val="Hyperlink"/>
                  <w:rFonts w:ascii="Arial" w:hAnsi="Arial" w:cs="Arial"/>
                </w:rPr>
                <w:t>https://www.cpsc.gov/s3fs-public/2021-Fireworks-Annual-Report.pdf</w:t>
              </w:r>
            </w:hyperlink>
          </w:p>
        </w:tc>
      </w:tr>
    </w:tbl>
    <w:p w14:paraId="4A59E9FE" w14:textId="77777777" w:rsidR="00126C8F" w:rsidRDefault="00126C8F"/>
    <w:sectPr w:rsidR="00126C8F" w:rsidSect="000517EB">
      <w:pgSz w:w="12240" w:h="15840"/>
      <w:pgMar w:top="97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59"/>
    <w:rsid w:val="00014B32"/>
    <w:rsid w:val="000402B5"/>
    <w:rsid w:val="000517EB"/>
    <w:rsid w:val="00062A37"/>
    <w:rsid w:val="00066A7D"/>
    <w:rsid w:val="00126C8F"/>
    <w:rsid w:val="00187849"/>
    <w:rsid w:val="00273763"/>
    <w:rsid w:val="003A2590"/>
    <w:rsid w:val="00566C66"/>
    <w:rsid w:val="005749E3"/>
    <w:rsid w:val="00601728"/>
    <w:rsid w:val="006753FA"/>
    <w:rsid w:val="006C4059"/>
    <w:rsid w:val="007475FE"/>
    <w:rsid w:val="00780BD5"/>
    <w:rsid w:val="007B43A5"/>
    <w:rsid w:val="007D3FC8"/>
    <w:rsid w:val="008164A2"/>
    <w:rsid w:val="00844A8B"/>
    <w:rsid w:val="008C71B0"/>
    <w:rsid w:val="008F3FC6"/>
    <w:rsid w:val="009043B0"/>
    <w:rsid w:val="0095253A"/>
    <w:rsid w:val="00A0159D"/>
    <w:rsid w:val="00A9729F"/>
    <w:rsid w:val="00AD5413"/>
    <w:rsid w:val="00AD7D11"/>
    <w:rsid w:val="00BA58B8"/>
    <w:rsid w:val="00C62163"/>
    <w:rsid w:val="00C86949"/>
    <w:rsid w:val="00CB6ABB"/>
    <w:rsid w:val="00CF755D"/>
    <w:rsid w:val="00D54A9F"/>
    <w:rsid w:val="00D9223A"/>
    <w:rsid w:val="00DA553C"/>
    <w:rsid w:val="00E82D12"/>
    <w:rsid w:val="00F72FA8"/>
    <w:rsid w:val="00FB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E967C"/>
  <w15:chartTrackingRefBased/>
  <w15:docId w15:val="{635E6719-145E-0A4C-B27C-09A93E09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psc.gov/s3fs-public/2021-Fireworks-Annual-Report.pdf" TargetMode="External"/><Relationship Id="rId5" Type="http://schemas.openxmlformats.org/officeDocument/2006/relationships/hyperlink" Target="mailto:Judy@TeamStrategi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Pardonnet</dc:creator>
  <cp:keywords/>
  <dc:description/>
  <cp:lastModifiedBy>Stacey Arnos</cp:lastModifiedBy>
  <cp:revision>2</cp:revision>
  <dcterms:created xsi:type="dcterms:W3CDTF">2022-06-30T21:37:00Z</dcterms:created>
  <dcterms:modified xsi:type="dcterms:W3CDTF">2022-06-30T21:37:00Z</dcterms:modified>
</cp:coreProperties>
</file>