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328F0" w14:textId="23972522" w:rsidR="001E7B28" w:rsidRPr="00DF57F5" w:rsidRDefault="001E7B28" w:rsidP="00DF57F5">
      <w:pPr>
        <w:pStyle w:val="Heading1"/>
        <w:spacing w:before="0"/>
        <w:jc w:val="both"/>
        <w:rPr>
          <w:rFonts w:ascii="Palatino Linotype" w:hAnsi="Palatino Linotype"/>
          <w:b/>
          <w:color w:val="auto"/>
          <w:sz w:val="22"/>
          <w:szCs w:val="22"/>
          <w:lang w:val="fr-CA"/>
        </w:rPr>
      </w:pPr>
      <w:r w:rsidRPr="00DF57F5">
        <w:rPr>
          <w:rFonts w:ascii="Palatino Linotype" w:hAnsi="Palatino Linotype"/>
          <w:b/>
          <w:color w:val="auto"/>
          <w:sz w:val="22"/>
          <w:szCs w:val="22"/>
          <w:lang w:val="fr-CA"/>
        </w:rPr>
        <w:t xml:space="preserve">La décision de la CPI de poursuivre les crimes de viol et </w:t>
      </w:r>
      <w:r w:rsidR="00DD143E" w:rsidRPr="00DF57F5">
        <w:rPr>
          <w:rFonts w:ascii="Palatino Linotype" w:hAnsi="Palatino Linotype"/>
          <w:b/>
          <w:color w:val="auto"/>
          <w:sz w:val="22"/>
          <w:szCs w:val="22"/>
          <w:lang w:val="fr-CA"/>
        </w:rPr>
        <w:t>d’</w:t>
      </w:r>
      <w:r w:rsidRPr="00DF57F5">
        <w:rPr>
          <w:rFonts w:ascii="Palatino Linotype" w:hAnsi="Palatino Linotype"/>
          <w:b/>
          <w:color w:val="auto"/>
          <w:sz w:val="22"/>
          <w:szCs w:val="22"/>
          <w:lang w:val="fr-CA"/>
        </w:rPr>
        <w:t>esclavage sexuel commis à l’encontre d’enfants soldats : Une perspective féministe critique</w:t>
      </w:r>
    </w:p>
    <w:p w14:paraId="5C866B15" w14:textId="77777777" w:rsidR="001E7B28" w:rsidRPr="00DF57F5" w:rsidRDefault="001E7B28" w:rsidP="00DF57F5">
      <w:pPr>
        <w:jc w:val="both"/>
        <w:rPr>
          <w:rFonts w:ascii="Palatino Linotype" w:hAnsi="Palatino Linotype" w:cs="Times New Roman"/>
          <w:sz w:val="22"/>
          <w:szCs w:val="22"/>
          <w:lang w:val="fr-CA"/>
        </w:rPr>
      </w:pPr>
    </w:p>
    <w:p w14:paraId="11280144" w14:textId="1B92AEA8" w:rsidR="001E7B28" w:rsidRPr="004B782F" w:rsidRDefault="001E7B28" w:rsidP="00DF57F5">
      <w:pPr>
        <w:pStyle w:val="Heading2"/>
        <w:spacing w:before="0"/>
        <w:rPr>
          <w:rFonts w:ascii="Palatino Linotype" w:hAnsi="Palatino Linotype"/>
          <w:b/>
          <w:color w:val="auto"/>
          <w:sz w:val="22"/>
          <w:szCs w:val="22"/>
          <w:lang w:val="fr-CA"/>
        </w:rPr>
      </w:pPr>
      <w:r w:rsidRPr="004B782F">
        <w:rPr>
          <w:rFonts w:ascii="Palatino Linotype" w:hAnsi="Palatino Linotype"/>
          <w:b/>
          <w:color w:val="auto"/>
          <w:sz w:val="22"/>
          <w:szCs w:val="22"/>
          <w:lang w:val="fr-CA"/>
        </w:rPr>
        <w:t>Introduction</w:t>
      </w:r>
    </w:p>
    <w:p w14:paraId="46C55675" w14:textId="77777777" w:rsidR="001E7B28" w:rsidRPr="00DF57F5" w:rsidRDefault="001E7B28" w:rsidP="00DF57F5">
      <w:pPr>
        <w:jc w:val="both"/>
        <w:rPr>
          <w:rFonts w:ascii="Palatino Linotype" w:hAnsi="Palatino Linotype" w:cs="Times New Roman"/>
          <w:sz w:val="22"/>
          <w:szCs w:val="22"/>
          <w:lang w:val="fr-CA"/>
        </w:rPr>
      </w:pPr>
    </w:p>
    <w:p w14:paraId="6D8F71EE" w14:textId="2BD72220" w:rsidR="006F32EC" w:rsidRPr="00DF57F5" w:rsidRDefault="00931FB9" w:rsidP="00DF57F5">
      <w:pPr>
        <w:jc w:val="both"/>
        <w:rPr>
          <w:rFonts w:ascii="Palatino Linotype" w:hAnsi="Palatino Linotype" w:cs="Times New Roman"/>
          <w:sz w:val="22"/>
          <w:szCs w:val="22"/>
          <w:lang w:val="fr-CA"/>
        </w:rPr>
      </w:pPr>
      <w:bookmarkStart w:id="0" w:name="_GoBack"/>
      <w:r w:rsidRPr="00DF57F5">
        <w:rPr>
          <w:rFonts w:ascii="Palatino Linotype" w:hAnsi="Palatino Linotype" w:cs="Times New Roman"/>
          <w:sz w:val="22"/>
          <w:szCs w:val="22"/>
          <w:lang w:val="fr-CA"/>
        </w:rPr>
        <w:t>Les crimes de violence basé</w:t>
      </w:r>
      <w:r w:rsidR="00E34111" w:rsidRPr="00DF57F5">
        <w:rPr>
          <w:rFonts w:ascii="Palatino Linotype" w:hAnsi="Palatino Linotype" w:cs="Times New Roman"/>
          <w:sz w:val="22"/>
          <w:szCs w:val="22"/>
          <w:lang w:val="fr-CA"/>
        </w:rPr>
        <w:t xml:space="preserve">s </w:t>
      </w:r>
      <w:r w:rsidRPr="00DF57F5">
        <w:rPr>
          <w:rFonts w:ascii="Palatino Linotype" w:hAnsi="Palatino Linotype" w:cs="Times New Roman"/>
          <w:sz w:val="22"/>
          <w:szCs w:val="22"/>
          <w:lang w:val="fr-CA"/>
        </w:rPr>
        <w:t xml:space="preserve">sur </w:t>
      </w:r>
      <w:r w:rsidR="00B21BDA" w:rsidRPr="00DF57F5">
        <w:rPr>
          <w:rFonts w:ascii="Palatino Linotype" w:hAnsi="Palatino Linotype" w:cs="Times New Roman"/>
          <w:sz w:val="22"/>
          <w:szCs w:val="22"/>
          <w:lang w:val="fr-CA"/>
        </w:rPr>
        <w:t>le genre ainsi que les crimes de</w:t>
      </w:r>
      <w:r w:rsidRPr="00DF57F5">
        <w:rPr>
          <w:rFonts w:ascii="Palatino Linotype" w:hAnsi="Palatino Linotype" w:cs="Times New Roman"/>
          <w:sz w:val="22"/>
          <w:szCs w:val="22"/>
          <w:lang w:val="fr-CA"/>
        </w:rPr>
        <w:t xml:space="preserve"> violence à l’égard des enfants</w:t>
      </w:r>
      <w:r w:rsidR="00B21BDA" w:rsidRPr="00DF57F5">
        <w:rPr>
          <w:rFonts w:ascii="Palatino Linotype" w:hAnsi="Palatino Linotype" w:cs="Times New Roman"/>
          <w:sz w:val="22"/>
          <w:szCs w:val="22"/>
          <w:lang w:val="fr-CA"/>
        </w:rPr>
        <w:t>,</w:t>
      </w:r>
      <w:r w:rsidRPr="00DF57F5">
        <w:rPr>
          <w:rFonts w:ascii="Palatino Linotype" w:hAnsi="Palatino Linotype" w:cs="Times New Roman"/>
          <w:sz w:val="22"/>
          <w:szCs w:val="22"/>
          <w:lang w:val="fr-CA"/>
        </w:rPr>
        <w:t xml:space="preserve"> dans un contexte de conflit armé</w:t>
      </w:r>
      <w:r w:rsidR="00B21BDA" w:rsidRPr="00DF57F5">
        <w:rPr>
          <w:rFonts w:ascii="Palatino Linotype" w:hAnsi="Palatino Linotype" w:cs="Times New Roman"/>
          <w:sz w:val="22"/>
          <w:szCs w:val="22"/>
          <w:lang w:val="fr-CA"/>
        </w:rPr>
        <w:t>,</w:t>
      </w:r>
      <w:r w:rsidRPr="00DF57F5">
        <w:rPr>
          <w:rFonts w:ascii="Palatino Linotype" w:hAnsi="Palatino Linotype" w:cs="Times New Roman"/>
          <w:sz w:val="22"/>
          <w:szCs w:val="22"/>
          <w:lang w:val="fr-CA"/>
        </w:rPr>
        <w:t xml:space="preserve"> ont reçu une attention indéniable au courant des deux dernières décennies, particulièrement </w:t>
      </w:r>
      <w:r w:rsidR="00A55707" w:rsidRPr="00DF57F5">
        <w:rPr>
          <w:rFonts w:ascii="Palatino Linotype" w:hAnsi="Palatino Linotype" w:cs="Times New Roman"/>
          <w:sz w:val="22"/>
          <w:szCs w:val="22"/>
          <w:lang w:val="fr-CA"/>
        </w:rPr>
        <w:t xml:space="preserve">dans le cadre </w:t>
      </w:r>
      <w:r w:rsidR="00713756" w:rsidRPr="00DF57F5">
        <w:rPr>
          <w:rFonts w:ascii="Palatino Linotype" w:hAnsi="Palatino Linotype" w:cs="Times New Roman"/>
          <w:sz w:val="22"/>
          <w:szCs w:val="22"/>
          <w:lang w:val="fr-CA"/>
        </w:rPr>
        <w:t>de tribunaux pénaux internationaux</w:t>
      </w:r>
      <w:r w:rsidRPr="00DF57F5">
        <w:rPr>
          <w:rFonts w:ascii="Palatino Linotype" w:hAnsi="Palatino Linotype" w:cs="Times New Roman"/>
          <w:sz w:val="22"/>
          <w:szCs w:val="22"/>
          <w:lang w:val="fr-CA"/>
        </w:rPr>
        <w:t xml:space="preserve"> </w:t>
      </w:r>
      <w:r w:rsidRPr="00DF57F5">
        <w:rPr>
          <w:rFonts w:ascii="Palatino Linotype" w:hAnsi="Palatino Linotype" w:cs="Times New Roman"/>
          <w:i/>
          <w:sz w:val="22"/>
          <w:szCs w:val="22"/>
          <w:lang w:val="fr-CA"/>
        </w:rPr>
        <w:t>ad</w:t>
      </w:r>
      <w:r w:rsidR="002015AA" w:rsidRPr="00DF57F5">
        <w:rPr>
          <w:rFonts w:ascii="Palatino Linotype" w:hAnsi="Palatino Linotype"/>
          <w:sz w:val="22"/>
          <w:szCs w:val="22"/>
        </w:rPr>
        <w:t> </w:t>
      </w:r>
      <w:r w:rsidRPr="00DF57F5">
        <w:rPr>
          <w:rFonts w:ascii="Palatino Linotype" w:hAnsi="Palatino Linotype" w:cs="Times New Roman"/>
          <w:i/>
          <w:sz w:val="22"/>
          <w:szCs w:val="22"/>
          <w:lang w:val="fr-CA"/>
        </w:rPr>
        <w:t>hoc</w:t>
      </w:r>
      <w:r w:rsidR="00A55707" w:rsidRPr="00DF57F5">
        <w:rPr>
          <w:rFonts w:ascii="Palatino Linotype" w:hAnsi="Palatino Linotype" w:cs="Times New Roman"/>
          <w:sz w:val="22"/>
          <w:szCs w:val="22"/>
          <w:lang w:val="fr-CA"/>
        </w:rPr>
        <w:t>, du Tribunal Spécial pour la Sierra Leone</w:t>
      </w:r>
      <w:r w:rsidRPr="00DF57F5">
        <w:rPr>
          <w:rFonts w:ascii="Palatino Linotype" w:hAnsi="Palatino Linotype" w:cs="Times New Roman"/>
          <w:sz w:val="22"/>
          <w:szCs w:val="22"/>
          <w:lang w:val="fr-CA"/>
        </w:rPr>
        <w:t xml:space="preserve"> et </w:t>
      </w:r>
      <w:r w:rsidR="00A55707" w:rsidRPr="00DF57F5">
        <w:rPr>
          <w:rFonts w:ascii="Palatino Linotype" w:hAnsi="Palatino Linotype" w:cs="Times New Roman"/>
          <w:sz w:val="22"/>
          <w:szCs w:val="22"/>
          <w:lang w:val="fr-CA"/>
        </w:rPr>
        <w:t xml:space="preserve">de </w:t>
      </w:r>
      <w:r w:rsidRPr="00DF57F5">
        <w:rPr>
          <w:rFonts w:ascii="Palatino Linotype" w:hAnsi="Palatino Linotype" w:cs="Times New Roman"/>
          <w:sz w:val="22"/>
          <w:szCs w:val="22"/>
          <w:lang w:val="fr-CA"/>
        </w:rPr>
        <w:t>l’établissement de la Cour pénale internationale</w:t>
      </w:r>
      <w:r w:rsidR="00A55707" w:rsidRPr="00DF57F5">
        <w:rPr>
          <w:rFonts w:ascii="Palatino Linotype" w:hAnsi="Palatino Linotype" w:cs="Times New Roman"/>
          <w:sz w:val="22"/>
          <w:szCs w:val="22"/>
          <w:lang w:val="fr-CA"/>
        </w:rPr>
        <w:t xml:space="preserve"> (CPI)</w:t>
      </w:r>
      <w:r w:rsidRPr="00DF57F5">
        <w:rPr>
          <w:rFonts w:ascii="Palatino Linotype" w:hAnsi="Palatino Linotype" w:cs="Times New Roman"/>
          <w:sz w:val="22"/>
          <w:szCs w:val="22"/>
          <w:lang w:val="fr-CA"/>
        </w:rPr>
        <w:t xml:space="preserve">. </w:t>
      </w:r>
      <w:r w:rsidR="00D066C4" w:rsidRPr="00DF57F5">
        <w:rPr>
          <w:rFonts w:ascii="Palatino Linotype" w:hAnsi="Palatino Linotype" w:cs="Times New Roman"/>
          <w:sz w:val="22"/>
          <w:szCs w:val="22"/>
          <w:lang w:val="fr-CA"/>
        </w:rPr>
        <w:t>Cela dit</w:t>
      </w:r>
      <w:r w:rsidR="00A55707" w:rsidRPr="00DF57F5">
        <w:rPr>
          <w:rFonts w:ascii="Palatino Linotype" w:hAnsi="Palatino Linotype" w:cs="Times New Roman"/>
          <w:sz w:val="22"/>
          <w:szCs w:val="22"/>
          <w:lang w:val="fr-CA"/>
        </w:rPr>
        <w:t>, la Chambre d</w:t>
      </w:r>
      <w:r w:rsidR="00D066C4" w:rsidRPr="00DF57F5">
        <w:rPr>
          <w:rFonts w:ascii="Palatino Linotype" w:hAnsi="Palatino Linotype" w:cs="Times New Roman"/>
          <w:sz w:val="22"/>
          <w:szCs w:val="22"/>
          <w:lang w:val="fr-CA"/>
        </w:rPr>
        <w:t>e première instance VI</w:t>
      </w:r>
      <w:r w:rsidR="007A7FAB" w:rsidRPr="00DF57F5">
        <w:rPr>
          <w:rFonts w:ascii="Palatino Linotype" w:hAnsi="Palatino Linotype" w:cs="Times New Roman"/>
          <w:sz w:val="22"/>
          <w:szCs w:val="22"/>
          <w:lang w:val="fr-CA"/>
        </w:rPr>
        <w:t xml:space="preserve"> </w:t>
      </w:r>
      <w:r w:rsidR="00456FA4" w:rsidRPr="00DF57F5">
        <w:rPr>
          <w:rFonts w:ascii="Palatino Linotype" w:hAnsi="Palatino Linotype" w:cs="Times New Roman"/>
          <w:sz w:val="22"/>
          <w:szCs w:val="22"/>
          <w:lang w:val="fr-CA"/>
        </w:rPr>
        <w:t>de la CPI</w:t>
      </w:r>
      <w:r w:rsidR="00A80183" w:rsidRPr="00DF57F5">
        <w:rPr>
          <w:rFonts w:ascii="Palatino Linotype" w:hAnsi="Palatino Linotype" w:cs="Times New Roman"/>
          <w:sz w:val="22"/>
          <w:szCs w:val="22"/>
          <w:lang w:val="fr-CA"/>
        </w:rPr>
        <w:t xml:space="preserve"> (‘La Chambre’)</w:t>
      </w:r>
      <w:r w:rsidR="00713756" w:rsidRPr="00DF57F5">
        <w:rPr>
          <w:rFonts w:ascii="Palatino Linotype" w:hAnsi="Palatino Linotype" w:cs="Times New Roman"/>
          <w:sz w:val="22"/>
          <w:szCs w:val="22"/>
          <w:lang w:val="fr-CA"/>
        </w:rPr>
        <w:t>,</w:t>
      </w:r>
      <w:r w:rsidR="00456FA4" w:rsidRPr="00DF57F5">
        <w:rPr>
          <w:rFonts w:ascii="Palatino Linotype" w:hAnsi="Palatino Linotype" w:cs="Times New Roman"/>
          <w:sz w:val="22"/>
          <w:szCs w:val="22"/>
          <w:lang w:val="fr-CA"/>
        </w:rPr>
        <w:t xml:space="preserve"> </w:t>
      </w:r>
      <w:r w:rsidR="007A7FAB" w:rsidRPr="00DF57F5">
        <w:rPr>
          <w:rFonts w:ascii="Palatino Linotype" w:hAnsi="Palatino Linotype" w:cs="Times New Roman"/>
          <w:sz w:val="22"/>
          <w:szCs w:val="22"/>
          <w:lang w:val="fr-CA"/>
        </w:rPr>
        <w:t>dans l’af</w:t>
      </w:r>
      <w:r w:rsidR="00B21BDA" w:rsidRPr="00DF57F5">
        <w:rPr>
          <w:rFonts w:ascii="Palatino Linotype" w:hAnsi="Palatino Linotype" w:cs="Times New Roman"/>
          <w:sz w:val="22"/>
          <w:szCs w:val="22"/>
          <w:lang w:val="fr-CA"/>
        </w:rPr>
        <w:t xml:space="preserve">faire </w:t>
      </w:r>
      <w:r w:rsidR="00A55707" w:rsidRPr="00DF57F5">
        <w:rPr>
          <w:rFonts w:ascii="Palatino Linotype" w:hAnsi="Palatino Linotype" w:cs="Times New Roman"/>
          <w:i/>
          <w:sz w:val="22"/>
          <w:szCs w:val="22"/>
          <w:lang w:val="fr-CA"/>
        </w:rPr>
        <w:t xml:space="preserve">Le Procureur c. </w:t>
      </w:r>
      <w:r w:rsidR="00B21BDA" w:rsidRPr="00DF57F5">
        <w:rPr>
          <w:rFonts w:ascii="Palatino Linotype" w:hAnsi="Palatino Linotype" w:cs="Times New Roman"/>
          <w:i/>
          <w:sz w:val="22"/>
          <w:szCs w:val="22"/>
          <w:lang w:val="fr-CA"/>
        </w:rPr>
        <w:t>Bosco Ntaganda</w:t>
      </w:r>
      <w:r w:rsidR="00713756" w:rsidRPr="00DF57F5">
        <w:rPr>
          <w:rFonts w:ascii="Palatino Linotype" w:hAnsi="Palatino Linotype" w:cs="Times New Roman"/>
          <w:i/>
          <w:sz w:val="22"/>
          <w:szCs w:val="22"/>
          <w:lang w:val="fr-CA"/>
        </w:rPr>
        <w:t>,</w:t>
      </w:r>
      <w:r w:rsidR="00B21BDA" w:rsidRPr="00DF57F5">
        <w:rPr>
          <w:rFonts w:ascii="Palatino Linotype" w:hAnsi="Palatino Linotype" w:cs="Times New Roman"/>
          <w:sz w:val="22"/>
          <w:szCs w:val="22"/>
          <w:lang w:val="fr-CA"/>
        </w:rPr>
        <w:t xml:space="preserve"> a</w:t>
      </w:r>
      <w:r w:rsidR="00D066C4" w:rsidRPr="00DF57F5">
        <w:rPr>
          <w:rFonts w:ascii="Palatino Linotype" w:hAnsi="Palatino Linotype" w:cs="Times New Roman"/>
          <w:sz w:val="22"/>
          <w:szCs w:val="22"/>
          <w:lang w:val="fr-CA"/>
        </w:rPr>
        <w:t xml:space="preserve"> récemment</w:t>
      </w:r>
      <w:r w:rsidR="007A7FAB" w:rsidRPr="00DF57F5">
        <w:rPr>
          <w:rFonts w:ascii="Palatino Linotype" w:hAnsi="Palatino Linotype" w:cs="Times New Roman"/>
          <w:sz w:val="22"/>
          <w:szCs w:val="22"/>
          <w:lang w:val="fr-CA"/>
        </w:rPr>
        <w:t xml:space="preserve"> </w:t>
      </w:r>
      <w:r w:rsidR="004F0151" w:rsidRPr="00DF57F5">
        <w:rPr>
          <w:rFonts w:ascii="Palatino Linotype" w:hAnsi="Palatino Linotype" w:cs="Times New Roman"/>
          <w:sz w:val="22"/>
          <w:szCs w:val="22"/>
          <w:lang w:val="fr-CA"/>
        </w:rPr>
        <w:t>marqué</w:t>
      </w:r>
      <w:r w:rsidR="007A7FAB" w:rsidRPr="00DF57F5">
        <w:rPr>
          <w:rFonts w:ascii="Palatino Linotype" w:hAnsi="Palatino Linotype" w:cs="Times New Roman"/>
          <w:sz w:val="22"/>
          <w:szCs w:val="22"/>
          <w:lang w:val="fr-CA"/>
        </w:rPr>
        <w:t xml:space="preserve"> la jurisprudence à l’égard de la protecti</w:t>
      </w:r>
      <w:r w:rsidR="00655204" w:rsidRPr="00DF57F5">
        <w:rPr>
          <w:rFonts w:ascii="Palatino Linotype" w:hAnsi="Palatino Linotype" w:cs="Times New Roman"/>
          <w:sz w:val="22"/>
          <w:szCs w:val="22"/>
          <w:lang w:val="fr-CA"/>
        </w:rPr>
        <w:t xml:space="preserve">on octroyée aux anciens enfants </w:t>
      </w:r>
      <w:r w:rsidR="007A7FAB" w:rsidRPr="00DF57F5">
        <w:rPr>
          <w:rFonts w:ascii="Palatino Linotype" w:hAnsi="Palatino Linotype" w:cs="Times New Roman"/>
          <w:sz w:val="22"/>
          <w:szCs w:val="22"/>
          <w:lang w:val="fr-CA"/>
        </w:rPr>
        <w:t>soldats</w:t>
      </w:r>
      <w:r w:rsidR="00D066C4" w:rsidRPr="00DF57F5">
        <w:rPr>
          <w:rFonts w:ascii="Palatino Linotype" w:hAnsi="Palatino Linotype" w:cs="Times New Roman"/>
          <w:sz w:val="22"/>
          <w:szCs w:val="22"/>
          <w:lang w:val="fr-CA"/>
        </w:rPr>
        <w:t xml:space="preserve"> </w:t>
      </w:r>
      <w:r w:rsidR="00EA66A7" w:rsidRPr="00DF57F5">
        <w:rPr>
          <w:rFonts w:ascii="Palatino Linotype" w:hAnsi="Palatino Linotype" w:cs="Times New Roman"/>
          <w:sz w:val="22"/>
          <w:szCs w:val="22"/>
          <w:lang w:val="fr-CA"/>
        </w:rPr>
        <w:t xml:space="preserve">en élargissant la compétence de la cour à des charges </w:t>
      </w:r>
      <w:r w:rsidR="004F0151" w:rsidRPr="00DF57F5">
        <w:rPr>
          <w:rFonts w:ascii="Palatino Linotype" w:hAnsi="Palatino Linotype" w:cs="Times New Roman"/>
          <w:sz w:val="22"/>
          <w:szCs w:val="22"/>
          <w:lang w:val="fr-CA"/>
        </w:rPr>
        <w:t xml:space="preserve">spécifiques </w:t>
      </w:r>
      <w:r w:rsidR="00EA66A7" w:rsidRPr="00DF57F5">
        <w:rPr>
          <w:rFonts w:ascii="Palatino Linotype" w:hAnsi="Palatino Linotype" w:cs="Times New Roman"/>
          <w:sz w:val="22"/>
          <w:szCs w:val="22"/>
          <w:lang w:val="fr-CA"/>
        </w:rPr>
        <w:t>de violences sexuelles commises à l’encontre d’anciens enfants soldats</w:t>
      </w:r>
      <w:r w:rsidR="00EA66A7" w:rsidRPr="00DF57F5">
        <w:rPr>
          <w:rStyle w:val="FootnoteReference"/>
          <w:rFonts w:ascii="Palatino Linotype" w:hAnsi="Palatino Linotype" w:cs="Times New Roman"/>
          <w:sz w:val="22"/>
          <w:szCs w:val="22"/>
          <w:lang w:val="fr-CA"/>
        </w:rPr>
        <w:footnoteReference w:id="1"/>
      </w:r>
      <w:r w:rsidR="00D066C4" w:rsidRPr="00DF57F5">
        <w:rPr>
          <w:rFonts w:ascii="Palatino Linotype" w:hAnsi="Palatino Linotype" w:cs="Times New Roman"/>
          <w:sz w:val="22"/>
          <w:szCs w:val="22"/>
          <w:lang w:val="fr-CA"/>
        </w:rPr>
        <w:t>.</w:t>
      </w:r>
      <w:r w:rsidR="007A7FAB" w:rsidRPr="00DF57F5">
        <w:rPr>
          <w:rFonts w:ascii="Palatino Linotype" w:hAnsi="Palatino Linotype" w:cs="Times New Roman"/>
          <w:sz w:val="22"/>
          <w:szCs w:val="22"/>
          <w:lang w:val="fr-CA"/>
        </w:rPr>
        <w:t xml:space="preserve"> </w:t>
      </w:r>
    </w:p>
    <w:bookmarkEnd w:id="0"/>
    <w:p w14:paraId="0B122E50" w14:textId="2C334137" w:rsidR="00D45690" w:rsidRPr="00DF57F5" w:rsidRDefault="00D11E95" w:rsidP="00DF57F5">
      <w:pPr>
        <w:ind w:firstLine="708"/>
        <w:jc w:val="both"/>
        <w:rPr>
          <w:rFonts w:ascii="Palatino Linotype" w:hAnsi="Palatino Linotype" w:cs="Times New Roman"/>
          <w:sz w:val="22"/>
          <w:szCs w:val="22"/>
          <w:lang w:val="fr-CA"/>
        </w:rPr>
      </w:pPr>
      <w:r w:rsidRPr="00DF57F5">
        <w:rPr>
          <w:rFonts w:ascii="Palatino Linotype" w:hAnsi="Palatino Linotype" w:cs="Times New Roman"/>
          <w:sz w:val="22"/>
          <w:szCs w:val="22"/>
          <w:lang w:val="fr-CA"/>
        </w:rPr>
        <w:t xml:space="preserve">Suite </w:t>
      </w:r>
      <w:r w:rsidR="00C24C95" w:rsidRPr="00DF57F5">
        <w:rPr>
          <w:rFonts w:ascii="Palatino Linotype" w:hAnsi="Palatino Linotype" w:cs="Times New Roman"/>
          <w:sz w:val="22"/>
          <w:szCs w:val="22"/>
          <w:lang w:val="fr-CA"/>
        </w:rPr>
        <w:t>à l’a</w:t>
      </w:r>
      <w:r w:rsidR="006F32EC" w:rsidRPr="00DF57F5">
        <w:rPr>
          <w:rFonts w:ascii="Palatino Linotype" w:hAnsi="Palatino Linotype" w:cs="Times New Roman"/>
          <w:sz w:val="22"/>
          <w:szCs w:val="22"/>
          <w:lang w:val="fr-CA"/>
        </w:rPr>
        <w:t>bsence de charge</w:t>
      </w:r>
      <w:r w:rsidR="004F0151" w:rsidRPr="00DF57F5">
        <w:rPr>
          <w:rFonts w:ascii="Palatino Linotype" w:hAnsi="Palatino Linotype" w:cs="Times New Roman"/>
          <w:sz w:val="22"/>
          <w:szCs w:val="22"/>
          <w:lang w:val="fr-CA"/>
        </w:rPr>
        <w:t>s</w:t>
      </w:r>
      <w:r w:rsidR="006F32EC" w:rsidRPr="00DF57F5">
        <w:rPr>
          <w:rFonts w:ascii="Palatino Linotype" w:hAnsi="Palatino Linotype" w:cs="Times New Roman"/>
          <w:sz w:val="22"/>
          <w:szCs w:val="22"/>
          <w:lang w:val="fr-CA"/>
        </w:rPr>
        <w:t xml:space="preserve"> concernant la violence sexuelle</w:t>
      </w:r>
      <w:r w:rsidR="00C24C95" w:rsidRPr="00DF57F5">
        <w:rPr>
          <w:rFonts w:ascii="Palatino Linotype" w:hAnsi="Palatino Linotype" w:cs="Times New Roman"/>
          <w:sz w:val="22"/>
          <w:szCs w:val="22"/>
          <w:lang w:val="fr-CA"/>
        </w:rPr>
        <w:t xml:space="preserve"> à l’égard des enfants soldats dans l’affaire </w:t>
      </w:r>
      <w:r w:rsidR="00C24C95" w:rsidRPr="00DF57F5">
        <w:rPr>
          <w:rFonts w:ascii="Palatino Linotype" w:hAnsi="Palatino Linotype" w:cs="Times New Roman"/>
          <w:i/>
          <w:sz w:val="22"/>
          <w:szCs w:val="22"/>
          <w:lang w:val="fr-CA"/>
        </w:rPr>
        <w:t>Le Procureur c. Thomas Lubanga</w:t>
      </w:r>
      <w:r w:rsidR="00C24C95" w:rsidRPr="00DF57F5">
        <w:rPr>
          <w:rStyle w:val="FootnoteReference"/>
          <w:rFonts w:ascii="Palatino Linotype" w:hAnsi="Palatino Linotype" w:cs="Times New Roman"/>
          <w:sz w:val="22"/>
          <w:szCs w:val="22"/>
          <w:lang w:val="fr-CA"/>
        </w:rPr>
        <w:footnoteReference w:id="2"/>
      </w:r>
      <w:r w:rsidR="00C24C95" w:rsidRPr="00DF57F5">
        <w:rPr>
          <w:rFonts w:ascii="Palatino Linotype" w:hAnsi="Palatino Linotype" w:cs="Times New Roman"/>
          <w:sz w:val="22"/>
          <w:szCs w:val="22"/>
          <w:lang w:val="fr-CA"/>
        </w:rPr>
        <w:t>, l</w:t>
      </w:r>
      <w:r w:rsidR="006F32EC" w:rsidRPr="00DF57F5">
        <w:rPr>
          <w:rFonts w:ascii="Palatino Linotype" w:hAnsi="Palatino Linotype" w:cs="Times New Roman"/>
          <w:sz w:val="22"/>
          <w:szCs w:val="22"/>
          <w:lang w:val="fr-CA"/>
        </w:rPr>
        <w:t>e Bureau du Procureur</w:t>
      </w:r>
      <w:r w:rsidR="00405326" w:rsidRPr="00DF57F5">
        <w:rPr>
          <w:rFonts w:ascii="Palatino Linotype" w:hAnsi="Palatino Linotype" w:cs="Times New Roman"/>
          <w:sz w:val="22"/>
          <w:szCs w:val="22"/>
          <w:lang w:val="fr-CA"/>
        </w:rPr>
        <w:t xml:space="preserve"> a pallié</w:t>
      </w:r>
      <w:r w:rsidR="00C24C95" w:rsidRPr="00DF57F5">
        <w:rPr>
          <w:rFonts w:ascii="Palatino Linotype" w:hAnsi="Palatino Linotype" w:cs="Times New Roman"/>
          <w:sz w:val="22"/>
          <w:szCs w:val="22"/>
          <w:lang w:val="fr-CA"/>
        </w:rPr>
        <w:t xml:space="preserve"> à cette lacune en incluant dans son </w:t>
      </w:r>
      <w:r w:rsidR="00C24C95" w:rsidRPr="00DF57F5">
        <w:rPr>
          <w:rFonts w:ascii="Palatino Linotype" w:hAnsi="Palatino Linotype" w:cs="Times New Roman"/>
          <w:i/>
          <w:sz w:val="22"/>
          <w:szCs w:val="22"/>
          <w:lang w:val="fr-CA"/>
        </w:rPr>
        <w:t>Document contenant les charges contre M. Ntagan</w:t>
      </w:r>
      <w:r w:rsidR="00D25E0F" w:rsidRPr="00DF57F5">
        <w:rPr>
          <w:rFonts w:ascii="Palatino Linotype" w:hAnsi="Palatino Linotype" w:cs="Times New Roman"/>
          <w:i/>
          <w:sz w:val="22"/>
          <w:szCs w:val="22"/>
          <w:lang w:val="fr-CA"/>
        </w:rPr>
        <w:t>da</w:t>
      </w:r>
      <w:r w:rsidR="00D25E0F" w:rsidRPr="00DF57F5">
        <w:rPr>
          <w:rFonts w:ascii="Palatino Linotype" w:hAnsi="Palatino Linotype" w:cs="Times New Roman"/>
          <w:sz w:val="22"/>
          <w:szCs w:val="22"/>
          <w:lang w:val="fr-CA"/>
        </w:rPr>
        <w:t xml:space="preserve"> les c</w:t>
      </w:r>
      <w:r w:rsidR="00655204" w:rsidRPr="00DF57F5">
        <w:rPr>
          <w:rFonts w:ascii="Palatino Linotype" w:hAnsi="Palatino Linotype" w:cs="Times New Roman"/>
          <w:sz w:val="22"/>
          <w:szCs w:val="22"/>
          <w:lang w:val="fr-CA"/>
        </w:rPr>
        <w:t xml:space="preserve">harges </w:t>
      </w:r>
      <w:r w:rsidR="00D25E0F" w:rsidRPr="00DF57F5">
        <w:rPr>
          <w:rFonts w:ascii="Palatino Linotype" w:hAnsi="Palatino Linotype" w:cs="Times New Roman"/>
          <w:sz w:val="22"/>
          <w:szCs w:val="22"/>
          <w:lang w:val="fr-CA"/>
        </w:rPr>
        <w:t>de viol et d’</w:t>
      </w:r>
      <w:r w:rsidR="00C94539" w:rsidRPr="00DF57F5">
        <w:rPr>
          <w:rFonts w:ascii="Palatino Linotype" w:hAnsi="Palatino Linotype" w:cs="Times New Roman"/>
          <w:sz w:val="22"/>
          <w:szCs w:val="22"/>
          <w:lang w:val="fr-CA"/>
        </w:rPr>
        <w:t xml:space="preserve">esclavage sexuel contre des </w:t>
      </w:r>
      <w:r w:rsidR="00655204" w:rsidRPr="00DF57F5">
        <w:rPr>
          <w:rFonts w:ascii="Palatino Linotype" w:hAnsi="Palatino Linotype" w:cs="Times New Roman"/>
          <w:sz w:val="22"/>
          <w:szCs w:val="22"/>
          <w:lang w:val="fr-CA"/>
        </w:rPr>
        <w:t xml:space="preserve">enfants </w:t>
      </w:r>
      <w:r w:rsidR="00D25E0F" w:rsidRPr="00DF57F5">
        <w:rPr>
          <w:rFonts w:ascii="Palatino Linotype" w:hAnsi="Palatino Linotype" w:cs="Times New Roman"/>
          <w:sz w:val="22"/>
          <w:szCs w:val="22"/>
          <w:lang w:val="fr-CA"/>
        </w:rPr>
        <w:t>soldats</w:t>
      </w:r>
      <w:r w:rsidR="00655204" w:rsidRPr="00DF57F5">
        <w:rPr>
          <w:rFonts w:ascii="Palatino Linotype" w:hAnsi="Palatino Linotype" w:cs="Times New Roman"/>
          <w:sz w:val="22"/>
          <w:szCs w:val="22"/>
          <w:lang w:val="fr-CA"/>
        </w:rPr>
        <w:t xml:space="preserve"> de moins de 15 ans</w:t>
      </w:r>
      <w:r w:rsidR="00513185" w:rsidRPr="00DF57F5">
        <w:rPr>
          <w:rFonts w:ascii="Palatino Linotype" w:hAnsi="Palatino Linotype" w:cs="Times New Roman"/>
          <w:sz w:val="22"/>
          <w:szCs w:val="22"/>
          <w:lang w:val="fr-CA"/>
        </w:rPr>
        <w:t xml:space="preserve"> de son propre groupe armé</w:t>
      </w:r>
      <w:r w:rsidR="00655204" w:rsidRPr="00DF57F5">
        <w:rPr>
          <w:rStyle w:val="FootnoteReference"/>
          <w:rFonts w:ascii="Palatino Linotype" w:hAnsi="Palatino Linotype" w:cs="Times New Roman"/>
          <w:sz w:val="22"/>
          <w:szCs w:val="22"/>
          <w:lang w:val="fr-CA"/>
        </w:rPr>
        <w:footnoteReference w:id="3"/>
      </w:r>
      <w:r w:rsidR="00655204" w:rsidRPr="00DF57F5">
        <w:rPr>
          <w:rFonts w:ascii="Palatino Linotype" w:hAnsi="Palatino Linotype" w:cs="Times New Roman"/>
          <w:sz w:val="22"/>
          <w:szCs w:val="22"/>
          <w:lang w:val="fr-CA"/>
        </w:rPr>
        <w:t>, charges ayant été confirmé</w:t>
      </w:r>
      <w:r w:rsidR="00E34111" w:rsidRPr="00DF57F5">
        <w:rPr>
          <w:rFonts w:ascii="Palatino Linotype" w:hAnsi="Palatino Linotype" w:cs="Times New Roman"/>
          <w:sz w:val="22"/>
          <w:szCs w:val="22"/>
          <w:lang w:val="fr-CA"/>
        </w:rPr>
        <w:t xml:space="preserve">es </w:t>
      </w:r>
      <w:r w:rsidR="00655204" w:rsidRPr="00DF57F5">
        <w:rPr>
          <w:rFonts w:ascii="Palatino Linotype" w:hAnsi="Palatino Linotype" w:cs="Times New Roman"/>
          <w:sz w:val="22"/>
          <w:szCs w:val="22"/>
          <w:lang w:val="fr-CA"/>
        </w:rPr>
        <w:t>par la Chambre préliminaire II</w:t>
      </w:r>
      <w:r w:rsidR="00A80183" w:rsidRPr="00DF57F5">
        <w:rPr>
          <w:rFonts w:ascii="Palatino Linotype" w:hAnsi="Palatino Linotype" w:cs="Times New Roman"/>
          <w:sz w:val="22"/>
          <w:szCs w:val="22"/>
          <w:lang w:val="fr-CA"/>
        </w:rPr>
        <w:t>,</w:t>
      </w:r>
      <w:r w:rsidR="002C7C78" w:rsidRPr="00DF57F5">
        <w:rPr>
          <w:rFonts w:ascii="Palatino Linotype" w:hAnsi="Palatino Linotype" w:cs="Times New Roman"/>
          <w:sz w:val="22"/>
          <w:szCs w:val="22"/>
          <w:lang w:val="fr-CA"/>
        </w:rPr>
        <w:t xml:space="preserve"> malgré l’opposition vigoureuse de la Défense de M. Bosco Ntaganda</w:t>
      </w:r>
      <w:r w:rsidR="00E766E7" w:rsidRPr="00DF57F5">
        <w:rPr>
          <w:rStyle w:val="FootnoteReference"/>
          <w:rFonts w:ascii="Palatino Linotype" w:hAnsi="Palatino Linotype" w:cs="Times New Roman"/>
          <w:sz w:val="22"/>
          <w:szCs w:val="22"/>
          <w:lang w:val="fr-CA"/>
        </w:rPr>
        <w:footnoteReference w:id="4"/>
      </w:r>
      <w:r w:rsidR="00655204" w:rsidRPr="00DF57F5">
        <w:rPr>
          <w:rFonts w:ascii="Palatino Linotype" w:hAnsi="Palatino Linotype" w:cs="Times New Roman"/>
          <w:sz w:val="22"/>
          <w:szCs w:val="22"/>
          <w:lang w:val="fr-CA"/>
        </w:rPr>
        <w:t>.</w:t>
      </w:r>
      <w:r w:rsidR="00D45690" w:rsidRPr="00DF57F5">
        <w:rPr>
          <w:rFonts w:ascii="Palatino Linotype" w:hAnsi="Palatino Linotype" w:cs="Times New Roman"/>
          <w:sz w:val="22"/>
          <w:szCs w:val="22"/>
          <w:lang w:val="fr-CA"/>
        </w:rPr>
        <w:t xml:space="preserve"> </w:t>
      </w:r>
      <w:r w:rsidR="002C7C78" w:rsidRPr="00DF57F5">
        <w:rPr>
          <w:rFonts w:ascii="Palatino Linotype" w:hAnsi="Palatino Linotype" w:cs="Times New Roman"/>
          <w:sz w:val="22"/>
          <w:szCs w:val="22"/>
          <w:lang w:val="fr-CA"/>
        </w:rPr>
        <w:t>Celle-ci s’est d’ailleurs opposé</w:t>
      </w:r>
      <w:r w:rsidR="00A80183" w:rsidRPr="00DF57F5">
        <w:rPr>
          <w:rFonts w:ascii="Palatino Linotype" w:hAnsi="Palatino Linotype" w:cs="Times New Roman"/>
          <w:sz w:val="22"/>
          <w:szCs w:val="22"/>
          <w:lang w:val="fr-CA"/>
        </w:rPr>
        <w:t>e</w:t>
      </w:r>
      <w:r w:rsidR="002C7C78" w:rsidRPr="00DF57F5">
        <w:rPr>
          <w:rFonts w:ascii="Palatino Linotype" w:hAnsi="Palatino Linotype" w:cs="Times New Roman"/>
          <w:sz w:val="22"/>
          <w:szCs w:val="22"/>
          <w:lang w:val="fr-CA"/>
        </w:rPr>
        <w:t xml:space="preserve"> à nouveau </w:t>
      </w:r>
      <w:r w:rsidR="00D45690" w:rsidRPr="00DF57F5">
        <w:rPr>
          <w:rFonts w:ascii="Palatino Linotype" w:hAnsi="Palatino Linotype" w:cs="Times New Roman"/>
          <w:sz w:val="22"/>
          <w:szCs w:val="22"/>
          <w:lang w:val="fr-CA"/>
        </w:rPr>
        <w:t xml:space="preserve">à la poursuite de telles charges sur la base d’un argument portant </w:t>
      </w:r>
      <w:r w:rsidR="00A2010E" w:rsidRPr="00DF57F5">
        <w:rPr>
          <w:rFonts w:ascii="Palatino Linotype" w:hAnsi="Palatino Linotype" w:cs="Times New Roman"/>
          <w:sz w:val="22"/>
          <w:szCs w:val="22"/>
          <w:lang w:val="fr-CA"/>
        </w:rPr>
        <w:t xml:space="preserve">essentiellement </w:t>
      </w:r>
      <w:r w:rsidR="00D45690" w:rsidRPr="00DF57F5">
        <w:rPr>
          <w:rFonts w:ascii="Palatino Linotype" w:hAnsi="Palatino Linotype" w:cs="Times New Roman"/>
          <w:sz w:val="22"/>
          <w:szCs w:val="22"/>
          <w:lang w:val="fr-CA"/>
        </w:rPr>
        <w:t>sur la compétence de la Cour</w:t>
      </w:r>
      <w:r w:rsidR="00A80183" w:rsidRPr="00DF57F5">
        <w:rPr>
          <w:rFonts w:ascii="Palatino Linotype" w:hAnsi="Palatino Linotype" w:cs="Times New Roman"/>
          <w:sz w:val="22"/>
          <w:szCs w:val="22"/>
          <w:lang w:val="fr-CA"/>
        </w:rPr>
        <w:t>,</w:t>
      </w:r>
      <w:r w:rsidR="002C7C78" w:rsidRPr="00DF57F5">
        <w:rPr>
          <w:rFonts w:ascii="Palatino Linotype" w:hAnsi="Palatino Linotype" w:cs="Times New Roman"/>
          <w:sz w:val="22"/>
          <w:szCs w:val="22"/>
          <w:lang w:val="fr-CA"/>
        </w:rPr>
        <w:t xml:space="preserve"> que la Chambre a rejeté </w:t>
      </w:r>
      <w:r w:rsidR="00984F62" w:rsidRPr="00DF57F5">
        <w:rPr>
          <w:rFonts w:ascii="Palatino Linotype" w:hAnsi="Palatino Linotype" w:cs="Times New Roman"/>
          <w:sz w:val="22"/>
          <w:szCs w:val="22"/>
          <w:lang w:val="fr-CA"/>
        </w:rPr>
        <w:t>le 4</w:t>
      </w:r>
      <w:r w:rsidR="00A80183" w:rsidRPr="00DF57F5">
        <w:rPr>
          <w:rFonts w:ascii="Palatino Linotype" w:hAnsi="Palatino Linotype" w:cs="Times New Roman"/>
          <w:sz w:val="22"/>
          <w:szCs w:val="22"/>
          <w:lang w:val="fr-CA"/>
        </w:rPr>
        <w:t xml:space="preserve"> janvier 2017, à la suite</w:t>
      </w:r>
      <w:r w:rsidR="00A2010E" w:rsidRPr="00DF57F5">
        <w:rPr>
          <w:rFonts w:ascii="Palatino Linotype" w:hAnsi="Palatino Linotype" w:cs="Times New Roman"/>
          <w:sz w:val="22"/>
          <w:szCs w:val="22"/>
          <w:lang w:val="fr-CA"/>
        </w:rPr>
        <w:t xml:space="preserve"> </w:t>
      </w:r>
      <w:r w:rsidR="00A80183" w:rsidRPr="00DF57F5">
        <w:rPr>
          <w:rFonts w:ascii="Palatino Linotype" w:hAnsi="Palatino Linotype" w:cs="Times New Roman"/>
          <w:sz w:val="22"/>
          <w:szCs w:val="22"/>
          <w:lang w:val="fr-CA"/>
        </w:rPr>
        <w:t>d’</w:t>
      </w:r>
      <w:r w:rsidR="00A2010E" w:rsidRPr="00DF57F5">
        <w:rPr>
          <w:rFonts w:ascii="Palatino Linotype" w:hAnsi="Palatino Linotype" w:cs="Times New Roman"/>
          <w:sz w:val="22"/>
          <w:szCs w:val="22"/>
          <w:lang w:val="fr-CA"/>
        </w:rPr>
        <w:t>une saga judiciaire de plusieurs mois</w:t>
      </w:r>
      <w:r w:rsidR="00491CAA" w:rsidRPr="00DF57F5">
        <w:rPr>
          <w:rStyle w:val="FootnoteReference"/>
          <w:rFonts w:ascii="Palatino Linotype" w:hAnsi="Palatino Linotype" w:cs="Times New Roman"/>
          <w:sz w:val="22"/>
          <w:szCs w:val="22"/>
          <w:lang w:val="fr-CA"/>
        </w:rPr>
        <w:footnoteReference w:id="5"/>
      </w:r>
      <w:r w:rsidR="004A19EB" w:rsidRPr="00DF57F5">
        <w:rPr>
          <w:rFonts w:ascii="Palatino Linotype" w:hAnsi="Palatino Linotype" w:cs="Times New Roman"/>
          <w:sz w:val="22"/>
          <w:szCs w:val="22"/>
          <w:lang w:val="fr-CA"/>
        </w:rPr>
        <w:t>. La Dé</w:t>
      </w:r>
      <w:r w:rsidR="00350453" w:rsidRPr="00DF57F5">
        <w:rPr>
          <w:rFonts w:ascii="Palatino Linotype" w:hAnsi="Palatino Linotype" w:cs="Times New Roman"/>
          <w:sz w:val="22"/>
          <w:szCs w:val="22"/>
          <w:lang w:val="fr-CA"/>
        </w:rPr>
        <w:t>fense a formulé un deuxième appel à ce sujet</w:t>
      </w:r>
      <w:r w:rsidR="00A80183" w:rsidRPr="00DF57F5">
        <w:rPr>
          <w:rStyle w:val="FootnoteReference"/>
          <w:rFonts w:ascii="Palatino Linotype" w:hAnsi="Palatino Linotype" w:cs="Times New Roman"/>
          <w:sz w:val="22"/>
          <w:szCs w:val="22"/>
          <w:lang w:val="fr-CA"/>
        </w:rPr>
        <w:footnoteReference w:id="6"/>
      </w:r>
      <w:r w:rsidR="00350453" w:rsidRPr="00DF57F5">
        <w:rPr>
          <w:rFonts w:ascii="Palatino Linotype" w:hAnsi="Palatino Linotype" w:cs="Times New Roman"/>
          <w:sz w:val="22"/>
          <w:szCs w:val="22"/>
          <w:lang w:val="fr-CA"/>
        </w:rPr>
        <w:t>, qui est présentement</w:t>
      </w:r>
      <w:r w:rsidRPr="00DF57F5">
        <w:rPr>
          <w:rFonts w:ascii="Palatino Linotype" w:hAnsi="Palatino Linotype" w:cs="Times New Roman"/>
          <w:sz w:val="22"/>
          <w:szCs w:val="22"/>
          <w:lang w:val="fr-CA"/>
        </w:rPr>
        <w:t xml:space="preserve"> toujours</w:t>
      </w:r>
      <w:r w:rsidR="00350453" w:rsidRPr="00DF57F5">
        <w:rPr>
          <w:rFonts w:ascii="Palatino Linotype" w:hAnsi="Palatino Linotype" w:cs="Times New Roman"/>
          <w:sz w:val="22"/>
          <w:szCs w:val="22"/>
          <w:lang w:val="fr-CA"/>
        </w:rPr>
        <w:t xml:space="preserve"> en délibéré. </w:t>
      </w:r>
      <w:r w:rsidRPr="00DF57F5">
        <w:rPr>
          <w:rFonts w:ascii="Palatino Linotype" w:hAnsi="Palatino Linotype" w:cs="Times New Roman"/>
          <w:sz w:val="22"/>
          <w:szCs w:val="22"/>
          <w:lang w:val="fr-CA"/>
        </w:rPr>
        <w:t>Il sera donc question</w:t>
      </w:r>
      <w:r w:rsidR="004F0151" w:rsidRPr="00DF57F5">
        <w:rPr>
          <w:rFonts w:ascii="Palatino Linotype" w:hAnsi="Palatino Linotype" w:cs="Times New Roman"/>
          <w:sz w:val="22"/>
          <w:szCs w:val="22"/>
          <w:lang w:val="fr-CA"/>
        </w:rPr>
        <w:t xml:space="preserve"> ici,</w:t>
      </w:r>
      <w:r w:rsidRPr="00DF57F5">
        <w:rPr>
          <w:rFonts w:ascii="Palatino Linotype" w:hAnsi="Palatino Linotype" w:cs="Times New Roman"/>
          <w:sz w:val="22"/>
          <w:szCs w:val="22"/>
          <w:lang w:val="fr-CA"/>
        </w:rPr>
        <w:t xml:space="preserve"> dans un premier temps</w:t>
      </w:r>
      <w:r w:rsidR="004F0151" w:rsidRPr="00DF57F5">
        <w:rPr>
          <w:rFonts w:ascii="Palatino Linotype" w:hAnsi="Palatino Linotype" w:cs="Times New Roman"/>
          <w:sz w:val="22"/>
          <w:szCs w:val="22"/>
          <w:lang w:val="fr-CA"/>
        </w:rPr>
        <w:t>,</w:t>
      </w:r>
      <w:r w:rsidRPr="00DF57F5">
        <w:rPr>
          <w:rFonts w:ascii="Palatino Linotype" w:hAnsi="Palatino Linotype" w:cs="Times New Roman"/>
          <w:sz w:val="22"/>
          <w:szCs w:val="22"/>
          <w:lang w:val="fr-CA"/>
        </w:rPr>
        <w:t xml:space="preserve"> de mettre en lumière les différents arguments proposés par les parties ainsi que </w:t>
      </w:r>
      <w:r w:rsidR="007F6CD0" w:rsidRPr="00DF57F5">
        <w:rPr>
          <w:rFonts w:ascii="Palatino Linotype" w:hAnsi="Palatino Linotype" w:cs="Times New Roman"/>
          <w:sz w:val="22"/>
          <w:szCs w:val="22"/>
          <w:lang w:val="fr-CA"/>
        </w:rPr>
        <w:t>les éléments clefs de la décision rendue par la Chambre de première instance</w:t>
      </w:r>
      <w:r w:rsidR="00721B0A" w:rsidRPr="00DF57F5">
        <w:rPr>
          <w:rFonts w:ascii="Palatino Linotype" w:hAnsi="Palatino Linotype" w:cs="Times New Roman"/>
          <w:sz w:val="22"/>
          <w:szCs w:val="22"/>
          <w:lang w:val="fr-CA"/>
        </w:rPr>
        <w:t xml:space="preserve">. </w:t>
      </w:r>
      <w:r w:rsidR="004F0151" w:rsidRPr="00DF57F5">
        <w:rPr>
          <w:rFonts w:ascii="Palatino Linotype" w:hAnsi="Palatino Linotype" w:cs="Times New Roman"/>
          <w:sz w:val="22"/>
          <w:szCs w:val="22"/>
          <w:lang w:val="fr-CA"/>
        </w:rPr>
        <w:lastRenderedPageBreak/>
        <w:t>A</w:t>
      </w:r>
      <w:r w:rsidR="000C38E1" w:rsidRPr="00DF57F5">
        <w:rPr>
          <w:rFonts w:ascii="Palatino Linotype" w:hAnsi="Palatino Linotype" w:cs="Times New Roman"/>
          <w:sz w:val="22"/>
          <w:szCs w:val="22"/>
          <w:lang w:val="fr-CA"/>
        </w:rPr>
        <w:t xml:space="preserve">u-delà </w:t>
      </w:r>
      <w:r w:rsidR="007F6CD0" w:rsidRPr="00DF57F5">
        <w:rPr>
          <w:rFonts w:ascii="Palatino Linotype" w:hAnsi="Palatino Linotype" w:cs="Times New Roman"/>
          <w:sz w:val="22"/>
          <w:szCs w:val="22"/>
          <w:lang w:val="fr-CA"/>
        </w:rPr>
        <w:t>des arguments relatifs</w:t>
      </w:r>
      <w:r w:rsidR="000C38E1" w:rsidRPr="00DF57F5">
        <w:rPr>
          <w:rFonts w:ascii="Palatino Linotype" w:hAnsi="Palatino Linotype" w:cs="Times New Roman"/>
          <w:sz w:val="22"/>
          <w:szCs w:val="22"/>
          <w:lang w:val="fr-CA"/>
        </w:rPr>
        <w:t xml:space="preserve"> à la juridiction de la CPI sur ces crimes, </w:t>
      </w:r>
      <w:r w:rsidR="00775EE5" w:rsidRPr="00DF57F5">
        <w:rPr>
          <w:rFonts w:ascii="Palatino Linotype" w:hAnsi="Palatino Linotype" w:cs="Times New Roman"/>
          <w:sz w:val="22"/>
          <w:szCs w:val="22"/>
          <w:lang w:val="fr-CA"/>
        </w:rPr>
        <w:t>il sera question</w:t>
      </w:r>
      <w:r w:rsidR="004F0151" w:rsidRPr="00DF57F5">
        <w:rPr>
          <w:rFonts w:ascii="Palatino Linotype" w:hAnsi="Palatino Linotype" w:cs="Times New Roman"/>
          <w:sz w:val="22"/>
          <w:szCs w:val="22"/>
          <w:lang w:val="fr-CA"/>
        </w:rPr>
        <w:t>,</w:t>
      </w:r>
      <w:r w:rsidR="00775EE5" w:rsidRPr="00DF57F5">
        <w:rPr>
          <w:rFonts w:ascii="Palatino Linotype" w:hAnsi="Palatino Linotype" w:cs="Times New Roman"/>
          <w:sz w:val="22"/>
          <w:szCs w:val="22"/>
          <w:lang w:val="fr-CA"/>
        </w:rPr>
        <w:t xml:space="preserve"> en deuxième lieu</w:t>
      </w:r>
      <w:r w:rsidR="004F0151" w:rsidRPr="00DF57F5">
        <w:rPr>
          <w:rFonts w:ascii="Palatino Linotype" w:hAnsi="Palatino Linotype" w:cs="Times New Roman"/>
          <w:sz w:val="22"/>
          <w:szCs w:val="22"/>
          <w:lang w:val="fr-CA"/>
        </w:rPr>
        <w:t>,</w:t>
      </w:r>
      <w:r w:rsidR="00775EE5" w:rsidRPr="00DF57F5">
        <w:rPr>
          <w:rFonts w:ascii="Palatino Linotype" w:hAnsi="Palatino Linotype" w:cs="Times New Roman"/>
          <w:sz w:val="22"/>
          <w:szCs w:val="22"/>
          <w:lang w:val="fr-CA"/>
        </w:rPr>
        <w:t xml:space="preserve"> de s</w:t>
      </w:r>
      <w:r w:rsidR="009062E5" w:rsidRPr="00DF57F5">
        <w:rPr>
          <w:rFonts w:ascii="Palatino Linotype" w:hAnsi="Palatino Linotype" w:cs="Times New Roman"/>
          <w:sz w:val="22"/>
          <w:szCs w:val="22"/>
          <w:lang w:val="fr-CA"/>
        </w:rPr>
        <w:t>’adonner à une réflexion</w:t>
      </w:r>
      <w:r w:rsidR="00A80183" w:rsidRPr="00DF57F5">
        <w:rPr>
          <w:rFonts w:ascii="Palatino Linotype" w:hAnsi="Palatino Linotype" w:cs="Times New Roman"/>
          <w:sz w:val="22"/>
          <w:szCs w:val="22"/>
          <w:lang w:val="fr-CA"/>
        </w:rPr>
        <w:t xml:space="preserve"> critique</w:t>
      </w:r>
      <w:r w:rsidR="009062E5" w:rsidRPr="00DF57F5">
        <w:rPr>
          <w:rFonts w:ascii="Palatino Linotype" w:hAnsi="Palatino Linotype" w:cs="Times New Roman"/>
          <w:sz w:val="22"/>
          <w:szCs w:val="22"/>
          <w:lang w:val="fr-CA"/>
        </w:rPr>
        <w:t xml:space="preserve"> </w:t>
      </w:r>
      <w:r w:rsidR="007F6CD0" w:rsidRPr="00DF57F5">
        <w:rPr>
          <w:rFonts w:ascii="Palatino Linotype" w:hAnsi="Palatino Linotype" w:cs="Times New Roman"/>
          <w:sz w:val="22"/>
          <w:szCs w:val="22"/>
          <w:lang w:val="fr-CA"/>
        </w:rPr>
        <w:t>sur la pertinence de telle</w:t>
      </w:r>
      <w:r w:rsidR="001B6423" w:rsidRPr="00DF57F5">
        <w:rPr>
          <w:rFonts w:ascii="Palatino Linotype" w:hAnsi="Palatino Linotype" w:cs="Times New Roman"/>
          <w:sz w:val="22"/>
          <w:szCs w:val="22"/>
          <w:lang w:val="fr-CA"/>
        </w:rPr>
        <w:t>s</w:t>
      </w:r>
      <w:r w:rsidR="007F6CD0" w:rsidRPr="00DF57F5">
        <w:rPr>
          <w:rFonts w:ascii="Palatino Linotype" w:hAnsi="Palatino Linotype" w:cs="Times New Roman"/>
          <w:sz w:val="22"/>
          <w:szCs w:val="22"/>
          <w:lang w:val="fr-CA"/>
        </w:rPr>
        <w:t xml:space="preserve"> charge</w:t>
      </w:r>
      <w:r w:rsidR="001B6423" w:rsidRPr="00DF57F5">
        <w:rPr>
          <w:rFonts w:ascii="Palatino Linotype" w:hAnsi="Palatino Linotype" w:cs="Times New Roman"/>
          <w:sz w:val="22"/>
          <w:szCs w:val="22"/>
          <w:lang w:val="fr-CA"/>
        </w:rPr>
        <w:t>s</w:t>
      </w:r>
      <w:r w:rsidR="00347098" w:rsidRPr="00DF57F5">
        <w:rPr>
          <w:rFonts w:ascii="Palatino Linotype" w:hAnsi="Palatino Linotype" w:cs="Times New Roman"/>
          <w:sz w:val="22"/>
          <w:szCs w:val="22"/>
          <w:lang w:val="fr-CA"/>
        </w:rPr>
        <w:t xml:space="preserve"> et sur</w:t>
      </w:r>
      <w:r w:rsidR="009062E5" w:rsidRPr="00DF57F5">
        <w:rPr>
          <w:rFonts w:ascii="Palatino Linotype" w:hAnsi="Palatino Linotype" w:cs="Times New Roman"/>
          <w:sz w:val="22"/>
          <w:szCs w:val="22"/>
          <w:lang w:val="fr-CA"/>
        </w:rPr>
        <w:t xml:space="preserve"> ce que la communauté internationale accomplira</w:t>
      </w:r>
      <w:r w:rsidR="00347098" w:rsidRPr="00DF57F5">
        <w:rPr>
          <w:rFonts w:ascii="Palatino Linotype" w:hAnsi="Palatino Linotype" w:cs="Times New Roman"/>
          <w:sz w:val="22"/>
          <w:szCs w:val="22"/>
          <w:lang w:val="fr-CA"/>
        </w:rPr>
        <w:t xml:space="preserve"> en poursuivant</w:t>
      </w:r>
      <w:r w:rsidR="003C3F1B" w:rsidRPr="00DF57F5">
        <w:rPr>
          <w:rFonts w:ascii="Palatino Linotype" w:hAnsi="Palatino Linotype" w:cs="Times New Roman"/>
          <w:sz w:val="22"/>
          <w:szCs w:val="22"/>
          <w:lang w:val="fr-CA"/>
        </w:rPr>
        <w:t xml:space="preserve"> </w:t>
      </w:r>
      <w:r w:rsidR="007F6CD0" w:rsidRPr="00DF57F5">
        <w:rPr>
          <w:rFonts w:ascii="Palatino Linotype" w:hAnsi="Palatino Linotype" w:cs="Times New Roman"/>
          <w:sz w:val="22"/>
          <w:szCs w:val="22"/>
          <w:lang w:val="fr-CA"/>
        </w:rPr>
        <w:t>ces nouveaux crimes/élargissement des crimes de viol et d’esclavage sexuel</w:t>
      </w:r>
      <w:r w:rsidR="009062E5" w:rsidRPr="00DF57F5">
        <w:rPr>
          <w:rFonts w:ascii="Palatino Linotype" w:hAnsi="Palatino Linotype" w:cs="Times New Roman"/>
          <w:sz w:val="22"/>
          <w:szCs w:val="22"/>
          <w:lang w:val="fr-CA"/>
        </w:rPr>
        <w:t>.</w:t>
      </w:r>
      <w:r w:rsidR="00347098" w:rsidRPr="00DF57F5">
        <w:rPr>
          <w:rFonts w:ascii="Palatino Linotype" w:hAnsi="Palatino Linotype" w:cs="Times New Roman"/>
          <w:sz w:val="22"/>
          <w:szCs w:val="22"/>
          <w:lang w:val="fr-CA"/>
        </w:rPr>
        <w:t xml:space="preserve"> </w:t>
      </w:r>
      <w:r w:rsidR="007F6CD0" w:rsidRPr="00DF57F5">
        <w:rPr>
          <w:rFonts w:ascii="Palatino Linotype" w:hAnsi="Palatino Linotype" w:cs="Times New Roman"/>
          <w:sz w:val="22"/>
          <w:szCs w:val="22"/>
          <w:lang w:val="fr-CA"/>
        </w:rPr>
        <w:t>À première vue,</w:t>
      </w:r>
      <w:r w:rsidR="00347098" w:rsidRPr="00DF57F5">
        <w:rPr>
          <w:rFonts w:ascii="Palatino Linotype" w:hAnsi="Palatino Linotype" w:cs="Times New Roman"/>
          <w:sz w:val="22"/>
          <w:szCs w:val="22"/>
          <w:lang w:val="fr-CA"/>
        </w:rPr>
        <w:t xml:space="preserve"> la réponse es</w:t>
      </w:r>
      <w:r w:rsidR="00A80183" w:rsidRPr="00DF57F5">
        <w:rPr>
          <w:rFonts w:ascii="Palatino Linotype" w:hAnsi="Palatino Linotype" w:cs="Times New Roman"/>
          <w:sz w:val="22"/>
          <w:szCs w:val="22"/>
          <w:lang w:val="fr-CA"/>
        </w:rPr>
        <w:t xml:space="preserve">t simple : la poursuite </w:t>
      </w:r>
      <w:r w:rsidR="00347098" w:rsidRPr="00DF57F5">
        <w:rPr>
          <w:rFonts w:ascii="Palatino Linotype" w:hAnsi="Palatino Linotype" w:cs="Times New Roman"/>
          <w:sz w:val="22"/>
          <w:szCs w:val="22"/>
          <w:lang w:val="fr-CA"/>
        </w:rPr>
        <w:t>de ces crimes permettra de mettre une pierre de plus dans l’édifice de</w:t>
      </w:r>
      <w:r w:rsidR="007F6CD0" w:rsidRPr="00DF57F5">
        <w:rPr>
          <w:rFonts w:ascii="Palatino Linotype" w:hAnsi="Palatino Linotype" w:cs="Times New Roman"/>
          <w:sz w:val="22"/>
          <w:szCs w:val="22"/>
          <w:lang w:val="fr-CA"/>
        </w:rPr>
        <w:t xml:space="preserve"> </w:t>
      </w:r>
      <w:r w:rsidR="00347098" w:rsidRPr="00DF57F5">
        <w:rPr>
          <w:rFonts w:ascii="Palatino Linotype" w:hAnsi="Palatino Linotype" w:cs="Times New Roman"/>
          <w:sz w:val="22"/>
          <w:szCs w:val="22"/>
          <w:lang w:val="fr-CA"/>
        </w:rPr>
        <w:t xml:space="preserve">la lutte contre l’impunité. </w:t>
      </w:r>
      <w:r w:rsidR="007F6CD0" w:rsidRPr="00DF57F5">
        <w:rPr>
          <w:rFonts w:ascii="Palatino Linotype" w:hAnsi="Palatino Linotype" w:cs="Times New Roman"/>
          <w:sz w:val="22"/>
          <w:szCs w:val="22"/>
          <w:lang w:val="fr-CA"/>
        </w:rPr>
        <w:t xml:space="preserve">Or, les </w:t>
      </w:r>
      <w:r w:rsidR="00045AB6" w:rsidRPr="00DF57F5">
        <w:rPr>
          <w:rFonts w:ascii="Palatino Linotype" w:hAnsi="Palatino Linotype" w:cs="Times New Roman"/>
          <w:sz w:val="22"/>
          <w:szCs w:val="22"/>
          <w:lang w:val="fr-CA"/>
        </w:rPr>
        <w:t>juristes et académiques féministes ayant suivi le développement de la jurisprudence relative aux crimes</w:t>
      </w:r>
      <w:r w:rsidR="009062E5" w:rsidRPr="00DF57F5">
        <w:rPr>
          <w:rFonts w:ascii="Palatino Linotype" w:hAnsi="Palatino Linotype" w:cs="Times New Roman"/>
          <w:sz w:val="22"/>
          <w:szCs w:val="22"/>
          <w:lang w:val="fr-CA"/>
        </w:rPr>
        <w:t xml:space="preserve"> sexuels</w:t>
      </w:r>
      <w:r w:rsidR="00045AB6" w:rsidRPr="00DF57F5">
        <w:rPr>
          <w:rFonts w:ascii="Palatino Linotype" w:hAnsi="Palatino Linotype" w:cs="Times New Roman"/>
          <w:sz w:val="22"/>
          <w:szCs w:val="22"/>
          <w:lang w:val="fr-CA"/>
        </w:rPr>
        <w:t xml:space="preserve"> </w:t>
      </w:r>
      <w:r w:rsidR="00347098" w:rsidRPr="00DF57F5">
        <w:rPr>
          <w:rFonts w:ascii="Palatino Linotype" w:hAnsi="Palatino Linotype" w:cs="Times New Roman"/>
          <w:sz w:val="22"/>
          <w:szCs w:val="22"/>
          <w:lang w:val="fr-CA"/>
        </w:rPr>
        <w:t xml:space="preserve">durant les dernières décennies </w:t>
      </w:r>
      <w:r w:rsidR="00045AB6" w:rsidRPr="00DF57F5">
        <w:rPr>
          <w:rFonts w:ascii="Palatino Linotype" w:hAnsi="Palatino Linotype" w:cs="Times New Roman"/>
          <w:sz w:val="22"/>
          <w:szCs w:val="22"/>
          <w:lang w:val="fr-CA"/>
        </w:rPr>
        <w:t xml:space="preserve">nous ont enseigné qu’il vaut mieux être prudent lorsque </w:t>
      </w:r>
      <w:r w:rsidR="00347098" w:rsidRPr="00DF57F5">
        <w:rPr>
          <w:rFonts w:ascii="Palatino Linotype" w:hAnsi="Palatino Linotype" w:cs="Times New Roman"/>
          <w:sz w:val="22"/>
          <w:szCs w:val="22"/>
          <w:lang w:val="fr-CA"/>
        </w:rPr>
        <w:t>l’</w:t>
      </w:r>
      <w:r w:rsidR="00A04FCF" w:rsidRPr="00DF57F5">
        <w:rPr>
          <w:rFonts w:ascii="Palatino Linotype" w:hAnsi="Palatino Linotype" w:cs="Times New Roman"/>
          <w:sz w:val="22"/>
          <w:szCs w:val="22"/>
          <w:lang w:val="fr-CA"/>
        </w:rPr>
        <w:t xml:space="preserve">on poursuit ces actes, puisqu’en </w:t>
      </w:r>
      <w:r w:rsidR="004F0151" w:rsidRPr="00DF57F5">
        <w:rPr>
          <w:rFonts w:ascii="Palatino Linotype" w:hAnsi="Palatino Linotype" w:cs="Times New Roman"/>
          <w:sz w:val="22"/>
          <w:szCs w:val="22"/>
          <w:lang w:val="fr-CA"/>
        </w:rPr>
        <w:t>ce</w:t>
      </w:r>
      <w:r w:rsidR="00A04FCF" w:rsidRPr="00DF57F5">
        <w:rPr>
          <w:rFonts w:ascii="Palatino Linotype" w:hAnsi="Palatino Linotype" w:cs="Times New Roman"/>
          <w:sz w:val="22"/>
          <w:szCs w:val="22"/>
          <w:lang w:val="fr-CA"/>
        </w:rPr>
        <w:t xml:space="preserve"> faisant,</w:t>
      </w:r>
      <w:r w:rsidR="00715170" w:rsidRPr="00DF57F5">
        <w:rPr>
          <w:rFonts w:ascii="Palatino Linotype" w:hAnsi="Palatino Linotype" w:cs="Times New Roman"/>
          <w:sz w:val="22"/>
          <w:szCs w:val="22"/>
          <w:lang w:val="fr-CA"/>
        </w:rPr>
        <w:t xml:space="preserve"> </w:t>
      </w:r>
      <w:r w:rsidR="00A04FCF" w:rsidRPr="00DF57F5">
        <w:rPr>
          <w:rFonts w:ascii="Palatino Linotype" w:hAnsi="Palatino Linotype" w:cs="Times New Roman"/>
          <w:sz w:val="22"/>
          <w:szCs w:val="22"/>
          <w:lang w:val="fr-CA"/>
        </w:rPr>
        <w:t xml:space="preserve">les tribunaux internationaux génèrent </w:t>
      </w:r>
      <w:r w:rsidR="00715170" w:rsidRPr="00DF57F5">
        <w:rPr>
          <w:rFonts w:ascii="Palatino Linotype" w:hAnsi="Palatino Linotype" w:cs="Times New Roman"/>
          <w:sz w:val="22"/>
          <w:szCs w:val="22"/>
          <w:lang w:val="fr-CA"/>
        </w:rPr>
        <w:t>du savoir relatif à l’expérience des femmes et filles survivantes de conflits armés</w:t>
      </w:r>
      <w:r w:rsidR="00025F8D" w:rsidRPr="00DF57F5">
        <w:rPr>
          <w:rFonts w:ascii="Palatino Linotype" w:hAnsi="Palatino Linotype" w:cs="Times New Roman"/>
          <w:sz w:val="22"/>
          <w:szCs w:val="22"/>
          <w:lang w:val="fr-CA"/>
        </w:rPr>
        <w:t xml:space="preserve"> qui a une valeur normative significative</w:t>
      </w:r>
      <w:r w:rsidR="00715170" w:rsidRPr="00DF57F5">
        <w:rPr>
          <w:rFonts w:ascii="Palatino Linotype" w:hAnsi="Palatino Linotype" w:cs="Times New Roman"/>
          <w:sz w:val="22"/>
          <w:szCs w:val="22"/>
          <w:lang w:val="fr-CA"/>
        </w:rPr>
        <w:t xml:space="preserve">. </w:t>
      </w:r>
      <w:r w:rsidR="00A80183" w:rsidRPr="00DF57F5">
        <w:rPr>
          <w:rFonts w:ascii="Palatino Linotype" w:hAnsi="Palatino Linotype" w:cs="Times New Roman"/>
          <w:sz w:val="22"/>
          <w:szCs w:val="22"/>
          <w:lang w:val="fr-CA"/>
        </w:rPr>
        <w:t>Le cas présent ne devrait échapper à une telle analyse.</w:t>
      </w:r>
    </w:p>
    <w:p w14:paraId="5EA2ABED" w14:textId="77777777" w:rsidR="00EB6C13" w:rsidRPr="00DF57F5" w:rsidRDefault="00EB6C13" w:rsidP="00DF57F5">
      <w:pPr>
        <w:jc w:val="both"/>
        <w:rPr>
          <w:rFonts w:ascii="Palatino Linotype" w:hAnsi="Palatino Linotype" w:cs="Times New Roman"/>
          <w:sz w:val="22"/>
          <w:szCs w:val="22"/>
          <w:lang w:val="fr-CA"/>
        </w:rPr>
      </w:pPr>
    </w:p>
    <w:p w14:paraId="21AA8F5F" w14:textId="7BFE4FA6" w:rsidR="00EB6C13" w:rsidRPr="004B782F" w:rsidRDefault="00FD38AB" w:rsidP="00DF57F5">
      <w:pPr>
        <w:pStyle w:val="Heading2"/>
        <w:spacing w:before="0"/>
        <w:rPr>
          <w:rFonts w:ascii="Palatino Linotype" w:hAnsi="Palatino Linotype"/>
          <w:b/>
          <w:color w:val="auto"/>
          <w:sz w:val="22"/>
          <w:szCs w:val="22"/>
          <w:lang w:val="fr-CA"/>
        </w:rPr>
      </w:pPr>
      <w:r w:rsidRPr="004B782F">
        <w:rPr>
          <w:rFonts w:ascii="Palatino Linotype" w:hAnsi="Palatino Linotype"/>
          <w:b/>
          <w:color w:val="auto"/>
          <w:sz w:val="22"/>
          <w:szCs w:val="22"/>
          <w:lang w:val="fr-CA"/>
        </w:rPr>
        <w:t>Contexte procédural</w:t>
      </w:r>
    </w:p>
    <w:p w14:paraId="232921B1" w14:textId="77777777" w:rsidR="00FD38AB" w:rsidRPr="00DF57F5" w:rsidRDefault="00FD38AB" w:rsidP="00DF57F5">
      <w:pPr>
        <w:jc w:val="both"/>
        <w:rPr>
          <w:rFonts w:ascii="Palatino Linotype" w:hAnsi="Palatino Linotype" w:cs="Times New Roman"/>
          <w:sz w:val="22"/>
          <w:szCs w:val="22"/>
          <w:lang w:val="fr-CA"/>
        </w:rPr>
      </w:pPr>
    </w:p>
    <w:p w14:paraId="6A33DA54" w14:textId="122BD9EC" w:rsidR="007A7FAB" w:rsidRPr="00DF57F5" w:rsidRDefault="005053BA" w:rsidP="00DF57F5">
      <w:pPr>
        <w:jc w:val="both"/>
        <w:rPr>
          <w:rFonts w:ascii="Palatino Linotype" w:hAnsi="Palatino Linotype" w:cs="Times New Roman"/>
          <w:sz w:val="22"/>
          <w:szCs w:val="22"/>
          <w:lang w:val="fr-CA"/>
        </w:rPr>
      </w:pPr>
      <w:r w:rsidRPr="00DF57F5">
        <w:rPr>
          <w:rFonts w:ascii="Palatino Linotype" w:hAnsi="Palatino Linotype" w:cs="Times New Roman"/>
          <w:sz w:val="22"/>
          <w:szCs w:val="22"/>
          <w:lang w:val="fr-CA"/>
        </w:rPr>
        <w:t xml:space="preserve">Tel qu’expliqué plus haut, le Procureur a décidé de poursuivre M. Ntaganda, en sa capacité de responsable des opérations militaires, </w:t>
      </w:r>
      <w:r w:rsidR="00B94960" w:rsidRPr="00DF57F5">
        <w:rPr>
          <w:rFonts w:ascii="Palatino Linotype" w:hAnsi="Palatino Linotype" w:cs="Times New Roman"/>
          <w:sz w:val="22"/>
          <w:szCs w:val="22"/>
          <w:lang w:val="fr-CA"/>
        </w:rPr>
        <w:t>pour les viols et la réduction en esclavage</w:t>
      </w:r>
      <w:r w:rsidR="009F0EC9" w:rsidRPr="00DF57F5">
        <w:rPr>
          <w:rFonts w:ascii="Palatino Linotype" w:hAnsi="Palatino Linotype" w:cs="Times New Roman"/>
          <w:sz w:val="22"/>
          <w:szCs w:val="22"/>
          <w:lang w:val="fr-CA"/>
        </w:rPr>
        <w:t xml:space="preserve"> sexuel</w:t>
      </w:r>
      <w:r w:rsidR="00B94960" w:rsidRPr="00DF57F5">
        <w:rPr>
          <w:rFonts w:ascii="Palatino Linotype" w:hAnsi="Palatino Linotype" w:cs="Times New Roman"/>
          <w:sz w:val="22"/>
          <w:szCs w:val="22"/>
          <w:lang w:val="fr-CA"/>
        </w:rPr>
        <w:t xml:space="preserve"> de jeunes filles de moins de 15 ans enrôlées dans les rangs de son groupe rebelle, le FPLC, en vertu des articles 8(2)</w:t>
      </w:r>
      <w:r w:rsidR="00535410" w:rsidRPr="00DF57F5">
        <w:rPr>
          <w:rFonts w:ascii="Palatino Linotype" w:hAnsi="Palatino Linotype" w:cs="Times New Roman"/>
          <w:sz w:val="22"/>
          <w:szCs w:val="22"/>
          <w:lang w:val="fr-CA"/>
        </w:rPr>
        <w:t xml:space="preserve">(e)(vi) du Statut de Rome. </w:t>
      </w:r>
    </w:p>
    <w:p w14:paraId="76FC165B" w14:textId="11DE8C58" w:rsidR="00CD6416" w:rsidRPr="00DF57F5" w:rsidRDefault="00770BEB" w:rsidP="00DF57F5">
      <w:pPr>
        <w:jc w:val="both"/>
        <w:rPr>
          <w:rFonts w:ascii="Palatino Linotype" w:hAnsi="Palatino Linotype" w:cs="Times New Roman"/>
          <w:sz w:val="22"/>
          <w:szCs w:val="22"/>
          <w:lang w:val="fr-CA"/>
        </w:rPr>
      </w:pPr>
      <w:r w:rsidRPr="00DF57F5">
        <w:rPr>
          <w:rFonts w:ascii="Palatino Linotype" w:hAnsi="Palatino Linotype" w:cs="Times New Roman"/>
          <w:sz w:val="22"/>
          <w:szCs w:val="22"/>
          <w:lang w:val="fr-CA"/>
        </w:rPr>
        <w:tab/>
        <w:t>Essentiellement, la Défense de M. Ntaganda avait contesté la validité de ces infractions, en alléguant entre autres qu’elle</w:t>
      </w:r>
      <w:r w:rsidR="00037FD0" w:rsidRPr="00DF57F5">
        <w:rPr>
          <w:rFonts w:ascii="Palatino Linotype" w:hAnsi="Palatino Linotype" w:cs="Times New Roman"/>
          <w:sz w:val="22"/>
          <w:szCs w:val="22"/>
          <w:lang w:val="fr-CA"/>
        </w:rPr>
        <w:t>s</w:t>
      </w:r>
      <w:r w:rsidRPr="00DF57F5">
        <w:rPr>
          <w:rFonts w:ascii="Palatino Linotype" w:hAnsi="Palatino Linotype" w:cs="Times New Roman"/>
          <w:sz w:val="22"/>
          <w:szCs w:val="22"/>
          <w:lang w:val="fr-CA"/>
        </w:rPr>
        <w:t xml:space="preserve"> allai</w:t>
      </w:r>
      <w:r w:rsidR="00037FD0" w:rsidRPr="00DF57F5">
        <w:rPr>
          <w:rFonts w:ascii="Palatino Linotype" w:hAnsi="Palatino Linotype" w:cs="Times New Roman"/>
          <w:sz w:val="22"/>
          <w:szCs w:val="22"/>
          <w:lang w:val="fr-CA"/>
        </w:rPr>
        <w:t>en</w:t>
      </w:r>
      <w:r w:rsidRPr="00DF57F5">
        <w:rPr>
          <w:rFonts w:ascii="Palatino Linotype" w:hAnsi="Palatino Linotype" w:cs="Times New Roman"/>
          <w:sz w:val="22"/>
          <w:szCs w:val="22"/>
          <w:lang w:val="fr-CA"/>
        </w:rPr>
        <w:t xml:space="preserve">t contre le principe de </w:t>
      </w:r>
      <w:r w:rsidRPr="00DF57F5">
        <w:rPr>
          <w:rFonts w:ascii="Palatino Linotype" w:hAnsi="Palatino Linotype" w:cs="Times New Roman"/>
          <w:i/>
          <w:sz w:val="22"/>
          <w:szCs w:val="22"/>
          <w:lang w:val="fr-CA"/>
        </w:rPr>
        <w:t>nul</w:t>
      </w:r>
      <w:r w:rsidR="00BC04FE" w:rsidRPr="00DF57F5">
        <w:rPr>
          <w:rFonts w:ascii="Palatino Linotype" w:hAnsi="Palatino Linotype" w:cs="Times New Roman"/>
          <w:i/>
          <w:sz w:val="22"/>
          <w:szCs w:val="22"/>
          <w:lang w:val="fr-CA"/>
        </w:rPr>
        <w:t>lum</w:t>
      </w:r>
      <w:r w:rsidRPr="00DF57F5">
        <w:rPr>
          <w:rFonts w:ascii="Palatino Linotype" w:hAnsi="Palatino Linotype" w:cs="Times New Roman"/>
          <w:i/>
          <w:sz w:val="22"/>
          <w:szCs w:val="22"/>
          <w:lang w:val="fr-CA"/>
        </w:rPr>
        <w:t xml:space="preserve"> crimen</w:t>
      </w:r>
      <w:r w:rsidR="00BC04FE" w:rsidRPr="00DF57F5">
        <w:rPr>
          <w:rFonts w:ascii="Palatino Linotype" w:hAnsi="Palatino Linotype" w:cs="Times New Roman"/>
          <w:i/>
          <w:sz w:val="22"/>
          <w:szCs w:val="22"/>
          <w:lang w:val="fr-CA"/>
        </w:rPr>
        <w:t>, nulla poena</w:t>
      </w:r>
      <w:r w:rsidRPr="00DF57F5">
        <w:rPr>
          <w:rFonts w:ascii="Palatino Linotype" w:hAnsi="Palatino Linotype" w:cs="Times New Roman"/>
          <w:i/>
          <w:sz w:val="22"/>
          <w:szCs w:val="22"/>
          <w:lang w:val="fr-CA"/>
        </w:rPr>
        <w:t xml:space="preserve"> sine lege</w:t>
      </w:r>
      <w:r w:rsidR="00037FD0" w:rsidRPr="00DF57F5">
        <w:rPr>
          <w:rFonts w:ascii="Palatino Linotype" w:hAnsi="Palatino Linotype" w:cs="Times New Roman"/>
          <w:sz w:val="22"/>
          <w:szCs w:val="22"/>
          <w:lang w:val="fr-CA"/>
        </w:rPr>
        <w:t>,</w:t>
      </w:r>
      <w:r w:rsidRPr="00DF57F5">
        <w:rPr>
          <w:rFonts w:ascii="Palatino Linotype" w:hAnsi="Palatino Linotype" w:cs="Times New Roman"/>
          <w:sz w:val="22"/>
          <w:szCs w:val="22"/>
          <w:lang w:val="fr-CA"/>
        </w:rPr>
        <w:t xml:space="preserve"> </w:t>
      </w:r>
      <w:r w:rsidR="00552F35" w:rsidRPr="00DF57F5">
        <w:rPr>
          <w:rFonts w:ascii="Palatino Linotype" w:hAnsi="Palatino Linotype" w:cs="Times New Roman"/>
          <w:sz w:val="22"/>
          <w:szCs w:val="22"/>
          <w:lang w:val="fr-CA"/>
        </w:rPr>
        <w:t>ainsi que</w:t>
      </w:r>
      <w:r w:rsidRPr="00DF57F5">
        <w:rPr>
          <w:rFonts w:ascii="Palatino Linotype" w:hAnsi="Palatino Linotype" w:cs="Times New Roman"/>
          <w:sz w:val="22"/>
          <w:szCs w:val="22"/>
          <w:lang w:val="fr-CA"/>
        </w:rPr>
        <w:t xml:space="preserve"> du droit international humanitaire</w:t>
      </w:r>
      <w:r w:rsidR="00DF57F5">
        <w:rPr>
          <w:rFonts w:ascii="Palatino Linotype" w:hAnsi="Palatino Linotype" w:cs="Times New Roman"/>
          <w:sz w:val="22"/>
          <w:szCs w:val="22"/>
          <w:lang w:val="fr-CA"/>
        </w:rPr>
        <w:t>. En effet, c</w:t>
      </w:r>
      <w:r w:rsidRPr="00DF57F5">
        <w:rPr>
          <w:rFonts w:ascii="Palatino Linotype" w:hAnsi="Palatino Linotype" w:cs="Times New Roman"/>
          <w:sz w:val="22"/>
          <w:szCs w:val="22"/>
          <w:lang w:val="fr-CA"/>
        </w:rPr>
        <w:t>e corpus de droit n’octroie pas de protection contre des actes perpétrés par un membre d’un groupe armé contre un autre membre du même groupe</w:t>
      </w:r>
      <w:r w:rsidR="00DF57F5">
        <w:rPr>
          <w:rFonts w:ascii="Palatino Linotype" w:hAnsi="Palatino Linotype" w:cs="Times New Roman"/>
          <w:sz w:val="22"/>
          <w:szCs w:val="22"/>
          <w:lang w:val="fr-CA"/>
        </w:rPr>
        <w:t>. De plus</w:t>
      </w:r>
      <w:r w:rsidR="001237B5" w:rsidRPr="00DF57F5">
        <w:rPr>
          <w:rFonts w:ascii="Palatino Linotype" w:hAnsi="Palatino Linotype" w:cs="Times New Roman"/>
          <w:sz w:val="22"/>
          <w:szCs w:val="22"/>
          <w:lang w:val="fr-CA"/>
        </w:rPr>
        <w:t>,</w:t>
      </w:r>
      <w:r w:rsidR="00552F35" w:rsidRPr="00DF57F5">
        <w:rPr>
          <w:rFonts w:ascii="Palatino Linotype" w:hAnsi="Palatino Linotype" w:cs="Times New Roman"/>
          <w:sz w:val="22"/>
          <w:szCs w:val="22"/>
          <w:lang w:val="fr-CA"/>
        </w:rPr>
        <w:t xml:space="preserve"> les enfants soldats ne constituent pas des victimes </w:t>
      </w:r>
      <w:r w:rsidR="004B782F" w:rsidRPr="00DF57F5">
        <w:rPr>
          <w:rFonts w:ascii="Palatino Linotype" w:hAnsi="Palatino Linotype" w:cs="Times New Roman"/>
          <w:sz w:val="22"/>
          <w:szCs w:val="22"/>
          <w:lang w:val="fr-CA"/>
        </w:rPr>
        <w:t>prévues</w:t>
      </w:r>
      <w:r w:rsidR="001237B5" w:rsidRPr="00DF57F5">
        <w:rPr>
          <w:rFonts w:ascii="Palatino Linotype" w:hAnsi="Palatino Linotype" w:cs="Times New Roman"/>
          <w:sz w:val="22"/>
          <w:szCs w:val="22"/>
          <w:lang w:val="fr-CA"/>
        </w:rPr>
        <w:t xml:space="preserve"> à</w:t>
      </w:r>
      <w:r w:rsidR="00037FD0" w:rsidRPr="00DF57F5">
        <w:rPr>
          <w:rFonts w:ascii="Palatino Linotype" w:hAnsi="Palatino Linotype" w:cs="Times New Roman"/>
          <w:sz w:val="22"/>
          <w:szCs w:val="22"/>
          <w:lang w:val="fr-CA"/>
        </w:rPr>
        <w:t xml:space="preserve"> l’article 3 </w:t>
      </w:r>
      <w:r w:rsidR="001237B5" w:rsidRPr="00DF57F5">
        <w:rPr>
          <w:rFonts w:ascii="Palatino Linotype" w:hAnsi="Palatino Linotype" w:cs="Times New Roman"/>
          <w:sz w:val="22"/>
          <w:szCs w:val="22"/>
          <w:lang w:val="fr-CA"/>
        </w:rPr>
        <w:t>commun aux</w:t>
      </w:r>
      <w:r w:rsidR="00037FD0" w:rsidRPr="00DF57F5">
        <w:rPr>
          <w:rFonts w:ascii="Palatino Linotype" w:hAnsi="Palatino Linotype" w:cs="Times New Roman"/>
          <w:sz w:val="22"/>
          <w:szCs w:val="22"/>
          <w:lang w:val="fr-CA"/>
        </w:rPr>
        <w:t xml:space="preserve"> Conventions de Genève</w:t>
      </w:r>
      <w:r w:rsidR="00CD6416" w:rsidRPr="00DF57F5">
        <w:rPr>
          <w:rFonts w:ascii="Palatino Linotype" w:hAnsi="Palatino Linotype" w:cs="Times New Roman"/>
          <w:sz w:val="22"/>
          <w:szCs w:val="22"/>
          <w:lang w:val="fr-CA"/>
        </w:rPr>
        <w:t xml:space="preserve"> (‘Article 3 commun’)</w:t>
      </w:r>
      <w:r w:rsidR="00552F35" w:rsidRPr="00DF57F5">
        <w:rPr>
          <w:rFonts w:ascii="Palatino Linotype" w:hAnsi="Palatino Linotype" w:cs="Times New Roman"/>
          <w:sz w:val="22"/>
          <w:szCs w:val="22"/>
          <w:lang w:val="fr-CA"/>
        </w:rPr>
        <w:t xml:space="preserve"> intégré à l’Article 8 du Statut de Rome</w:t>
      </w:r>
      <w:r w:rsidRPr="00DF57F5">
        <w:rPr>
          <w:rStyle w:val="FootnoteReference"/>
          <w:rFonts w:ascii="Palatino Linotype" w:hAnsi="Palatino Linotype" w:cs="Times New Roman"/>
          <w:sz w:val="22"/>
          <w:szCs w:val="22"/>
          <w:lang w:val="fr-CA"/>
        </w:rPr>
        <w:footnoteReference w:id="7"/>
      </w:r>
      <w:r w:rsidR="001237B5" w:rsidRPr="00DF57F5">
        <w:rPr>
          <w:rFonts w:ascii="Palatino Linotype" w:hAnsi="Palatino Linotype" w:cs="Times New Roman"/>
          <w:sz w:val="22"/>
          <w:szCs w:val="22"/>
          <w:lang w:val="fr-CA"/>
        </w:rPr>
        <w:t>.</w:t>
      </w:r>
      <w:r w:rsidR="00BC04FE" w:rsidRPr="00DF57F5">
        <w:rPr>
          <w:rFonts w:ascii="Palatino Linotype" w:hAnsi="Palatino Linotype" w:cs="Times New Roman"/>
          <w:sz w:val="22"/>
          <w:szCs w:val="22"/>
          <w:lang w:val="fr-CA"/>
        </w:rPr>
        <w:t xml:space="preserve"> Dans le cadre de son appel à l’encontre de la Décision de confirmation des charges déposé</w:t>
      </w:r>
      <w:r w:rsidR="00E34111" w:rsidRPr="00DF57F5">
        <w:rPr>
          <w:rFonts w:ascii="Palatino Linotype" w:hAnsi="Palatino Linotype" w:cs="Times New Roman"/>
          <w:sz w:val="22"/>
          <w:szCs w:val="22"/>
          <w:lang w:val="fr-CA"/>
        </w:rPr>
        <w:t>es</w:t>
      </w:r>
      <w:r w:rsidR="00BC04FE" w:rsidRPr="00DF57F5">
        <w:rPr>
          <w:rFonts w:ascii="Palatino Linotype" w:hAnsi="Palatino Linotype" w:cs="Times New Roman"/>
          <w:sz w:val="22"/>
          <w:szCs w:val="22"/>
          <w:lang w:val="fr-CA"/>
        </w:rPr>
        <w:t xml:space="preserve"> le 1</w:t>
      </w:r>
      <w:r w:rsidR="00BC04FE" w:rsidRPr="00DF57F5">
        <w:rPr>
          <w:rFonts w:ascii="Palatino Linotype" w:hAnsi="Palatino Linotype" w:cs="Times New Roman"/>
          <w:sz w:val="22"/>
          <w:szCs w:val="22"/>
          <w:vertAlign w:val="superscript"/>
          <w:lang w:val="fr-CA"/>
        </w:rPr>
        <w:t>er</w:t>
      </w:r>
      <w:r w:rsidR="00BC04FE" w:rsidRPr="00DF57F5">
        <w:rPr>
          <w:rFonts w:ascii="Palatino Linotype" w:hAnsi="Palatino Linotype" w:cs="Times New Roman"/>
          <w:sz w:val="22"/>
          <w:szCs w:val="22"/>
          <w:lang w:val="fr-CA"/>
        </w:rPr>
        <w:t xml:space="preserve"> septembre 201</w:t>
      </w:r>
      <w:r w:rsidR="00E91A03" w:rsidRPr="00DF57F5">
        <w:rPr>
          <w:rFonts w:ascii="Palatino Linotype" w:hAnsi="Palatino Linotype" w:cs="Times New Roman"/>
          <w:sz w:val="22"/>
          <w:szCs w:val="22"/>
          <w:lang w:val="fr-CA"/>
        </w:rPr>
        <w:t>5, la Défen</w:t>
      </w:r>
      <w:r w:rsidR="00D10BFA" w:rsidRPr="00DF57F5">
        <w:rPr>
          <w:rFonts w:ascii="Palatino Linotype" w:hAnsi="Palatino Linotype" w:cs="Times New Roman"/>
          <w:sz w:val="22"/>
          <w:szCs w:val="22"/>
          <w:lang w:val="fr-CA"/>
        </w:rPr>
        <w:t xml:space="preserve">se réitérait que la CPI n’avait </w:t>
      </w:r>
      <w:r w:rsidR="00552F35" w:rsidRPr="00DF57F5">
        <w:rPr>
          <w:rFonts w:ascii="Palatino Linotype" w:hAnsi="Palatino Linotype" w:cs="Times New Roman"/>
          <w:sz w:val="22"/>
          <w:szCs w:val="22"/>
          <w:lang w:val="fr-CA"/>
        </w:rPr>
        <w:t xml:space="preserve">donc </w:t>
      </w:r>
      <w:r w:rsidR="00D10BFA" w:rsidRPr="00DF57F5">
        <w:rPr>
          <w:rFonts w:ascii="Palatino Linotype" w:hAnsi="Palatino Linotype" w:cs="Times New Roman"/>
          <w:sz w:val="22"/>
          <w:szCs w:val="22"/>
          <w:lang w:val="fr-CA"/>
        </w:rPr>
        <w:t>pas juridiction sur les charges 6 et 9</w:t>
      </w:r>
      <w:r w:rsidR="001F14F1" w:rsidRPr="00DF57F5">
        <w:rPr>
          <w:rFonts w:ascii="Palatino Linotype" w:hAnsi="Palatino Linotype" w:cs="Times New Roman"/>
          <w:sz w:val="22"/>
          <w:szCs w:val="22"/>
          <w:lang w:val="fr-CA"/>
        </w:rPr>
        <w:t xml:space="preserve"> présentant essentiellement </w:t>
      </w:r>
      <w:r w:rsidR="00616EA6" w:rsidRPr="00DF57F5">
        <w:rPr>
          <w:rFonts w:ascii="Palatino Linotype" w:hAnsi="Palatino Linotype" w:cs="Times New Roman"/>
          <w:sz w:val="22"/>
          <w:szCs w:val="22"/>
          <w:lang w:val="fr-CA"/>
        </w:rPr>
        <w:t>le</w:t>
      </w:r>
      <w:r w:rsidR="001F14F1" w:rsidRPr="00DF57F5">
        <w:rPr>
          <w:rFonts w:ascii="Palatino Linotype" w:hAnsi="Palatino Linotype" w:cs="Times New Roman"/>
          <w:sz w:val="22"/>
          <w:szCs w:val="22"/>
          <w:lang w:val="fr-CA"/>
        </w:rPr>
        <w:t>s</w:t>
      </w:r>
      <w:r w:rsidR="00616EA6" w:rsidRPr="00DF57F5">
        <w:rPr>
          <w:rFonts w:ascii="Palatino Linotype" w:hAnsi="Palatino Linotype" w:cs="Times New Roman"/>
          <w:sz w:val="22"/>
          <w:szCs w:val="22"/>
          <w:lang w:val="fr-CA"/>
        </w:rPr>
        <w:t xml:space="preserve"> mêmes arguments qu’à l’étape de la confirmation des charges</w:t>
      </w:r>
      <w:r w:rsidR="009A2D4B" w:rsidRPr="00DF57F5">
        <w:rPr>
          <w:rStyle w:val="FootnoteReference"/>
          <w:rFonts w:ascii="Palatino Linotype" w:hAnsi="Palatino Linotype" w:cs="Times New Roman"/>
          <w:sz w:val="22"/>
          <w:szCs w:val="22"/>
          <w:lang w:val="fr-CA"/>
        </w:rPr>
        <w:footnoteReference w:id="8"/>
      </w:r>
      <w:r w:rsidR="00616EA6" w:rsidRPr="00DF57F5">
        <w:rPr>
          <w:rFonts w:ascii="Palatino Linotype" w:hAnsi="Palatino Linotype" w:cs="Times New Roman"/>
          <w:sz w:val="22"/>
          <w:szCs w:val="22"/>
          <w:lang w:val="fr-CA"/>
        </w:rPr>
        <w:t xml:space="preserve">. </w:t>
      </w:r>
    </w:p>
    <w:p w14:paraId="626EFBE5" w14:textId="6ECD4070" w:rsidR="00552F35" w:rsidRPr="00DF57F5" w:rsidRDefault="00616EA6" w:rsidP="00DF57F5">
      <w:pPr>
        <w:ind w:firstLine="708"/>
        <w:jc w:val="both"/>
        <w:rPr>
          <w:rFonts w:ascii="Palatino Linotype" w:hAnsi="Palatino Linotype" w:cs="Times New Roman"/>
          <w:sz w:val="22"/>
          <w:szCs w:val="22"/>
          <w:lang w:val="fr-CA"/>
        </w:rPr>
      </w:pPr>
      <w:r w:rsidRPr="00DF57F5">
        <w:rPr>
          <w:rFonts w:ascii="Palatino Linotype" w:hAnsi="Palatino Linotype" w:cs="Times New Roman"/>
          <w:sz w:val="22"/>
          <w:szCs w:val="22"/>
          <w:lang w:val="fr-CA"/>
        </w:rPr>
        <w:t>Le Procureur et les représentants légaux des victimes se sont vigoureusement op</w:t>
      </w:r>
      <w:r w:rsidR="00E9428E" w:rsidRPr="00DF57F5">
        <w:rPr>
          <w:rFonts w:ascii="Palatino Linotype" w:hAnsi="Palatino Linotype" w:cs="Times New Roman"/>
          <w:sz w:val="22"/>
          <w:szCs w:val="22"/>
          <w:lang w:val="fr-CA"/>
        </w:rPr>
        <w:t>posé</w:t>
      </w:r>
      <w:r w:rsidR="005458AC" w:rsidRPr="00DF57F5">
        <w:rPr>
          <w:rFonts w:ascii="Palatino Linotype" w:hAnsi="Palatino Linotype" w:cs="Times New Roman"/>
          <w:sz w:val="22"/>
          <w:szCs w:val="22"/>
          <w:lang w:val="fr-CA"/>
        </w:rPr>
        <w:t xml:space="preserve">s </w:t>
      </w:r>
      <w:r w:rsidR="00E9428E" w:rsidRPr="00DF57F5">
        <w:rPr>
          <w:rFonts w:ascii="Palatino Linotype" w:hAnsi="Palatino Linotype" w:cs="Times New Roman"/>
          <w:sz w:val="22"/>
          <w:szCs w:val="22"/>
          <w:lang w:val="fr-CA"/>
        </w:rPr>
        <w:t>à l’</w:t>
      </w:r>
      <w:r w:rsidR="00552F35" w:rsidRPr="00DF57F5">
        <w:rPr>
          <w:rFonts w:ascii="Palatino Linotype" w:hAnsi="Palatino Linotype" w:cs="Times New Roman"/>
          <w:sz w:val="22"/>
          <w:szCs w:val="22"/>
          <w:lang w:val="fr-CA"/>
        </w:rPr>
        <w:t>interprétation selon eux erronée ayant été</w:t>
      </w:r>
      <w:r w:rsidR="00E9428E" w:rsidRPr="00DF57F5">
        <w:rPr>
          <w:rFonts w:ascii="Palatino Linotype" w:hAnsi="Palatino Linotype" w:cs="Times New Roman"/>
          <w:sz w:val="22"/>
          <w:szCs w:val="22"/>
          <w:lang w:val="fr-CA"/>
        </w:rPr>
        <w:t xml:space="preserve"> proposé</w:t>
      </w:r>
      <w:r w:rsidR="00552F35" w:rsidRPr="00DF57F5">
        <w:rPr>
          <w:rFonts w:ascii="Palatino Linotype" w:hAnsi="Palatino Linotype" w:cs="Times New Roman"/>
          <w:sz w:val="22"/>
          <w:szCs w:val="22"/>
          <w:lang w:val="fr-CA"/>
        </w:rPr>
        <w:t>e</w:t>
      </w:r>
      <w:r w:rsidR="00E9428E" w:rsidRPr="00DF57F5">
        <w:rPr>
          <w:rFonts w:ascii="Palatino Linotype" w:hAnsi="Palatino Linotype" w:cs="Times New Roman"/>
          <w:sz w:val="22"/>
          <w:szCs w:val="22"/>
          <w:lang w:val="fr-CA"/>
        </w:rPr>
        <w:t xml:space="preserve"> par la Défense, qui auraient comme conséquence de limiter la protection qu’offre le </w:t>
      </w:r>
      <w:r w:rsidR="0012647C">
        <w:rPr>
          <w:rFonts w:ascii="Palatino Linotype" w:hAnsi="Palatino Linotype" w:cs="Times New Roman"/>
          <w:sz w:val="22"/>
          <w:szCs w:val="22"/>
          <w:lang w:val="fr-CA"/>
        </w:rPr>
        <w:t>droit international humanitaire (</w:t>
      </w:r>
      <w:r w:rsidR="00E9428E" w:rsidRPr="00DF57F5">
        <w:rPr>
          <w:rFonts w:ascii="Palatino Linotype" w:hAnsi="Palatino Linotype" w:cs="Times New Roman"/>
          <w:sz w:val="22"/>
          <w:szCs w:val="22"/>
          <w:lang w:val="fr-CA"/>
        </w:rPr>
        <w:t>DIH</w:t>
      </w:r>
      <w:r w:rsidR="0012647C">
        <w:rPr>
          <w:rFonts w:ascii="Palatino Linotype" w:hAnsi="Palatino Linotype" w:cs="Times New Roman"/>
          <w:sz w:val="22"/>
          <w:szCs w:val="22"/>
          <w:lang w:val="fr-CA"/>
        </w:rPr>
        <w:t>)</w:t>
      </w:r>
      <w:r w:rsidR="00E9428E" w:rsidRPr="00DF57F5">
        <w:rPr>
          <w:rFonts w:ascii="Palatino Linotype" w:hAnsi="Palatino Linotype" w:cs="Times New Roman"/>
          <w:sz w:val="22"/>
          <w:szCs w:val="22"/>
          <w:lang w:val="fr-CA"/>
        </w:rPr>
        <w:t xml:space="preserve"> aux personnes vulnérables.</w:t>
      </w:r>
      <w:r w:rsidR="00A27E5C" w:rsidRPr="00DF57F5">
        <w:rPr>
          <w:rFonts w:ascii="Palatino Linotype" w:hAnsi="Palatino Linotype" w:cs="Times New Roman"/>
          <w:sz w:val="22"/>
          <w:szCs w:val="22"/>
          <w:lang w:val="fr-CA"/>
        </w:rPr>
        <w:t xml:space="preserve"> </w:t>
      </w:r>
    </w:p>
    <w:p w14:paraId="043121B4" w14:textId="53FEA3E3" w:rsidR="00051654" w:rsidRPr="00DF57F5" w:rsidRDefault="001237B5" w:rsidP="00DF57F5">
      <w:pPr>
        <w:ind w:firstLine="708"/>
        <w:jc w:val="both"/>
        <w:rPr>
          <w:rFonts w:ascii="Palatino Linotype" w:hAnsi="Palatino Linotype" w:cs="Times New Roman"/>
          <w:sz w:val="22"/>
          <w:szCs w:val="22"/>
          <w:lang w:val="fr-CA"/>
        </w:rPr>
      </w:pPr>
      <w:r w:rsidRPr="00DF57F5">
        <w:rPr>
          <w:rFonts w:ascii="Palatino Linotype" w:hAnsi="Palatino Linotype" w:cs="Times New Roman"/>
          <w:sz w:val="22"/>
          <w:szCs w:val="22"/>
          <w:lang w:val="fr-CA"/>
        </w:rPr>
        <w:t>Plus précisément, le Pr</w:t>
      </w:r>
      <w:r w:rsidR="00A55687" w:rsidRPr="00DF57F5">
        <w:rPr>
          <w:rFonts w:ascii="Palatino Linotype" w:hAnsi="Palatino Linotype" w:cs="Times New Roman"/>
          <w:sz w:val="22"/>
          <w:szCs w:val="22"/>
          <w:lang w:val="fr-CA"/>
        </w:rPr>
        <w:t xml:space="preserve">ocureur </w:t>
      </w:r>
      <w:r w:rsidR="00737096" w:rsidRPr="00DF57F5">
        <w:rPr>
          <w:rFonts w:ascii="Palatino Linotype" w:hAnsi="Palatino Linotype" w:cs="Times New Roman"/>
          <w:sz w:val="22"/>
          <w:szCs w:val="22"/>
          <w:lang w:val="fr-CA"/>
        </w:rPr>
        <w:t>alléguait</w:t>
      </w:r>
      <w:r w:rsidR="00A55687" w:rsidRPr="00DF57F5">
        <w:rPr>
          <w:rFonts w:ascii="Palatino Linotype" w:hAnsi="Palatino Linotype" w:cs="Times New Roman"/>
          <w:sz w:val="22"/>
          <w:szCs w:val="22"/>
          <w:lang w:val="fr-CA"/>
        </w:rPr>
        <w:t xml:space="preserve"> que</w:t>
      </w:r>
      <w:r w:rsidR="00737096" w:rsidRPr="00DF57F5">
        <w:rPr>
          <w:rFonts w:ascii="Palatino Linotype" w:hAnsi="Palatino Linotype" w:cs="Times New Roman"/>
          <w:sz w:val="22"/>
          <w:szCs w:val="22"/>
          <w:lang w:val="fr-CA"/>
        </w:rPr>
        <w:t xml:space="preserve"> les crime</w:t>
      </w:r>
      <w:r w:rsidR="00B400F3" w:rsidRPr="00DF57F5">
        <w:rPr>
          <w:rFonts w:ascii="Palatino Linotype" w:hAnsi="Palatino Linotype" w:cs="Times New Roman"/>
          <w:sz w:val="22"/>
          <w:szCs w:val="22"/>
          <w:lang w:val="fr-CA"/>
        </w:rPr>
        <w:t>s</w:t>
      </w:r>
      <w:r w:rsidR="00737096" w:rsidRPr="00DF57F5">
        <w:rPr>
          <w:rFonts w:ascii="Palatino Linotype" w:hAnsi="Palatino Linotype" w:cs="Times New Roman"/>
          <w:sz w:val="22"/>
          <w:szCs w:val="22"/>
          <w:lang w:val="fr-CA"/>
        </w:rPr>
        <w:t xml:space="preserve"> de guerre</w:t>
      </w:r>
      <w:r w:rsidR="00A55687" w:rsidRPr="00DF57F5">
        <w:rPr>
          <w:rFonts w:ascii="Palatino Linotype" w:hAnsi="Palatino Linotype" w:cs="Times New Roman"/>
          <w:sz w:val="22"/>
          <w:szCs w:val="22"/>
          <w:lang w:val="fr-CA"/>
        </w:rPr>
        <w:t xml:space="preserve"> </w:t>
      </w:r>
      <w:r w:rsidR="00443817" w:rsidRPr="00DF57F5">
        <w:rPr>
          <w:rFonts w:ascii="Palatino Linotype" w:hAnsi="Palatino Linotype" w:cs="Times New Roman"/>
          <w:sz w:val="22"/>
          <w:szCs w:val="22"/>
          <w:lang w:val="fr-CA"/>
        </w:rPr>
        <w:t xml:space="preserve">en contexte de conflit armé de nature non-international </w:t>
      </w:r>
      <w:r w:rsidR="00737096" w:rsidRPr="00DF57F5">
        <w:rPr>
          <w:rFonts w:ascii="Palatino Linotype" w:hAnsi="Palatino Linotype" w:cs="Times New Roman"/>
          <w:sz w:val="22"/>
          <w:szCs w:val="22"/>
          <w:lang w:val="fr-CA"/>
        </w:rPr>
        <w:t>prévus à l’article 8(2)</w:t>
      </w:r>
      <w:r w:rsidR="00B400F3" w:rsidRPr="00DF57F5">
        <w:rPr>
          <w:rFonts w:ascii="Palatino Linotype" w:hAnsi="Palatino Linotype" w:cs="Times New Roman"/>
          <w:sz w:val="22"/>
          <w:szCs w:val="22"/>
          <w:lang w:val="fr-CA"/>
        </w:rPr>
        <w:t>(e)</w:t>
      </w:r>
      <w:r w:rsidR="00737096" w:rsidRPr="00DF57F5">
        <w:rPr>
          <w:rFonts w:ascii="Palatino Linotype" w:hAnsi="Palatino Linotype" w:cs="Times New Roman"/>
          <w:sz w:val="22"/>
          <w:szCs w:val="22"/>
          <w:lang w:val="fr-CA"/>
        </w:rPr>
        <w:t xml:space="preserve">(vi) du Statut de Rome </w:t>
      </w:r>
      <w:r w:rsidR="00737096" w:rsidRPr="00DF57F5">
        <w:rPr>
          <w:rFonts w:ascii="Palatino Linotype" w:hAnsi="Palatino Linotype" w:cs="Times New Roman"/>
          <w:sz w:val="22"/>
          <w:szCs w:val="22"/>
          <w:lang w:val="fr-CA"/>
        </w:rPr>
        <w:lastRenderedPageBreak/>
        <w:t xml:space="preserve">ne </w:t>
      </w:r>
      <w:r w:rsidR="005C7AFC" w:rsidRPr="00DF57F5">
        <w:rPr>
          <w:rFonts w:ascii="Palatino Linotype" w:hAnsi="Palatino Linotype" w:cs="Times New Roman"/>
          <w:sz w:val="22"/>
          <w:szCs w:val="22"/>
          <w:lang w:val="fr-CA"/>
        </w:rPr>
        <w:t>comporte</w:t>
      </w:r>
      <w:r w:rsidR="0004639F" w:rsidRPr="00DF57F5">
        <w:rPr>
          <w:rFonts w:ascii="Palatino Linotype" w:hAnsi="Palatino Linotype" w:cs="Times New Roman"/>
          <w:sz w:val="22"/>
          <w:szCs w:val="22"/>
          <w:lang w:val="fr-CA"/>
        </w:rPr>
        <w:t xml:space="preserve">nt </w:t>
      </w:r>
      <w:r w:rsidR="005C7AFC" w:rsidRPr="00DF57F5">
        <w:rPr>
          <w:rFonts w:ascii="Palatino Linotype" w:hAnsi="Palatino Linotype" w:cs="Times New Roman"/>
          <w:sz w:val="22"/>
          <w:szCs w:val="22"/>
          <w:lang w:val="fr-CA"/>
        </w:rPr>
        <w:t>aucune limite quant au statut des victimes</w:t>
      </w:r>
      <w:r w:rsidR="003A2CA8" w:rsidRPr="00DF57F5">
        <w:rPr>
          <w:rStyle w:val="FootnoteReference"/>
          <w:rFonts w:ascii="Palatino Linotype" w:hAnsi="Palatino Linotype" w:cs="Times New Roman"/>
          <w:sz w:val="22"/>
          <w:szCs w:val="22"/>
          <w:lang w:val="fr-CA"/>
        </w:rPr>
        <w:footnoteReference w:id="9"/>
      </w:r>
      <w:r w:rsidR="00DF57F5">
        <w:rPr>
          <w:rFonts w:ascii="Palatino Linotype" w:hAnsi="Palatino Linotype" w:cs="Times New Roman"/>
          <w:sz w:val="22"/>
          <w:szCs w:val="22"/>
          <w:lang w:val="fr-CA"/>
        </w:rPr>
        <w:t>. C</w:t>
      </w:r>
      <w:r w:rsidR="00B400F3" w:rsidRPr="00DF57F5">
        <w:rPr>
          <w:rFonts w:ascii="Palatino Linotype" w:hAnsi="Palatino Linotype" w:cs="Times New Roman"/>
          <w:sz w:val="22"/>
          <w:szCs w:val="22"/>
          <w:lang w:val="fr-CA"/>
        </w:rPr>
        <w:t>e même article ne prévoi</w:t>
      </w:r>
      <w:r w:rsidR="00E710D6" w:rsidRPr="00DF57F5">
        <w:rPr>
          <w:rFonts w:ascii="Palatino Linotype" w:hAnsi="Palatino Linotype" w:cs="Times New Roman"/>
          <w:sz w:val="22"/>
          <w:szCs w:val="22"/>
          <w:lang w:val="fr-CA"/>
        </w:rPr>
        <w:t>t</w:t>
      </w:r>
      <w:r w:rsidR="00B400F3" w:rsidRPr="00DF57F5">
        <w:rPr>
          <w:rFonts w:ascii="Palatino Linotype" w:hAnsi="Palatino Linotype" w:cs="Times New Roman"/>
          <w:sz w:val="22"/>
          <w:szCs w:val="22"/>
          <w:lang w:val="fr-CA"/>
        </w:rPr>
        <w:t xml:space="preserve"> pas non plus</w:t>
      </w:r>
      <w:r w:rsidR="003A2CA8" w:rsidRPr="00DF57F5">
        <w:rPr>
          <w:rFonts w:ascii="Palatino Linotype" w:hAnsi="Palatino Linotype" w:cs="Times New Roman"/>
          <w:sz w:val="22"/>
          <w:szCs w:val="22"/>
          <w:lang w:val="fr-CA"/>
        </w:rPr>
        <w:t xml:space="preserve"> l’importation des statuts des personnes protégées à l’Article 3 commun, mais plutôt un critère de « gravité similaire »</w:t>
      </w:r>
      <w:r w:rsidR="003A2CA8" w:rsidRPr="00DF57F5">
        <w:rPr>
          <w:rStyle w:val="FootnoteReference"/>
          <w:rFonts w:ascii="Palatino Linotype" w:hAnsi="Palatino Linotype" w:cs="Times New Roman"/>
          <w:sz w:val="22"/>
          <w:szCs w:val="22"/>
          <w:lang w:val="fr-CA"/>
        </w:rPr>
        <w:footnoteReference w:id="10"/>
      </w:r>
      <w:r w:rsidR="003A2CA8" w:rsidRPr="00DF57F5">
        <w:rPr>
          <w:rFonts w:ascii="Palatino Linotype" w:hAnsi="Palatino Linotype" w:cs="Times New Roman"/>
          <w:sz w:val="22"/>
          <w:szCs w:val="22"/>
          <w:lang w:val="fr-CA"/>
        </w:rPr>
        <w:t>, en plus d’affirmer que la violence sexuelle est prohibée dans toutes les circonstances</w:t>
      </w:r>
      <w:r w:rsidR="003A2CA8" w:rsidRPr="00DF57F5">
        <w:rPr>
          <w:rStyle w:val="FootnoteReference"/>
          <w:rFonts w:ascii="Palatino Linotype" w:hAnsi="Palatino Linotype" w:cs="Times New Roman"/>
          <w:sz w:val="22"/>
          <w:szCs w:val="22"/>
          <w:lang w:val="fr-CA"/>
        </w:rPr>
        <w:footnoteReference w:id="11"/>
      </w:r>
      <w:r w:rsidR="003A2CA8" w:rsidRPr="00DF57F5">
        <w:rPr>
          <w:rFonts w:ascii="Palatino Linotype" w:hAnsi="Palatino Linotype" w:cs="Times New Roman"/>
          <w:sz w:val="22"/>
          <w:szCs w:val="22"/>
          <w:lang w:val="fr-CA"/>
        </w:rPr>
        <w:t xml:space="preserve">. </w:t>
      </w:r>
      <w:r w:rsidR="00F40E0C" w:rsidRPr="00DF57F5">
        <w:rPr>
          <w:rFonts w:ascii="Palatino Linotype" w:hAnsi="Palatino Linotype" w:cs="Times New Roman"/>
          <w:sz w:val="22"/>
          <w:szCs w:val="22"/>
          <w:lang w:val="fr-CA"/>
        </w:rPr>
        <w:t>Le Procureur a également argumenté que si jamais la Chambre devait considérer que les victimes devaient tomber dans une catégorie de l’Article 3 commun,</w:t>
      </w:r>
      <w:r w:rsidR="0086394F" w:rsidRPr="00DF57F5">
        <w:rPr>
          <w:rFonts w:ascii="Palatino Linotype" w:hAnsi="Palatino Linotype" w:cs="Times New Roman"/>
          <w:sz w:val="22"/>
          <w:szCs w:val="22"/>
          <w:lang w:val="fr-CA"/>
        </w:rPr>
        <w:t xml:space="preserve"> il allait de soi</w:t>
      </w:r>
      <w:r w:rsidR="00F40E0C" w:rsidRPr="00DF57F5">
        <w:rPr>
          <w:rFonts w:ascii="Palatino Linotype" w:hAnsi="Palatino Linotype" w:cs="Times New Roman"/>
          <w:sz w:val="22"/>
          <w:szCs w:val="22"/>
          <w:lang w:val="fr-CA"/>
        </w:rPr>
        <w:t xml:space="preserve"> que les victimes alléguées aux charges 6 et 9 ne pouvaient</w:t>
      </w:r>
      <w:r w:rsidR="00051654" w:rsidRPr="00DF57F5">
        <w:rPr>
          <w:rFonts w:ascii="Palatino Linotype" w:hAnsi="Palatino Linotype" w:cs="Times New Roman"/>
          <w:sz w:val="22"/>
          <w:szCs w:val="22"/>
          <w:lang w:val="fr-CA"/>
        </w:rPr>
        <w:t xml:space="preserve"> être considérées comme prenant</w:t>
      </w:r>
      <w:r w:rsidR="00F40E0C" w:rsidRPr="00DF57F5">
        <w:rPr>
          <w:rFonts w:ascii="Palatino Linotype" w:hAnsi="Palatino Linotype" w:cs="Times New Roman"/>
          <w:sz w:val="22"/>
          <w:szCs w:val="22"/>
          <w:lang w:val="fr-CA"/>
        </w:rPr>
        <w:t xml:space="preserve"> part activement aux hostilités au moment des faits reprochés</w:t>
      </w:r>
      <w:r w:rsidR="0086394F" w:rsidRPr="00DF57F5">
        <w:rPr>
          <w:rFonts w:ascii="Palatino Linotype" w:hAnsi="Palatino Linotype" w:cs="Times New Roman"/>
          <w:sz w:val="22"/>
          <w:szCs w:val="22"/>
          <w:lang w:val="fr-CA"/>
        </w:rPr>
        <w:t>, et que l’Article 3 commun n’établissait pas de distinction quant à l’affiliation militaire ou politique de la victime</w:t>
      </w:r>
      <w:r w:rsidR="00F40E0C" w:rsidRPr="00DF57F5">
        <w:rPr>
          <w:rStyle w:val="FootnoteReference"/>
          <w:rFonts w:ascii="Palatino Linotype" w:hAnsi="Palatino Linotype" w:cs="Times New Roman"/>
          <w:sz w:val="22"/>
          <w:szCs w:val="22"/>
          <w:lang w:val="fr-CA"/>
        </w:rPr>
        <w:footnoteReference w:id="12"/>
      </w:r>
      <w:r w:rsidR="00F40E0C" w:rsidRPr="00DF57F5">
        <w:rPr>
          <w:rFonts w:ascii="Palatino Linotype" w:hAnsi="Palatino Linotype" w:cs="Times New Roman"/>
          <w:sz w:val="22"/>
          <w:szCs w:val="22"/>
          <w:lang w:val="fr-CA"/>
        </w:rPr>
        <w:t>.</w:t>
      </w:r>
      <w:r w:rsidR="001B3307" w:rsidRPr="00DF57F5">
        <w:rPr>
          <w:rFonts w:ascii="Palatino Linotype" w:hAnsi="Palatino Linotype" w:cs="Times New Roman"/>
          <w:sz w:val="22"/>
          <w:szCs w:val="22"/>
          <w:lang w:val="fr-CA"/>
        </w:rPr>
        <w:t xml:space="preserve"> </w:t>
      </w:r>
    </w:p>
    <w:p w14:paraId="579A9642" w14:textId="623A23A5" w:rsidR="00CD6416" w:rsidRPr="00DF57F5" w:rsidRDefault="001B3307" w:rsidP="00DF57F5">
      <w:pPr>
        <w:ind w:firstLine="708"/>
        <w:jc w:val="both"/>
        <w:rPr>
          <w:rFonts w:ascii="Palatino Linotype" w:hAnsi="Palatino Linotype" w:cs="Times New Roman"/>
          <w:sz w:val="22"/>
          <w:szCs w:val="22"/>
          <w:lang w:val="fr-CA"/>
        </w:rPr>
      </w:pPr>
      <w:r w:rsidRPr="00DF57F5">
        <w:rPr>
          <w:rFonts w:ascii="Palatino Linotype" w:hAnsi="Palatino Linotype" w:cs="Times New Roman"/>
          <w:sz w:val="22"/>
          <w:szCs w:val="22"/>
          <w:lang w:val="fr-CA"/>
        </w:rPr>
        <w:t>Q</w:t>
      </w:r>
      <w:r w:rsidR="00442093" w:rsidRPr="00DF57F5">
        <w:rPr>
          <w:rFonts w:ascii="Palatino Linotype" w:hAnsi="Palatino Linotype" w:cs="Times New Roman"/>
          <w:sz w:val="22"/>
          <w:szCs w:val="22"/>
          <w:lang w:val="fr-CA"/>
        </w:rPr>
        <w:t>uant à la</w:t>
      </w:r>
      <w:r w:rsidRPr="00DF57F5">
        <w:rPr>
          <w:rFonts w:ascii="Palatino Linotype" w:hAnsi="Palatino Linotype" w:cs="Times New Roman"/>
          <w:sz w:val="22"/>
          <w:szCs w:val="22"/>
          <w:lang w:val="fr-CA"/>
        </w:rPr>
        <w:t xml:space="preserve"> représentant</w:t>
      </w:r>
      <w:r w:rsidR="00442093" w:rsidRPr="00DF57F5">
        <w:rPr>
          <w:rFonts w:ascii="Palatino Linotype" w:hAnsi="Palatino Linotype" w:cs="Times New Roman"/>
          <w:sz w:val="22"/>
          <w:szCs w:val="22"/>
          <w:lang w:val="fr-CA"/>
        </w:rPr>
        <w:t>e</w:t>
      </w:r>
      <w:r w:rsidRPr="00DF57F5">
        <w:rPr>
          <w:rFonts w:ascii="Palatino Linotype" w:hAnsi="Palatino Linotype" w:cs="Times New Roman"/>
          <w:sz w:val="22"/>
          <w:szCs w:val="22"/>
          <w:lang w:val="fr-CA"/>
        </w:rPr>
        <w:t xml:space="preserve"> des anciens enfants soldats</w:t>
      </w:r>
      <w:r w:rsidR="003E7245" w:rsidRPr="00DF57F5">
        <w:rPr>
          <w:rFonts w:ascii="Palatino Linotype" w:hAnsi="Palatino Linotype" w:cs="Times New Roman"/>
          <w:sz w:val="22"/>
          <w:szCs w:val="22"/>
          <w:lang w:val="fr-CA"/>
        </w:rPr>
        <w:t xml:space="preserve"> (LRV)</w:t>
      </w:r>
      <w:r w:rsidRPr="00DF57F5">
        <w:rPr>
          <w:rFonts w:ascii="Palatino Linotype" w:hAnsi="Palatino Linotype" w:cs="Times New Roman"/>
          <w:sz w:val="22"/>
          <w:szCs w:val="22"/>
          <w:lang w:val="fr-CA"/>
        </w:rPr>
        <w:t>, ces derniers ne pouvaient être considéré</w:t>
      </w:r>
      <w:r w:rsidR="00F12DE0" w:rsidRPr="00DF57F5">
        <w:rPr>
          <w:rFonts w:ascii="Palatino Linotype" w:hAnsi="Palatino Linotype" w:cs="Times New Roman"/>
          <w:sz w:val="22"/>
          <w:szCs w:val="22"/>
          <w:lang w:val="fr-CA"/>
        </w:rPr>
        <w:t xml:space="preserve">s </w:t>
      </w:r>
      <w:r w:rsidRPr="00DF57F5">
        <w:rPr>
          <w:rFonts w:ascii="Palatino Linotype" w:hAnsi="Palatino Linotype" w:cs="Times New Roman"/>
          <w:sz w:val="22"/>
          <w:szCs w:val="22"/>
          <w:lang w:val="fr-CA"/>
        </w:rPr>
        <w:t>comme des membres réguliers de</w:t>
      </w:r>
      <w:r w:rsidR="00051654" w:rsidRPr="00DF57F5">
        <w:rPr>
          <w:rFonts w:ascii="Palatino Linotype" w:hAnsi="Palatino Linotype" w:cs="Times New Roman"/>
          <w:sz w:val="22"/>
          <w:szCs w:val="22"/>
          <w:lang w:val="fr-CA"/>
        </w:rPr>
        <w:t>s</w:t>
      </w:r>
      <w:r w:rsidRPr="00DF57F5">
        <w:rPr>
          <w:rFonts w:ascii="Palatino Linotype" w:hAnsi="Palatino Linotype" w:cs="Times New Roman"/>
          <w:sz w:val="22"/>
          <w:szCs w:val="22"/>
          <w:lang w:val="fr-CA"/>
        </w:rPr>
        <w:t xml:space="preserve"> forces armé</w:t>
      </w:r>
      <w:r w:rsidR="00F758A2" w:rsidRPr="00DF57F5">
        <w:rPr>
          <w:rFonts w:ascii="Palatino Linotype" w:hAnsi="Palatino Linotype" w:cs="Times New Roman"/>
          <w:sz w:val="22"/>
          <w:szCs w:val="22"/>
          <w:lang w:val="fr-CA"/>
        </w:rPr>
        <w:t>es</w:t>
      </w:r>
      <w:r w:rsidRPr="00DF57F5">
        <w:rPr>
          <w:rFonts w:ascii="Palatino Linotype" w:hAnsi="Palatino Linotype" w:cs="Times New Roman"/>
          <w:sz w:val="22"/>
          <w:szCs w:val="22"/>
          <w:lang w:val="fr-CA"/>
        </w:rPr>
        <w:t xml:space="preserve"> en</w:t>
      </w:r>
      <w:r w:rsidR="00442093" w:rsidRPr="00DF57F5">
        <w:rPr>
          <w:rFonts w:ascii="Palatino Linotype" w:hAnsi="Palatino Linotype" w:cs="Times New Roman"/>
          <w:sz w:val="22"/>
          <w:szCs w:val="22"/>
          <w:lang w:val="fr-CA"/>
        </w:rPr>
        <w:t xml:space="preserve"> </w:t>
      </w:r>
      <w:r w:rsidRPr="00DF57F5">
        <w:rPr>
          <w:rFonts w:ascii="Palatino Linotype" w:hAnsi="Palatino Linotype" w:cs="Times New Roman"/>
          <w:sz w:val="22"/>
          <w:szCs w:val="22"/>
          <w:lang w:val="fr-CA"/>
        </w:rPr>
        <w:t xml:space="preserve">raison de leur statut particulier en </w:t>
      </w:r>
      <w:r w:rsidR="00442093" w:rsidRPr="00DF57F5">
        <w:rPr>
          <w:rFonts w:ascii="Palatino Linotype" w:hAnsi="Palatino Linotype" w:cs="Times New Roman"/>
          <w:sz w:val="22"/>
          <w:szCs w:val="22"/>
          <w:lang w:val="fr-CA"/>
        </w:rPr>
        <w:t>droit</w:t>
      </w:r>
      <w:r w:rsidR="00051654" w:rsidRPr="00DF57F5">
        <w:rPr>
          <w:rFonts w:ascii="Palatino Linotype" w:hAnsi="Palatino Linotype" w:cs="Times New Roman"/>
          <w:sz w:val="22"/>
          <w:szCs w:val="22"/>
          <w:lang w:val="fr-CA"/>
        </w:rPr>
        <w:t>,</w:t>
      </w:r>
      <w:r w:rsidR="00442093" w:rsidRPr="00DF57F5">
        <w:rPr>
          <w:rFonts w:ascii="Palatino Linotype" w:hAnsi="Palatino Linotype" w:cs="Times New Roman"/>
          <w:sz w:val="22"/>
          <w:szCs w:val="22"/>
          <w:lang w:val="fr-CA"/>
        </w:rPr>
        <w:t xml:space="preserve"> en plus de l’impossibilité d’engager leur responsabilité criminelle</w:t>
      </w:r>
      <w:r w:rsidR="00442093" w:rsidRPr="00DF57F5">
        <w:rPr>
          <w:rStyle w:val="FootnoteReference"/>
          <w:rFonts w:ascii="Palatino Linotype" w:hAnsi="Palatino Linotype" w:cs="Times New Roman"/>
          <w:sz w:val="22"/>
          <w:szCs w:val="22"/>
          <w:lang w:val="fr-CA"/>
        </w:rPr>
        <w:footnoteReference w:id="13"/>
      </w:r>
      <w:r w:rsidR="00442093" w:rsidRPr="00DF57F5">
        <w:rPr>
          <w:rFonts w:ascii="Palatino Linotype" w:hAnsi="Palatino Linotype" w:cs="Times New Roman"/>
          <w:sz w:val="22"/>
          <w:szCs w:val="22"/>
          <w:lang w:val="fr-CA"/>
        </w:rPr>
        <w:t>.</w:t>
      </w:r>
      <w:r w:rsidR="00B400F3" w:rsidRPr="00DF57F5">
        <w:rPr>
          <w:rFonts w:ascii="Palatino Linotype" w:hAnsi="Palatino Linotype" w:cs="Times New Roman"/>
          <w:sz w:val="22"/>
          <w:szCs w:val="22"/>
          <w:lang w:val="fr-CA"/>
        </w:rPr>
        <w:t xml:space="preserve"> </w:t>
      </w:r>
      <w:r w:rsidR="003E7245" w:rsidRPr="00DF57F5">
        <w:rPr>
          <w:rFonts w:ascii="Palatino Linotype" w:hAnsi="Palatino Linotype" w:cs="Times New Roman"/>
          <w:sz w:val="22"/>
          <w:szCs w:val="22"/>
          <w:lang w:val="fr-CA"/>
        </w:rPr>
        <w:t xml:space="preserve">De plus, la </w:t>
      </w:r>
      <w:r w:rsidR="005B22D8" w:rsidRPr="00DF57F5">
        <w:rPr>
          <w:rFonts w:ascii="Palatino Linotype" w:hAnsi="Palatino Linotype" w:cs="Times New Roman"/>
          <w:sz w:val="22"/>
          <w:szCs w:val="22"/>
          <w:lang w:val="fr-CA"/>
        </w:rPr>
        <w:t>représentante</w:t>
      </w:r>
      <w:r w:rsidR="003E7245" w:rsidRPr="00DF57F5">
        <w:rPr>
          <w:rFonts w:ascii="Palatino Linotype" w:hAnsi="Palatino Linotype" w:cs="Times New Roman"/>
          <w:sz w:val="22"/>
          <w:szCs w:val="22"/>
          <w:lang w:val="fr-CA"/>
        </w:rPr>
        <w:t xml:space="preserve"> des victimes affirmait que si la Chambre reconnaissait que les enfants soldats étaient des membres réguliers du groupe armé, ils ne pouvaient être considéré</w:t>
      </w:r>
      <w:r w:rsidR="00F12DE0" w:rsidRPr="00DF57F5">
        <w:rPr>
          <w:rFonts w:ascii="Palatino Linotype" w:hAnsi="Palatino Linotype" w:cs="Times New Roman"/>
          <w:sz w:val="22"/>
          <w:szCs w:val="22"/>
          <w:lang w:val="fr-CA"/>
        </w:rPr>
        <w:t xml:space="preserve">s </w:t>
      </w:r>
      <w:r w:rsidR="003E7245" w:rsidRPr="00DF57F5">
        <w:rPr>
          <w:rFonts w:ascii="Palatino Linotype" w:hAnsi="Palatino Linotype" w:cs="Times New Roman"/>
          <w:sz w:val="22"/>
          <w:szCs w:val="22"/>
          <w:lang w:val="fr-CA"/>
        </w:rPr>
        <w:t>comme prenant part aux hostilités activement</w:t>
      </w:r>
      <w:r w:rsidR="00335BAB" w:rsidRPr="00DF57F5">
        <w:rPr>
          <w:rStyle w:val="FootnoteReference"/>
          <w:rFonts w:ascii="Palatino Linotype" w:hAnsi="Palatino Linotype" w:cs="Times New Roman"/>
          <w:sz w:val="22"/>
          <w:szCs w:val="22"/>
          <w:lang w:val="fr-CA"/>
        </w:rPr>
        <w:footnoteReference w:id="14"/>
      </w:r>
      <w:r w:rsidR="00335BAB" w:rsidRPr="00DF57F5">
        <w:rPr>
          <w:rFonts w:ascii="Palatino Linotype" w:hAnsi="Palatino Linotype" w:cs="Times New Roman"/>
          <w:sz w:val="22"/>
          <w:szCs w:val="22"/>
          <w:lang w:val="fr-CA"/>
        </w:rPr>
        <w:t>,</w:t>
      </w:r>
      <w:r w:rsidR="003E7245" w:rsidRPr="00DF57F5">
        <w:rPr>
          <w:rFonts w:ascii="Palatino Linotype" w:hAnsi="Palatino Linotype" w:cs="Times New Roman"/>
          <w:sz w:val="22"/>
          <w:szCs w:val="22"/>
          <w:lang w:val="fr-CA"/>
        </w:rPr>
        <w:t xml:space="preserve"> et que dans le cas contraire, ils bénéficiaient de toute façon d’une protection spéciale</w:t>
      </w:r>
      <w:r w:rsidR="003E7245" w:rsidRPr="00DF57F5">
        <w:rPr>
          <w:rStyle w:val="FootnoteReference"/>
          <w:rFonts w:ascii="Palatino Linotype" w:hAnsi="Palatino Linotype" w:cs="Times New Roman"/>
          <w:sz w:val="22"/>
          <w:szCs w:val="22"/>
          <w:lang w:val="fr-CA"/>
        </w:rPr>
        <w:footnoteReference w:id="15"/>
      </w:r>
      <w:r w:rsidR="003E7245" w:rsidRPr="00DF57F5">
        <w:rPr>
          <w:rFonts w:ascii="Palatino Linotype" w:hAnsi="Palatino Linotype" w:cs="Times New Roman"/>
          <w:sz w:val="22"/>
          <w:szCs w:val="22"/>
          <w:lang w:val="fr-CA"/>
        </w:rPr>
        <w:t>.</w:t>
      </w:r>
    </w:p>
    <w:p w14:paraId="0E7369DC" w14:textId="5F9CAEC0" w:rsidR="00000A14" w:rsidRPr="00DF57F5" w:rsidRDefault="003E7245" w:rsidP="00DF57F5">
      <w:pPr>
        <w:ind w:firstLine="708"/>
        <w:jc w:val="both"/>
        <w:rPr>
          <w:rFonts w:ascii="Palatino Linotype" w:hAnsi="Palatino Linotype" w:cs="Times New Roman"/>
          <w:sz w:val="22"/>
          <w:szCs w:val="22"/>
          <w:lang w:val="fr-CA"/>
        </w:rPr>
      </w:pPr>
      <w:r w:rsidRPr="00DF57F5">
        <w:rPr>
          <w:rFonts w:ascii="Palatino Linotype" w:hAnsi="Palatino Linotype" w:cs="Times New Roman"/>
          <w:sz w:val="22"/>
          <w:szCs w:val="22"/>
          <w:lang w:val="fr-CA"/>
        </w:rPr>
        <w:t xml:space="preserve"> </w:t>
      </w:r>
      <w:r w:rsidR="00051654" w:rsidRPr="00DF57F5">
        <w:rPr>
          <w:rFonts w:ascii="Palatino Linotype" w:hAnsi="Palatino Linotype" w:cs="Times New Roman"/>
          <w:sz w:val="22"/>
          <w:szCs w:val="22"/>
          <w:lang w:val="fr-CA"/>
        </w:rPr>
        <w:t>Cela dit, l</w:t>
      </w:r>
      <w:r w:rsidR="00CD6416" w:rsidRPr="00DF57F5">
        <w:rPr>
          <w:rFonts w:ascii="Palatino Linotype" w:hAnsi="Palatino Linotype" w:cs="Times New Roman"/>
          <w:sz w:val="22"/>
          <w:szCs w:val="22"/>
          <w:lang w:val="fr-CA"/>
        </w:rPr>
        <w:t>a</w:t>
      </w:r>
      <w:r w:rsidR="00A27E5C" w:rsidRPr="00DF57F5">
        <w:rPr>
          <w:rFonts w:ascii="Palatino Linotype" w:hAnsi="Palatino Linotype" w:cs="Times New Roman"/>
          <w:sz w:val="22"/>
          <w:szCs w:val="22"/>
          <w:lang w:val="fr-CA"/>
        </w:rPr>
        <w:t xml:space="preserve"> chamb</w:t>
      </w:r>
      <w:r w:rsidR="00CD6416" w:rsidRPr="00DF57F5">
        <w:rPr>
          <w:rFonts w:ascii="Palatino Linotype" w:hAnsi="Palatino Linotype" w:cs="Times New Roman"/>
          <w:sz w:val="22"/>
          <w:szCs w:val="22"/>
          <w:lang w:val="fr-CA"/>
        </w:rPr>
        <w:t>re de première instance arrive à la conclusion que toutes le</w:t>
      </w:r>
      <w:r w:rsidR="00E04FA9" w:rsidRPr="00DF57F5">
        <w:rPr>
          <w:rFonts w:ascii="Palatino Linotype" w:hAnsi="Palatino Linotype" w:cs="Times New Roman"/>
          <w:sz w:val="22"/>
          <w:szCs w:val="22"/>
          <w:lang w:val="fr-CA"/>
        </w:rPr>
        <w:t>s</w:t>
      </w:r>
      <w:r w:rsidR="00CD6416" w:rsidRPr="00DF57F5">
        <w:rPr>
          <w:rFonts w:ascii="Palatino Linotype" w:hAnsi="Palatino Linotype" w:cs="Times New Roman"/>
          <w:sz w:val="22"/>
          <w:szCs w:val="22"/>
          <w:lang w:val="fr-CA"/>
        </w:rPr>
        <w:t xml:space="preserve"> vic</w:t>
      </w:r>
      <w:r w:rsidR="00E04FA9" w:rsidRPr="00DF57F5">
        <w:rPr>
          <w:rFonts w:ascii="Palatino Linotype" w:hAnsi="Palatino Linotype" w:cs="Times New Roman"/>
          <w:sz w:val="22"/>
          <w:szCs w:val="22"/>
          <w:lang w:val="fr-CA"/>
        </w:rPr>
        <w:t>times de crime de guerre ne doivent</w:t>
      </w:r>
      <w:r w:rsidR="00CD6416" w:rsidRPr="00DF57F5">
        <w:rPr>
          <w:rFonts w:ascii="Palatino Linotype" w:hAnsi="Palatino Linotype" w:cs="Times New Roman"/>
          <w:sz w:val="22"/>
          <w:szCs w:val="22"/>
          <w:lang w:val="fr-CA"/>
        </w:rPr>
        <w:t xml:space="preserve"> pas nécessairement </w:t>
      </w:r>
      <w:r w:rsidR="00000A14" w:rsidRPr="00DF57F5">
        <w:rPr>
          <w:rFonts w:ascii="Palatino Linotype" w:hAnsi="Palatino Linotype" w:cs="Times New Roman"/>
          <w:sz w:val="22"/>
          <w:szCs w:val="22"/>
          <w:lang w:val="fr-CA"/>
        </w:rPr>
        <w:t>entrer</w:t>
      </w:r>
      <w:r w:rsidR="00E04FA9" w:rsidRPr="00DF57F5">
        <w:rPr>
          <w:rFonts w:ascii="Palatino Linotype" w:hAnsi="Palatino Linotype" w:cs="Times New Roman"/>
          <w:sz w:val="22"/>
          <w:szCs w:val="22"/>
          <w:lang w:val="fr-CA"/>
        </w:rPr>
        <w:t xml:space="preserve"> dans une catégorie</w:t>
      </w:r>
      <w:r w:rsidR="00CD6416" w:rsidRPr="00DF57F5">
        <w:rPr>
          <w:rFonts w:ascii="Palatino Linotype" w:hAnsi="Palatino Linotype" w:cs="Times New Roman"/>
          <w:sz w:val="22"/>
          <w:szCs w:val="22"/>
          <w:lang w:val="fr-CA"/>
        </w:rPr>
        <w:t xml:space="preserve"> prévu</w:t>
      </w:r>
      <w:r w:rsidR="00000A14" w:rsidRPr="00DF57F5">
        <w:rPr>
          <w:rFonts w:ascii="Palatino Linotype" w:hAnsi="Palatino Linotype" w:cs="Times New Roman"/>
          <w:sz w:val="22"/>
          <w:szCs w:val="22"/>
          <w:lang w:val="fr-CA"/>
        </w:rPr>
        <w:t>e</w:t>
      </w:r>
      <w:r w:rsidR="00CD6416" w:rsidRPr="00DF57F5">
        <w:rPr>
          <w:rFonts w:ascii="Palatino Linotype" w:hAnsi="Palatino Linotype" w:cs="Times New Roman"/>
          <w:sz w:val="22"/>
          <w:szCs w:val="22"/>
          <w:lang w:val="fr-CA"/>
        </w:rPr>
        <w:t xml:space="preserve"> par l’Article 3 commun</w:t>
      </w:r>
      <w:r w:rsidR="00A27E5C" w:rsidRPr="00DF57F5">
        <w:rPr>
          <w:rStyle w:val="FootnoteReference"/>
          <w:rFonts w:ascii="Palatino Linotype" w:hAnsi="Palatino Linotype" w:cs="Times New Roman"/>
          <w:sz w:val="22"/>
          <w:szCs w:val="22"/>
          <w:lang w:val="fr-CA"/>
        </w:rPr>
        <w:footnoteReference w:id="16"/>
      </w:r>
      <w:r w:rsidR="00A27E5C" w:rsidRPr="00DF57F5">
        <w:rPr>
          <w:rFonts w:ascii="Palatino Linotype" w:hAnsi="Palatino Linotype" w:cs="Times New Roman"/>
          <w:sz w:val="22"/>
          <w:szCs w:val="22"/>
          <w:lang w:val="fr-CA"/>
        </w:rPr>
        <w:t>.</w:t>
      </w:r>
      <w:r w:rsidR="00000A14" w:rsidRPr="00DF57F5">
        <w:rPr>
          <w:rFonts w:ascii="Palatino Linotype" w:hAnsi="Palatino Linotype" w:cs="Times New Roman"/>
          <w:sz w:val="22"/>
          <w:szCs w:val="22"/>
          <w:lang w:val="fr-CA"/>
        </w:rPr>
        <w:t xml:space="preserve"> En effet, la Cour conclu</w:t>
      </w:r>
      <w:r w:rsidR="00AE712F" w:rsidRPr="00DF57F5">
        <w:rPr>
          <w:rFonts w:ascii="Palatino Linotype" w:hAnsi="Palatino Linotype" w:cs="Times New Roman"/>
          <w:sz w:val="22"/>
          <w:szCs w:val="22"/>
          <w:lang w:val="fr-CA"/>
        </w:rPr>
        <w:t xml:space="preserve">t </w:t>
      </w:r>
      <w:r w:rsidR="00000A14" w:rsidRPr="00DF57F5">
        <w:rPr>
          <w:rFonts w:ascii="Palatino Linotype" w:hAnsi="Palatino Linotype" w:cs="Times New Roman"/>
          <w:sz w:val="22"/>
          <w:szCs w:val="22"/>
          <w:lang w:val="fr-CA"/>
        </w:rPr>
        <w:t>que le chapeau des paragraphes 2(b)</w:t>
      </w:r>
      <w:r w:rsidR="00ED066B" w:rsidRPr="00DF57F5">
        <w:rPr>
          <w:rStyle w:val="FootnoteReference"/>
          <w:rFonts w:ascii="Palatino Linotype" w:hAnsi="Palatino Linotype" w:cs="Times New Roman"/>
          <w:sz w:val="22"/>
          <w:szCs w:val="22"/>
          <w:lang w:val="fr-CA"/>
        </w:rPr>
        <w:footnoteReference w:id="17"/>
      </w:r>
      <w:r w:rsidR="00000A14" w:rsidRPr="00DF57F5">
        <w:rPr>
          <w:rFonts w:ascii="Palatino Linotype" w:hAnsi="Palatino Linotype" w:cs="Times New Roman"/>
          <w:sz w:val="22"/>
          <w:szCs w:val="22"/>
          <w:lang w:val="fr-CA"/>
        </w:rPr>
        <w:t xml:space="preserve"> et 2(e) de l’Article 8 ne contiennent pas de statut de victime particulier, contrairement aux paragraphes 2(a) et 2(c). </w:t>
      </w:r>
      <w:r w:rsidR="00A27E5C" w:rsidRPr="00DF57F5">
        <w:rPr>
          <w:rFonts w:ascii="Palatino Linotype" w:hAnsi="Palatino Linotype" w:cs="Times New Roman"/>
          <w:sz w:val="22"/>
          <w:szCs w:val="22"/>
          <w:lang w:val="fr-CA"/>
        </w:rPr>
        <w:t xml:space="preserve"> </w:t>
      </w:r>
      <w:r w:rsidR="009F7686" w:rsidRPr="00DF57F5">
        <w:rPr>
          <w:rFonts w:ascii="Palatino Linotype" w:hAnsi="Palatino Linotype" w:cs="Times New Roman"/>
          <w:sz w:val="22"/>
          <w:szCs w:val="22"/>
          <w:lang w:val="fr-CA"/>
        </w:rPr>
        <w:t>Aussi, contrairement aux potentiels crimes n’ayant pas été énumérés, mais qui pourrait se retrouver sous la bannière « autres formes de violence sexuelle</w:t>
      </w:r>
      <w:r w:rsidR="00D978D0" w:rsidRPr="00DF57F5">
        <w:rPr>
          <w:rFonts w:ascii="Palatino Linotype" w:hAnsi="Palatino Linotype" w:cs="Times New Roman"/>
          <w:sz w:val="22"/>
          <w:szCs w:val="22"/>
          <w:lang w:val="fr-CA"/>
        </w:rPr>
        <w:t>s</w:t>
      </w:r>
      <w:r w:rsidR="009F7686" w:rsidRPr="00DF57F5">
        <w:rPr>
          <w:rFonts w:ascii="Palatino Linotype" w:hAnsi="Palatino Linotype" w:cs="Times New Roman"/>
          <w:sz w:val="22"/>
          <w:szCs w:val="22"/>
          <w:lang w:val="fr-CA"/>
        </w:rPr>
        <w:t> », le document contenant les</w:t>
      </w:r>
      <w:r w:rsidR="007F3CCE" w:rsidRPr="00DF57F5">
        <w:rPr>
          <w:rFonts w:ascii="Palatino Linotype" w:hAnsi="Palatino Linotype" w:cs="Times New Roman"/>
          <w:sz w:val="22"/>
          <w:szCs w:val="22"/>
          <w:lang w:val="fr-CA"/>
        </w:rPr>
        <w:t xml:space="preserve"> Éléments des c</w:t>
      </w:r>
      <w:r w:rsidR="009F7686" w:rsidRPr="00DF57F5">
        <w:rPr>
          <w:rFonts w:ascii="Palatino Linotype" w:hAnsi="Palatino Linotype" w:cs="Times New Roman"/>
          <w:sz w:val="22"/>
          <w:szCs w:val="22"/>
          <w:lang w:val="fr-CA"/>
        </w:rPr>
        <w:t xml:space="preserve">rimes ne prévoit pas que les crimes de viol et d’esclavage sexuel nécessitent la démonstration de l’atteinte d’un seuil de gravité similaire à </w:t>
      </w:r>
      <w:r w:rsidR="00903506" w:rsidRPr="00DF57F5">
        <w:rPr>
          <w:rFonts w:ascii="Palatino Linotype" w:hAnsi="Palatino Linotype" w:cs="Times New Roman"/>
          <w:sz w:val="22"/>
          <w:szCs w:val="22"/>
          <w:lang w:val="fr-CA"/>
        </w:rPr>
        <w:t>tout acte constituant une</w:t>
      </w:r>
      <w:r w:rsidR="003D1C7F" w:rsidRPr="00DF57F5">
        <w:rPr>
          <w:rFonts w:ascii="Palatino Linotype" w:hAnsi="Palatino Linotype" w:cs="Times New Roman"/>
          <w:sz w:val="22"/>
          <w:szCs w:val="22"/>
          <w:lang w:val="fr-CA"/>
        </w:rPr>
        <w:t xml:space="preserve"> </w:t>
      </w:r>
      <w:r w:rsidR="00903506" w:rsidRPr="00DF57F5">
        <w:rPr>
          <w:rFonts w:ascii="Palatino Linotype" w:hAnsi="Palatino Linotype" w:cs="Times New Roman"/>
          <w:sz w:val="22"/>
          <w:szCs w:val="22"/>
          <w:lang w:val="fr-CA"/>
        </w:rPr>
        <w:t>infraction</w:t>
      </w:r>
      <w:r w:rsidR="00531E85" w:rsidRPr="00DF57F5">
        <w:rPr>
          <w:rFonts w:ascii="Palatino Linotype" w:hAnsi="Palatino Linotype" w:cs="Times New Roman"/>
          <w:sz w:val="22"/>
          <w:szCs w:val="22"/>
          <w:lang w:val="fr-CA"/>
        </w:rPr>
        <w:t xml:space="preserve"> grave</w:t>
      </w:r>
      <w:r w:rsidR="00FB668E" w:rsidRPr="00DF57F5">
        <w:rPr>
          <w:rFonts w:ascii="Palatino Linotype" w:hAnsi="Palatino Linotype" w:cs="Times New Roman"/>
          <w:sz w:val="22"/>
          <w:szCs w:val="22"/>
          <w:lang w:val="fr-CA"/>
        </w:rPr>
        <w:t xml:space="preserve"> </w:t>
      </w:r>
      <w:r w:rsidR="00903506" w:rsidRPr="00DF57F5">
        <w:rPr>
          <w:rFonts w:ascii="Palatino Linotype" w:hAnsi="Palatino Linotype" w:cs="Times New Roman"/>
          <w:sz w:val="22"/>
          <w:szCs w:val="22"/>
          <w:lang w:val="fr-CA"/>
        </w:rPr>
        <w:t>aux Conventions de Genève</w:t>
      </w:r>
      <w:r w:rsidR="003D1C7F" w:rsidRPr="00DF57F5">
        <w:rPr>
          <w:rFonts w:ascii="Palatino Linotype" w:hAnsi="Palatino Linotype" w:cs="Times New Roman"/>
          <w:sz w:val="22"/>
          <w:szCs w:val="22"/>
          <w:lang w:val="fr-CA"/>
        </w:rPr>
        <w:t xml:space="preserve"> </w:t>
      </w:r>
      <w:r w:rsidR="00903506" w:rsidRPr="00DF57F5">
        <w:rPr>
          <w:rFonts w:ascii="Palatino Linotype" w:hAnsi="Palatino Linotype" w:cs="Times New Roman"/>
          <w:sz w:val="22"/>
          <w:szCs w:val="22"/>
          <w:lang w:val="fr-CA"/>
        </w:rPr>
        <w:t>ou à une violation grave</w:t>
      </w:r>
      <w:r w:rsidR="009F7686" w:rsidRPr="00DF57F5">
        <w:rPr>
          <w:rFonts w:ascii="Palatino Linotype" w:hAnsi="Palatino Linotype" w:cs="Times New Roman"/>
          <w:sz w:val="22"/>
          <w:szCs w:val="22"/>
          <w:lang w:val="fr-CA"/>
        </w:rPr>
        <w:t xml:space="preserve"> de l’</w:t>
      </w:r>
      <w:r w:rsidR="00903506" w:rsidRPr="00DF57F5">
        <w:rPr>
          <w:rFonts w:ascii="Palatino Linotype" w:hAnsi="Palatino Linotype" w:cs="Times New Roman"/>
          <w:sz w:val="22"/>
          <w:szCs w:val="22"/>
          <w:lang w:val="fr-CA"/>
        </w:rPr>
        <w:t>A</w:t>
      </w:r>
      <w:r w:rsidR="009F7686" w:rsidRPr="00DF57F5">
        <w:rPr>
          <w:rFonts w:ascii="Palatino Linotype" w:hAnsi="Palatino Linotype" w:cs="Times New Roman"/>
          <w:sz w:val="22"/>
          <w:szCs w:val="22"/>
          <w:lang w:val="fr-CA"/>
        </w:rPr>
        <w:t>rticle 3 Commun</w:t>
      </w:r>
      <w:r w:rsidR="009F7686" w:rsidRPr="00DF57F5">
        <w:rPr>
          <w:rStyle w:val="FootnoteReference"/>
          <w:rFonts w:ascii="Palatino Linotype" w:hAnsi="Palatino Linotype" w:cs="Times New Roman"/>
          <w:sz w:val="22"/>
          <w:szCs w:val="22"/>
          <w:lang w:val="fr-CA"/>
        </w:rPr>
        <w:footnoteReference w:id="18"/>
      </w:r>
      <w:r w:rsidR="009F7686" w:rsidRPr="00DF57F5">
        <w:rPr>
          <w:rFonts w:ascii="Palatino Linotype" w:hAnsi="Palatino Linotype" w:cs="Times New Roman"/>
          <w:sz w:val="22"/>
          <w:szCs w:val="22"/>
          <w:lang w:val="fr-CA"/>
        </w:rPr>
        <w:t>.</w:t>
      </w:r>
      <w:r w:rsidR="00FA2555" w:rsidRPr="00DF57F5">
        <w:rPr>
          <w:rFonts w:ascii="Palatino Linotype" w:hAnsi="Palatino Linotype" w:cs="Times New Roman"/>
          <w:sz w:val="22"/>
          <w:szCs w:val="22"/>
          <w:lang w:val="fr-CA"/>
        </w:rPr>
        <w:t xml:space="preserve"> </w:t>
      </w:r>
      <w:r w:rsidR="00944907" w:rsidRPr="00DF57F5">
        <w:rPr>
          <w:rFonts w:ascii="Palatino Linotype" w:hAnsi="Palatino Linotype" w:cs="Times New Roman"/>
          <w:sz w:val="22"/>
          <w:szCs w:val="22"/>
          <w:lang w:val="fr-CA"/>
        </w:rPr>
        <w:t>Cela dit, la Chambre ne considérera pas nécessaire d’analyser l’argument concernant la qualification d’enfants soldats comme membre régulier ou non d’un groupe armé</w:t>
      </w:r>
      <w:r w:rsidR="00D978D0" w:rsidRPr="00DF57F5">
        <w:rPr>
          <w:rFonts w:ascii="Palatino Linotype" w:hAnsi="Palatino Linotype" w:cs="Times New Roman"/>
          <w:sz w:val="22"/>
          <w:szCs w:val="22"/>
          <w:lang w:val="fr-CA"/>
        </w:rPr>
        <w:t xml:space="preserve"> à la lumière de ces conclusions </w:t>
      </w:r>
      <w:r w:rsidR="00D978D0" w:rsidRPr="00DF57F5">
        <w:rPr>
          <w:rFonts w:ascii="Palatino Linotype" w:hAnsi="Palatino Linotype" w:cs="Times New Roman"/>
          <w:sz w:val="22"/>
          <w:szCs w:val="22"/>
          <w:lang w:val="fr-CA"/>
        </w:rPr>
        <w:lastRenderedPageBreak/>
        <w:t>précédentes</w:t>
      </w:r>
      <w:r w:rsidR="00944907" w:rsidRPr="00DF57F5">
        <w:rPr>
          <w:rStyle w:val="FootnoteReference"/>
          <w:rFonts w:ascii="Palatino Linotype" w:hAnsi="Palatino Linotype" w:cs="Times New Roman"/>
          <w:sz w:val="22"/>
          <w:szCs w:val="22"/>
          <w:lang w:val="fr-CA"/>
        </w:rPr>
        <w:footnoteReference w:id="19"/>
      </w:r>
      <w:r w:rsidR="00944907" w:rsidRPr="00DF57F5">
        <w:rPr>
          <w:rFonts w:ascii="Palatino Linotype" w:hAnsi="Palatino Linotype" w:cs="Times New Roman"/>
          <w:sz w:val="22"/>
          <w:szCs w:val="22"/>
          <w:lang w:val="fr-CA"/>
        </w:rPr>
        <w:t xml:space="preserve">. </w:t>
      </w:r>
      <w:r w:rsidR="00FA2555" w:rsidRPr="00DF57F5">
        <w:rPr>
          <w:rFonts w:ascii="Palatino Linotype" w:hAnsi="Palatino Linotype" w:cs="Times New Roman"/>
          <w:sz w:val="22"/>
          <w:szCs w:val="22"/>
          <w:lang w:val="fr-CA"/>
        </w:rPr>
        <w:t>Enfin, la Chambre conclu</w:t>
      </w:r>
      <w:r w:rsidR="001F69DC" w:rsidRPr="00DF57F5">
        <w:rPr>
          <w:rFonts w:ascii="Palatino Linotype" w:hAnsi="Palatino Linotype" w:cs="Times New Roman"/>
          <w:sz w:val="22"/>
          <w:szCs w:val="22"/>
          <w:lang w:val="fr-CA"/>
        </w:rPr>
        <w:t xml:space="preserve">t </w:t>
      </w:r>
      <w:r w:rsidR="00FA2555" w:rsidRPr="00DF57F5">
        <w:rPr>
          <w:rFonts w:ascii="Palatino Linotype" w:hAnsi="Palatino Linotype" w:cs="Times New Roman"/>
          <w:sz w:val="22"/>
          <w:szCs w:val="22"/>
          <w:lang w:val="fr-CA"/>
        </w:rPr>
        <w:t>que le chapeau des paragraphes 2(b) et 2(e) ainsi que l’« introduction » de l’Article 8 du document contenant les Éléments des crim</w:t>
      </w:r>
      <w:r w:rsidR="00074688" w:rsidRPr="00DF57F5">
        <w:rPr>
          <w:rFonts w:ascii="Palatino Linotype" w:hAnsi="Palatino Linotype" w:cs="Times New Roman"/>
          <w:sz w:val="22"/>
          <w:szCs w:val="22"/>
          <w:lang w:val="fr-CA"/>
        </w:rPr>
        <w:t>es,</w:t>
      </w:r>
      <w:r w:rsidR="00FA2555" w:rsidRPr="00DF57F5">
        <w:rPr>
          <w:rFonts w:ascii="Palatino Linotype" w:hAnsi="Palatino Linotype" w:cs="Times New Roman"/>
          <w:sz w:val="22"/>
          <w:szCs w:val="22"/>
          <w:lang w:val="fr-CA"/>
        </w:rPr>
        <w:t xml:space="preserve"> font référence à tout autre violation des lois et coutumes</w:t>
      </w:r>
      <w:r w:rsidR="00074688" w:rsidRPr="00DF57F5">
        <w:rPr>
          <w:rFonts w:ascii="Palatino Linotype" w:hAnsi="Palatino Linotype" w:cs="Times New Roman"/>
          <w:sz w:val="22"/>
          <w:szCs w:val="22"/>
          <w:lang w:val="fr-CA"/>
        </w:rPr>
        <w:t xml:space="preserve"> du DIH</w:t>
      </w:r>
      <w:r w:rsidR="00074688" w:rsidRPr="00DF57F5">
        <w:rPr>
          <w:rStyle w:val="FootnoteReference"/>
          <w:rFonts w:ascii="Palatino Linotype" w:hAnsi="Palatino Linotype" w:cs="Times New Roman"/>
          <w:sz w:val="22"/>
          <w:szCs w:val="22"/>
          <w:lang w:val="fr-CA"/>
        </w:rPr>
        <w:footnoteReference w:id="20"/>
      </w:r>
      <w:r w:rsidR="00074688" w:rsidRPr="00DF57F5">
        <w:rPr>
          <w:rFonts w:ascii="Palatino Linotype" w:hAnsi="Palatino Linotype" w:cs="Times New Roman"/>
          <w:sz w:val="22"/>
          <w:szCs w:val="22"/>
          <w:lang w:val="fr-CA"/>
        </w:rPr>
        <w:t>. Cela étant, la Chambre procède à une brève étude de la coutume entourant les crimes de viol et d’esclavage sexuel pour en arriver à la conclusion que la prohibition de ceux-ci sont de nature coutumière et</w:t>
      </w:r>
      <w:r w:rsidR="003B5B08" w:rsidRPr="00DF57F5">
        <w:rPr>
          <w:rFonts w:ascii="Palatino Linotype" w:hAnsi="Palatino Linotype" w:cs="Times New Roman"/>
          <w:sz w:val="22"/>
          <w:szCs w:val="22"/>
          <w:lang w:val="fr-CA"/>
        </w:rPr>
        <w:t xml:space="preserve"> même de </w:t>
      </w:r>
      <w:r w:rsidR="003B5B08" w:rsidRPr="00DF57F5">
        <w:rPr>
          <w:rFonts w:ascii="Palatino Linotype" w:hAnsi="Palatino Linotype" w:cs="Times New Roman"/>
          <w:i/>
          <w:sz w:val="22"/>
          <w:szCs w:val="22"/>
          <w:lang w:val="fr-CA"/>
        </w:rPr>
        <w:t>jus cogens.</w:t>
      </w:r>
      <w:r w:rsidR="00074688" w:rsidRPr="00DF57F5">
        <w:rPr>
          <w:rStyle w:val="FootnoteReference"/>
          <w:rFonts w:ascii="Palatino Linotype" w:hAnsi="Palatino Linotype" w:cs="Times New Roman"/>
          <w:sz w:val="22"/>
          <w:szCs w:val="22"/>
          <w:lang w:val="fr-CA"/>
        </w:rPr>
        <w:footnoteReference w:id="21"/>
      </w:r>
      <w:r w:rsidR="00074688" w:rsidRPr="00DF57F5">
        <w:rPr>
          <w:rFonts w:ascii="Palatino Linotype" w:hAnsi="Palatino Linotype" w:cs="Times New Roman"/>
          <w:sz w:val="22"/>
          <w:szCs w:val="22"/>
          <w:lang w:val="fr-CA"/>
        </w:rPr>
        <w:t xml:space="preserve"> De ce fait, la Chambre conclu</w:t>
      </w:r>
      <w:r w:rsidR="00CA6AC9" w:rsidRPr="00DF57F5">
        <w:rPr>
          <w:rFonts w:ascii="Palatino Linotype" w:hAnsi="Palatino Linotype" w:cs="Times New Roman"/>
          <w:sz w:val="22"/>
          <w:szCs w:val="22"/>
          <w:lang w:val="fr-CA"/>
        </w:rPr>
        <w:t xml:space="preserve">t </w:t>
      </w:r>
      <w:r w:rsidR="00074688" w:rsidRPr="00DF57F5">
        <w:rPr>
          <w:rFonts w:ascii="Palatino Linotype" w:hAnsi="Palatino Linotype" w:cs="Times New Roman"/>
          <w:sz w:val="22"/>
          <w:szCs w:val="22"/>
          <w:lang w:val="fr-CA"/>
        </w:rPr>
        <w:t>que l’argumentaire de la Défense aurait pour conséquence de limiter l’étendu</w:t>
      </w:r>
      <w:r w:rsidR="001F69DC" w:rsidRPr="00DF57F5">
        <w:rPr>
          <w:rFonts w:ascii="Palatino Linotype" w:hAnsi="Palatino Linotype" w:cs="Times New Roman"/>
          <w:sz w:val="22"/>
          <w:szCs w:val="22"/>
          <w:lang w:val="fr-CA"/>
        </w:rPr>
        <w:t xml:space="preserve">e </w:t>
      </w:r>
      <w:r w:rsidR="00074688" w:rsidRPr="00DF57F5">
        <w:rPr>
          <w:rFonts w:ascii="Palatino Linotype" w:hAnsi="Palatino Linotype" w:cs="Times New Roman"/>
          <w:sz w:val="22"/>
          <w:szCs w:val="22"/>
          <w:lang w:val="fr-CA"/>
        </w:rPr>
        <w:t>de la protection octroyée par le DIH d’une manière contraire à la philosophie même de ce droit, qui est de m</w:t>
      </w:r>
      <w:r w:rsidR="00B60B03" w:rsidRPr="00DF57F5">
        <w:rPr>
          <w:rFonts w:ascii="Palatino Linotype" w:hAnsi="Palatino Linotype" w:cs="Times New Roman"/>
          <w:sz w:val="22"/>
          <w:szCs w:val="22"/>
          <w:lang w:val="fr-CA"/>
        </w:rPr>
        <w:t>itiger les souffrances qu’engendrent</w:t>
      </w:r>
      <w:r w:rsidR="00074688" w:rsidRPr="00DF57F5">
        <w:rPr>
          <w:rFonts w:ascii="Palatino Linotype" w:hAnsi="Palatino Linotype" w:cs="Times New Roman"/>
          <w:sz w:val="22"/>
          <w:szCs w:val="22"/>
          <w:lang w:val="fr-CA"/>
        </w:rPr>
        <w:t xml:space="preserve"> un conflit armé tout en laissant la possibilité aux belligérants d’utiliser la force lorsqu’il s’agit de nécessité militaire. Or, la Chambre nous enseigne à </w:t>
      </w:r>
      <w:r w:rsidR="006E607A" w:rsidRPr="00DF57F5">
        <w:rPr>
          <w:rFonts w:ascii="Palatino Linotype" w:hAnsi="Palatino Linotype" w:cs="Times New Roman"/>
          <w:sz w:val="22"/>
          <w:szCs w:val="22"/>
          <w:lang w:val="fr-CA"/>
        </w:rPr>
        <w:t xml:space="preserve">juste titre </w:t>
      </w:r>
      <w:r w:rsidR="00074688" w:rsidRPr="00DF57F5">
        <w:rPr>
          <w:rFonts w:ascii="Palatino Linotype" w:hAnsi="Palatino Linotype" w:cs="Times New Roman"/>
          <w:sz w:val="22"/>
          <w:szCs w:val="22"/>
          <w:lang w:val="fr-CA"/>
        </w:rPr>
        <w:t>que le viol et la réduction en esclavage d’enfant de moins de 15 ans ne pourrait en aucun cas const</w:t>
      </w:r>
      <w:r w:rsidR="009C4094" w:rsidRPr="00DF57F5">
        <w:rPr>
          <w:rFonts w:ascii="Palatino Linotype" w:hAnsi="Palatino Linotype" w:cs="Times New Roman"/>
          <w:sz w:val="22"/>
          <w:szCs w:val="22"/>
          <w:lang w:val="fr-CA"/>
        </w:rPr>
        <w:t>ituer un avantage militaire légitime, et qu</w:t>
      </w:r>
      <w:r w:rsidR="00B60B03" w:rsidRPr="00DF57F5">
        <w:rPr>
          <w:rFonts w:ascii="Palatino Linotype" w:hAnsi="Palatino Linotype" w:cs="Times New Roman"/>
          <w:sz w:val="22"/>
          <w:szCs w:val="22"/>
          <w:lang w:val="fr-CA"/>
        </w:rPr>
        <w:t>e ces actes</w:t>
      </w:r>
      <w:r w:rsidR="009C4094" w:rsidRPr="00DF57F5">
        <w:rPr>
          <w:rFonts w:ascii="Palatino Linotype" w:hAnsi="Palatino Linotype" w:cs="Times New Roman"/>
          <w:sz w:val="22"/>
          <w:szCs w:val="22"/>
          <w:lang w:val="fr-CA"/>
        </w:rPr>
        <w:t xml:space="preserve"> ne pourrai</w:t>
      </w:r>
      <w:r w:rsidR="00B60B03" w:rsidRPr="00DF57F5">
        <w:rPr>
          <w:rFonts w:ascii="Palatino Linotype" w:hAnsi="Palatino Linotype" w:cs="Times New Roman"/>
          <w:sz w:val="22"/>
          <w:szCs w:val="22"/>
          <w:lang w:val="fr-CA"/>
        </w:rPr>
        <w:t>en</w:t>
      </w:r>
      <w:r w:rsidR="009C4094" w:rsidRPr="00DF57F5">
        <w:rPr>
          <w:rFonts w:ascii="Palatino Linotype" w:hAnsi="Palatino Linotype" w:cs="Times New Roman"/>
          <w:sz w:val="22"/>
          <w:szCs w:val="22"/>
          <w:lang w:val="fr-CA"/>
        </w:rPr>
        <w:t>t donc constituer une exception à la protection offerte par le DIH, et qu’il n’y a jamais de justification</w:t>
      </w:r>
      <w:r w:rsidR="00B60B03" w:rsidRPr="00DF57F5">
        <w:rPr>
          <w:rFonts w:ascii="Palatino Linotype" w:hAnsi="Palatino Linotype" w:cs="Times New Roman"/>
          <w:sz w:val="22"/>
          <w:szCs w:val="22"/>
          <w:lang w:val="fr-CA"/>
        </w:rPr>
        <w:t xml:space="preserve"> pour ce faire</w:t>
      </w:r>
      <w:r w:rsidR="009C4094" w:rsidRPr="00DF57F5">
        <w:rPr>
          <w:rFonts w:ascii="Palatino Linotype" w:hAnsi="Palatino Linotype" w:cs="Times New Roman"/>
          <w:sz w:val="22"/>
          <w:szCs w:val="22"/>
          <w:lang w:val="fr-CA"/>
        </w:rPr>
        <w:t>.</w:t>
      </w:r>
      <w:r w:rsidR="009C4094" w:rsidRPr="00DF57F5">
        <w:rPr>
          <w:rStyle w:val="FootnoteReference"/>
          <w:rFonts w:ascii="Palatino Linotype" w:hAnsi="Palatino Linotype" w:cs="Times New Roman"/>
          <w:sz w:val="22"/>
          <w:szCs w:val="22"/>
          <w:lang w:val="fr-CA"/>
        </w:rPr>
        <w:footnoteReference w:id="22"/>
      </w:r>
    </w:p>
    <w:p w14:paraId="77BEC13A" w14:textId="77777777" w:rsidR="006E607A" w:rsidRPr="00DF57F5" w:rsidRDefault="006E607A" w:rsidP="00DF57F5">
      <w:pPr>
        <w:jc w:val="both"/>
        <w:rPr>
          <w:rFonts w:ascii="Palatino Linotype" w:hAnsi="Palatino Linotype" w:cs="Times New Roman"/>
          <w:sz w:val="22"/>
          <w:szCs w:val="22"/>
          <w:lang w:val="fr-CA"/>
        </w:rPr>
      </w:pPr>
    </w:p>
    <w:p w14:paraId="4CD63B80" w14:textId="12CBD671" w:rsidR="00A61095" w:rsidRPr="004B782F" w:rsidRDefault="00C711EC" w:rsidP="00DF57F5">
      <w:pPr>
        <w:pStyle w:val="Heading2"/>
        <w:spacing w:before="0"/>
        <w:rPr>
          <w:rFonts w:ascii="Palatino Linotype" w:hAnsi="Palatino Linotype"/>
          <w:b/>
          <w:color w:val="auto"/>
          <w:sz w:val="22"/>
          <w:szCs w:val="22"/>
          <w:lang w:val="fr-CA"/>
        </w:rPr>
      </w:pPr>
      <w:r w:rsidRPr="004B782F">
        <w:rPr>
          <w:rFonts w:ascii="Palatino Linotype" w:hAnsi="Palatino Linotype"/>
          <w:b/>
          <w:color w:val="auto"/>
          <w:sz w:val="22"/>
          <w:szCs w:val="22"/>
          <w:lang w:val="fr-CA"/>
        </w:rPr>
        <w:t>La normativité dan</w:t>
      </w:r>
      <w:r w:rsidR="003E39B4" w:rsidRPr="004B782F">
        <w:rPr>
          <w:rFonts w:ascii="Palatino Linotype" w:hAnsi="Palatino Linotype"/>
          <w:b/>
          <w:color w:val="auto"/>
          <w:sz w:val="22"/>
          <w:szCs w:val="22"/>
          <w:lang w:val="fr-CA"/>
        </w:rPr>
        <w:t>s un monde juridique patriarcal</w:t>
      </w:r>
      <w:r w:rsidRPr="004B782F">
        <w:rPr>
          <w:rFonts w:ascii="Palatino Linotype" w:hAnsi="Palatino Linotype"/>
          <w:b/>
          <w:color w:val="auto"/>
          <w:sz w:val="22"/>
          <w:szCs w:val="22"/>
          <w:lang w:val="fr-CA"/>
        </w:rPr>
        <w:t xml:space="preserve"> et les crimes de violence sexuelle</w:t>
      </w:r>
    </w:p>
    <w:p w14:paraId="1B56CFD6" w14:textId="77777777" w:rsidR="00C711EC" w:rsidRPr="00DF57F5" w:rsidRDefault="00C711EC" w:rsidP="00DF57F5">
      <w:pPr>
        <w:rPr>
          <w:rFonts w:ascii="Palatino Linotype" w:hAnsi="Palatino Linotype" w:cs="Times New Roman"/>
          <w:sz w:val="22"/>
          <w:szCs w:val="22"/>
          <w:lang w:val="fr-CA"/>
        </w:rPr>
      </w:pPr>
    </w:p>
    <w:p w14:paraId="3A770612" w14:textId="044D4F80" w:rsidR="0077162F" w:rsidRPr="00DF57F5" w:rsidRDefault="008852F2" w:rsidP="00DF57F5">
      <w:pPr>
        <w:jc w:val="both"/>
        <w:rPr>
          <w:rFonts w:ascii="Palatino Linotype" w:hAnsi="Palatino Linotype" w:cs="Times New Roman"/>
          <w:sz w:val="22"/>
          <w:szCs w:val="22"/>
          <w:lang w:val="fr-CA"/>
        </w:rPr>
      </w:pPr>
      <w:r w:rsidRPr="00DF57F5">
        <w:rPr>
          <w:rFonts w:ascii="Palatino Linotype" w:hAnsi="Palatino Linotype" w:cs="Times New Roman"/>
          <w:sz w:val="22"/>
          <w:szCs w:val="22"/>
          <w:lang w:val="fr-CA"/>
        </w:rPr>
        <w:t xml:space="preserve"> </w:t>
      </w:r>
      <w:r w:rsidR="00C711EC" w:rsidRPr="00DF57F5">
        <w:rPr>
          <w:rFonts w:ascii="Palatino Linotype" w:hAnsi="Palatino Linotype" w:cs="Times New Roman"/>
          <w:sz w:val="22"/>
          <w:szCs w:val="22"/>
          <w:lang w:val="fr-CA"/>
        </w:rPr>
        <w:t>Plusieurs auteures ont salué la décision de la CPI de poursuivre ces nouveaux crimes</w:t>
      </w:r>
      <w:r w:rsidR="00C711EC" w:rsidRPr="00DF57F5">
        <w:rPr>
          <w:rStyle w:val="FootnoteReference"/>
          <w:rFonts w:ascii="Palatino Linotype" w:hAnsi="Palatino Linotype" w:cs="Times New Roman"/>
          <w:sz w:val="22"/>
          <w:szCs w:val="22"/>
          <w:lang w:val="fr-CA"/>
        </w:rPr>
        <w:footnoteReference w:id="23"/>
      </w:r>
      <w:r w:rsidR="00C711EC" w:rsidRPr="00DF57F5">
        <w:rPr>
          <w:rFonts w:ascii="Palatino Linotype" w:hAnsi="Palatino Linotype" w:cs="Times New Roman"/>
          <w:sz w:val="22"/>
          <w:szCs w:val="22"/>
          <w:lang w:val="fr-CA"/>
        </w:rPr>
        <w:t>.</w:t>
      </w:r>
      <w:r w:rsidR="005F32A9" w:rsidRPr="00DF57F5">
        <w:rPr>
          <w:rFonts w:ascii="Palatino Linotype" w:hAnsi="Palatino Linotype" w:cs="Times New Roman"/>
          <w:sz w:val="22"/>
          <w:szCs w:val="22"/>
          <w:lang w:val="fr-CA"/>
        </w:rPr>
        <w:t xml:space="preserve"> En effe</w:t>
      </w:r>
      <w:r w:rsidR="00C27842" w:rsidRPr="00DF57F5">
        <w:rPr>
          <w:rFonts w:ascii="Palatino Linotype" w:hAnsi="Palatino Linotype" w:cs="Times New Roman"/>
          <w:sz w:val="22"/>
          <w:szCs w:val="22"/>
          <w:lang w:val="fr-CA"/>
        </w:rPr>
        <w:t xml:space="preserve">t, celles-ci considèrent </w:t>
      </w:r>
      <w:r w:rsidR="00362684" w:rsidRPr="00DF57F5">
        <w:rPr>
          <w:rFonts w:ascii="Palatino Linotype" w:hAnsi="Palatino Linotype" w:cs="Times New Roman"/>
          <w:sz w:val="22"/>
          <w:szCs w:val="22"/>
          <w:lang w:val="fr-CA"/>
        </w:rPr>
        <w:t xml:space="preserve">essentiellement </w:t>
      </w:r>
      <w:r w:rsidR="00C27842" w:rsidRPr="00DF57F5">
        <w:rPr>
          <w:rFonts w:ascii="Palatino Linotype" w:hAnsi="Palatino Linotype" w:cs="Times New Roman"/>
          <w:sz w:val="22"/>
          <w:szCs w:val="22"/>
          <w:lang w:val="fr-CA"/>
        </w:rPr>
        <w:t>qu’il aurait été inacceptable que la Cour</w:t>
      </w:r>
      <w:r w:rsidR="00890DC2" w:rsidRPr="00DF57F5">
        <w:rPr>
          <w:rFonts w:ascii="Palatino Linotype" w:hAnsi="Palatino Linotype" w:cs="Times New Roman"/>
          <w:sz w:val="22"/>
          <w:szCs w:val="22"/>
          <w:lang w:val="fr-CA"/>
        </w:rPr>
        <w:t xml:space="preserve"> arrive à la conclusion qu’un enfant soldat participait aux hostilités au moment de subir de la violence sexuelle</w:t>
      </w:r>
      <w:r w:rsidR="00347761" w:rsidRPr="00DF57F5">
        <w:rPr>
          <w:rFonts w:ascii="Palatino Linotype" w:hAnsi="Palatino Linotype" w:cs="Times New Roman"/>
          <w:sz w:val="22"/>
          <w:szCs w:val="22"/>
          <w:lang w:val="fr-CA"/>
        </w:rPr>
        <w:t xml:space="preserve"> et ne pouvait donc être considéré comme une victime.</w:t>
      </w:r>
    </w:p>
    <w:p w14:paraId="5BAECF56" w14:textId="17F3E89B" w:rsidR="0077162F" w:rsidRPr="00DF57F5" w:rsidRDefault="00B32D91" w:rsidP="00DF57F5">
      <w:pPr>
        <w:ind w:firstLine="708"/>
        <w:jc w:val="both"/>
        <w:rPr>
          <w:rFonts w:ascii="Palatino Linotype" w:hAnsi="Palatino Linotype" w:cs="Times New Roman"/>
          <w:sz w:val="22"/>
          <w:szCs w:val="22"/>
          <w:lang w:val="fr-CA"/>
        </w:rPr>
      </w:pPr>
      <w:r w:rsidRPr="00DF57F5">
        <w:rPr>
          <w:rFonts w:ascii="Palatino Linotype" w:hAnsi="Palatino Linotype" w:cs="Times New Roman"/>
          <w:sz w:val="22"/>
          <w:szCs w:val="22"/>
          <w:lang w:val="fr-CA"/>
        </w:rPr>
        <w:t>Pourtant, plusieu</w:t>
      </w:r>
      <w:r w:rsidR="000D377A" w:rsidRPr="00DF57F5">
        <w:rPr>
          <w:rFonts w:ascii="Palatino Linotype" w:hAnsi="Palatino Linotype" w:cs="Times New Roman"/>
          <w:sz w:val="22"/>
          <w:szCs w:val="22"/>
          <w:lang w:val="fr-CA"/>
        </w:rPr>
        <w:t xml:space="preserve">rs féministes ont </w:t>
      </w:r>
      <w:r w:rsidR="000E3B04" w:rsidRPr="00DF57F5">
        <w:rPr>
          <w:rFonts w:ascii="Palatino Linotype" w:hAnsi="Palatino Linotype" w:cs="Times New Roman"/>
          <w:sz w:val="22"/>
          <w:szCs w:val="22"/>
          <w:lang w:val="fr-CA"/>
        </w:rPr>
        <w:t>émis</w:t>
      </w:r>
      <w:r w:rsidR="00513185" w:rsidRPr="00DF57F5">
        <w:rPr>
          <w:rFonts w:ascii="Palatino Linotype" w:hAnsi="Palatino Linotype" w:cs="Times New Roman"/>
          <w:sz w:val="22"/>
          <w:szCs w:val="22"/>
          <w:lang w:val="fr-CA"/>
        </w:rPr>
        <w:t xml:space="preserve"> </w:t>
      </w:r>
      <w:r w:rsidR="000D377A" w:rsidRPr="00DF57F5">
        <w:rPr>
          <w:rFonts w:ascii="Palatino Linotype" w:hAnsi="Palatino Linotype" w:cs="Times New Roman"/>
          <w:sz w:val="22"/>
          <w:szCs w:val="22"/>
          <w:lang w:val="fr-CA"/>
        </w:rPr>
        <w:t>des mises en garde</w:t>
      </w:r>
      <w:r w:rsidR="00347761" w:rsidRPr="00DF57F5">
        <w:rPr>
          <w:rFonts w:ascii="Palatino Linotype" w:hAnsi="Palatino Linotype" w:cs="Times New Roman"/>
          <w:sz w:val="22"/>
          <w:szCs w:val="22"/>
          <w:lang w:val="fr-CA"/>
        </w:rPr>
        <w:t xml:space="preserve"> au moment de</w:t>
      </w:r>
      <w:r w:rsidR="00540256" w:rsidRPr="00DF57F5">
        <w:rPr>
          <w:rFonts w:ascii="Palatino Linotype" w:hAnsi="Palatino Linotype" w:cs="Times New Roman"/>
          <w:sz w:val="22"/>
          <w:szCs w:val="22"/>
          <w:lang w:val="fr-CA"/>
        </w:rPr>
        <w:t xml:space="preserve"> traiter </w:t>
      </w:r>
      <w:r w:rsidR="00347761" w:rsidRPr="00DF57F5">
        <w:rPr>
          <w:rFonts w:ascii="Palatino Linotype" w:hAnsi="Palatino Linotype" w:cs="Times New Roman"/>
          <w:sz w:val="22"/>
          <w:szCs w:val="22"/>
          <w:lang w:val="fr-CA"/>
        </w:rPr>
        <w:t xml:space="preserve">de </w:t>
      </w:r>
      <w:r w:rsidR="00540256" w:rsidRPr="00DF57F5">
        <w:rPr>
          <w:rFonts w:ascii="Palatino Linotype" w:hAnsi="Palatino Linotype" w:cs="Times New Roman"/>
          <w:sz w:val="22"/>
          <w:szCs w:val="22"/>
          <w:lang w:val="fr-CA"/>
        </w:rPr>
        <w:t>la poursuite de crimes sexuels, notamment</w:t>
      </w:r>
      <w:r w:rsidR="00B56637" w:rsidRPr="00DF57F5">
        <w:rPr>
          <w:rFonts w:ascii="Palatino Linotype" w:hAnsi="Palatino Linotype" w:cs="Times New Roman"/>
          <w:sz w:val="22"/>
          <w:szCs w:val="22"/>
          <w:lang w:val="fr-CA"/>
        </w:rPr>
        <w:t xml:space="preserve"> à l’égard </w:t>
      </w:r>
      <w:r w:rsidR="00513185" w:rsidRPr="00DF57F5">
        <w:rPr>
          <w:rFonts w:ascii="Palatino Linotype" w:hAnsi="Palatino Linotype" w:cs="Times New Roman"/>
          <w:sz w:val="22"/>
          <w:szCs w:val="22"/>
          <w:lang w:val="fr-CA"/>
        </w:rPr>
        <w:t>du</w:t>
      </w:r>
      <w:r w:rsidR="00B56637" w:rsidRPr="00DF57F5">
        <w:rPr>
          <w:rFonts w:ascii="Palatino Linotype" w:hAnsi="Palatino Linotype" w:cs="Times New Roman"/>
          <w:sz w:val="22"/>
          <w:szCs w:val="22"/>
          <w:lang w:val="fr-CA"/>
        </w:rPr>
        <w:t xml:space="preserve"> </w:t>
      </w:r>
      <w:r w:rsidR="007763C5" w:rsidRPr="00DF57F5">
        <w:rPr>
          <w:rFonts w:ascii="Palatino Linotype" w:hAnsi="Palatino Linotype" w:cs="Times New Roman"/>
          <w:sz w:val="22"/>
          <w:szCs w:val="22"/>
          <w:lang w:val="fr-CA"/>
        </w:rPr>
        <w:t>danger</w:t>
      </w:r>
      <w:r w:rsidRPr="00DF57F5">
        <w:rPr>
          <w:rFonts w:ascii="Palatino Linotype" w:hAnsi="Palatino Linotype" w:cs="Times New Roman"/>
          <w:sz w:val="22"/>
          <w:szCs w:val="22"/>
          <w:lang w:val="fr-CA"/>
        </w:rPr>
        <w:t xml:space="preserve"> de réifier des stéréotypes basés sur le genre </w:t>
      </w:r>
      <w:r w:rsidR="007763C5" w:rsidRPr="00DF57F5">
        <w:rPr>
          <w:rFonts w:ascii="Palatino Linotype" w:hAnsi="Palatino Linotype" w:cs="Times New Roman"/>
          <w:sz w:val="22"/>
          <w:szCs w:val="22"/>
          <w:lang w:val="fr-CA"/>
        </w:rPr>
        <w:t>et de créer des narratifs de guerre exclusif</w:t>
      </w:r>
      <w:r w:rsidR="00540256" w:rsidRPr="00DF57F5">
        <w:rPr>
          <w:rFonts w:ascii="Palatino Linotype" w:hAnsi="Palatino Linotype" w:cs="Times New Roman"/>
          <w:sz w:val="22"/>
          <w:szCs w:val="22"/>
          <w:lang w:val="fr-CA"/>
        </w:rPr>
        <w:t>s</w:t>
      </w:r>
      <w:r w:rsidR="007763C5" w:rsidRPr="00DF57F5">
        <w:rPr>
          <w:rFonts w:ascii="Palatino Linotype" w:hAnsi="Palatino Linotype" w:cs="Times New Roman"/>
          <w:sz w:val="22"/>
          <w:szCs w:val="22"/>
          <w:lang w:val="fr-CA"/>
        </w:rPr>
        <w:t xml:space="preserve"> de certaines expériences v</w:t>
      </w:r>
      <w:r w:rsidR="0061792C" w:rsidRPr="00DF57F5">
        <w:rPr>
          <w:rFonts w:ascii="Palatino Linotype" w:hAnsi="Palatino Linotype" w:cs="Times New Roman"/>
          <w:sz w:val="22"/>
          <w:szCs w:val="22"/>
          <w:lang w:val="fr-CA"/>
        </w:rPr>
        <w:t>écues par des femmes et filles.</w:t>
      </w:r>
    </w:p>
    <w:p w14:paraId="46E1A20C" w14:textId="0C81F153" w:rsidR="0077162F" w:rsidRPr="00DF57F5" w:rsidRDefault="00DD75D2" w:rsidP="00DF57F5">
      <w:pPr>
        <w:ind w:firstLine="708"/>
        <w:jc w:val="both"/>
        <w:rPr>
          <w:rFonts w:ascii="Palatino Linotype" w:hAnsi="Palatino Linotype" w:cs="Times New Roman"/>
          <w:sz w:val="22"/>
          <w:szCs w:val="22"/>
          <w:lang w:val="fr-CA"/>
        </w:rPr>
      </w:pPr>
      <w:r w:rsidRPr="00DF57F5">
        <w:rPr>
          <w:rFonts w:ascii="Palatino Linotype" w:hAnsi="Palatino Linotype" w:cs="Times New Roman"/>
          <w:sz w:val="22"/>
          <w:szCs w:val="22"/>
          <w:lang w:val="fr-CA"/>
        </w:rPr>
        <w:t>Tel que l’a démontré Doris Buss dans son analyse de la jurispruden</w:t>
      </w:r>
      <w:r w:rsidR="00237A50" w:rsidRPr="00DF57F5">
        <w:rPr>
          <w:rFonts w:ascii="Palatino Linotype" w:hAnsi="Palatino Linotype" w:cs="Times New Roman"/>
          <w:sz w:val="22"/>
          <w:szCs w:val="22"/>
          <w:lang w:val="fr-CA"/>
        </w:rPr>
        <w:t>ce du Tribunal pénal international pour le Rwanda (TPIR) encadrant le crime de viol</w:t>
      </w:r>
      <w:r w:rsidRPr="00DF57F5">
        <w:rPr>
          <w:rFonts w:ascii="Palatino Linotype" w:hAnsi="Palatino Linotype" w:cs="Times New Roman"/>
          <w:sz w:val="22"/>
          <w:szCs w:val="22"/>
          <w:lang w:val="fr-CA"/>
        </w:rPr>
        <w:t xml:space="preserve">, </w:t>
      </w:r>
      <w:r w:rsidR="00347761" w:rsidRPr="00DF57F5">
        <w:rPr>
          <w:rFonts w:ascii="Palatino Linotype" w:hAnsi="Palatino Linotype" w:cs="Times New Roman"/>
          <w:sz w:val="22"/>
          <w:szCs w:val="22"/>
          <w:lang w:val="fr-CA"/>
        </w:rPr>
        <w:t xml:space="preserve">elle affirme que </w:t>
      </w:r>
      <w:r w:rsidR="00812DC9" w:rsidRPr="00DF57F5">
        <w:rPr>
          <w:rFonts w:ascii="Palatino Linotype" w:hAnsi="Palatino Linotype" w:cs="Times New Roman"/>
          <w:sz w:val="22"/>
          <w:szCs w:val="22"/>
          <w:lang w:val="fr-CA"/>
        </w:rPr>
        <w:t xml:space="preserve">la reconnaissance du ‘viol comme arme de guerre’ </w:t>
      </w:r>
      <w:r w:rsidR="00A45C95" w:rsidRPr="00DF57F5">
        <w:rPr>
          <w:rFonts w:ascii="Palatino Linotype" w:hAnsi="Palatino Linotype" w:cs="Times New Roman"/>
          <w:sz w:val="22"/>
          <w:szCs w:val="22"/>
          <w:lang w:val="fr-CA"/>
        </w:rPr>
        <w:t xml:space="preserve">a forgé une </w:t>
      </w:r>
      <w:r w:rsidRPr="00DF57F5">
        <w:rPr>
          <w:rFonts w:ascii="Palatino Linotype" w:hAnsi="Palatino Linotype" w:cs="Times New Roman"/>
          <w:sz w:val="22"/>
          <w:szCs w:val="22"/>
          <w:lang w:val="fr-CA"/>
        </w:rPr>
        <w:t xml:space="preserve">trame narrative </w:t>
      </w:r>
      <w:r w:rsidR="0065036C" w:rsidRPr="00DF57F5">
        <w:rPr>
          <w:rFonts w:ascii="Palatino Linotype" w:hAnsi="Palatino Linotype" w:cs="Times New Roman"/>
          <w:sz w:val="22"/>
          <w:szCs w:val="22"/>
          <w:lang w:val="fr-CA"/>
        </w:rPr>
        <w:t xml:space="preserve">forte soulignant le viol massif de femmes </w:t>
      </w:r>
      <w:r w:rsidR="004D7296" w:rsidRPr="00DF57F5">
        <w:rPr>
          <w:rFonts w:ascii="Palatino Linotype" w:hAnsi="Palatino Linotype" w:cs="Times New Roman"/>
          <w:sz w:val="22"/>
          <w:szCs w:val="22"/>
          <w:lang w:val="fr-CA"/>
        </w:rPr>
        <w:t>t</w:t>
      </w:r>
      <w:r w:rsidR="00FB5E11" w:rsidRPr="00DF57F5">
        <w:rPr>
          <w:rFonts w:ascii="Palatino Linotype" w:hAnsi="Palatino Linotype" w:cs="Times New Roman"/>
          <w:sz w:val="22"/>
          <w:szCs w:val="22"/>
          <w:lang w:val="fr-CA"/>
        </w:rPr>
        <w:t>utsi</w:t>
      </w:r>
      <w:r w:rsidR="002621CC" w:rsidRPr="00DF57F5">
        <w:rPr>
          <w:rFonts w:ascii="Palatino Linotype" w:hAnsi="Palatino Linotype" w:cs="Times New Roman"/>
          <w:sz w:val="22"/>
          <w:szCs w:val="22"/>
          <w:lang w:val="fr-CA"/>
        </w:rPr>
        <w:t>es</w:t>
      </w:r>
      <w:r w:rsidR="0065036C" w:rsidRPr="00DF57F5">
        <w:rPr>
          <w:rFonts w:ascii="Palatino Linotype" w:hAnsi="Palatino Linotype" w:cs="Times New Roman"/>
          <w:sz w:val="22"/>
          <w:szCs w:val="22"/>
          <w:lang w:val="fr-CA"/>
        </w:rPr>
        <w:t xml:space="preserve"> par des hommes </w:t>
      </w:r>
      <w:r w:rsidR="004D7296" w:rsidRPr="00DF57F5">
        <w:rPr>
          <w:rFonts w:ascii="Palatino Linotype" w:hAnsi="Palatino Linotype" w:cs="Times New Roman"/>
          <w:sz w:val="22"/>
          <w:szCs w:val="22"/>
          <w:lang w:val="fr-CA"/>
        </w:rPr>
        <w:t>h</w:t>
      </w:r>
      <w:r w:rsidR="0065036C" w:rsidRPr="00DF57F5">
        <w:rPr>
          <w:rFonts w:ascii="Palatino Linotype" w:hAnsi="Palatino Linotype" w:cs="Times New Roman"/>
          <w:sz w:val="22"/>
          <w:szCs w:val="22"/>
          <w:lang w:val="fr-CA"/>
        </w:rPr>
        <w:t>utus. Cela dit, l’auteure souligne que malgré la visibilité accordée à la violence sexuelle, certains narratif</w:t>
      </w:r>
      <w:r w:rsidR="00540256" w:rsidRPr="00DF57F5">
        <w:rPr>
          <w:rFonts w:ascii="Palatino Linotype" w:hAnsi="Palatino Linotype" w:cs="Times New Roman"/>
          <w:sz w:val="22"/>
          <w:szCs w:val="22"/>
          <w:lang w:val="fr-CA"/>
        </w:rPr>
        <w:t>s</w:t>
      </w:r>
      <w:r w:rsidR="0065036C" w:rsidRPr="00DF57F5">
        <w:rPr>
          <w:rFonts w:ascii="Palatino Linotype" w:hAnsi="Palatino Linotype" w:cs="Times New Roman"/>
          <w:sz w:val="22"/>
          <w:szCs w:val="22"/>
          <w:lang w:val="fr-CA"/>
        </w:rPr>
        <w:t xml:space="preserve">, </w:t>
      </w:r>
      <w:r w:rsidR="0065036C" w:rsidRPr="00DF57F5">
        <w:rPr>
          <w:rFonts w:ascii="Palatino Linotype" w:hAnsi="Palatino Linotype" w:cs="Times New Roman"/>
          <w:sz w:val="22"/>
          <w:szCs w:val="22"/>
          <w:lang w:val="fr-CA"/>
        </w:rPr>
        <w:lastRenderedPageBreak/>
        <w:t xml:space="preserve">spécialement à l’égard des femmes </w:t>
      </w:r>
      <w:r w:rsidR="004D7296" w:rsidRPr="00DF57F5">
        <w:rPr>
          <w:rFonts w:ascii="Palatino Linotype" w:hAnsi="Palatino Linotype" w:cs="Times New Roman"/>
          <w:sz w:val="22"/>
          <w:szCs w:val="22"/>
          <w:lang w:val="fr-CA"/>
        </w:rPr>
        <w:t>hutue</w:t>
      </w:r>
      <w:r w:rsidR="0065036C" w:rsidRPr="00DF57F5">
        <w:rPr>
          <w:rFonts w:ascii="Palatino Linotype" w:hAnsi="Palatino Linotype" w:cs="Times New Roman"/>
          <w:sz w:val="22"/>
          <w:szCs w:val="22"/>
          <w:lang w:val="fr-CA"/>
        </w:rPr>
        <w:t>s ayant vécu aussi de la violence</w:t>
      </w:r>
      <w:r w:rsidR="00540256" w:rsidRPr="00DF57F5">
        <w:rPr>
          <w:rFonts w:ascii="Palatino Linotype" w:hAnsi="Palatino Linotype" w:cs="Times New Roman"/>
          <w:sz w:val="22"/>
          <w:szCs w:val="22"/>
          <w:lang w:val="fr-CA"/>
        </w:rPr>
        <w:t>,</w:t>
      </w:r>
      <w:r w:rsidR="0065036C" w:rsidRPr="00DF57F5">
        <w:rPr>
          <w:rFonts w:ascii="Palatino Linotype" w:hAnsi="Palatino Linotype" w:cs="Times New Roman"/>
          <w:sz w:val="22"/>
          <w:szCs w:val="22"/>
          <w:lang w:val="fr-CA"/>
        </w:rPr>
        <w:t xml:space="preserve"> ont été exclu</w:t>
      </w:r>
      <w:r w:rsidR="00C11F51" w:rsidRPr="00DF57F5">
        <w:rPr>
          <w:rFonts w:ascii="Palatino Linotype" w:hAnsi="Palatino Linotype" w:cs="Times New Roman"/>
          <w:sz w:val="22"/>
          <w:szCs w:val="22"/>
          <w:lang w:val="fr-CA"/>
        </w:rPr>
        <w:t>s</w:t>
      </w:r>
      <w:r w:rsidR="0065036C" w:rsidRPr="00DF57F5">
        <w:rPr>
          <w:rFonts w:ascii="Palatino Linotype" w:hAnsi="Palatino Linotype" w:cs="Times New Roman"/>
          <w:sz w:val="22"/>
          <w:szCs w:val="22"/>
          <w:lang w:val="fr-CA"/>
        </w:rPr>
        <w:t xml:space="preserve"> du narratif dominant</w:t>
      </w:r>
      <w:r w:rsidRPr="00DF57F5">
        <w:rPr>
          <w:rStyle w:val="FootnoteReference"/>
          <w:rFonts w:ascii="Palatino Linotype" w:hAnsi="Palatino Linotype" w:cs="Times New Roman"/>
          <w:sz w:val="22"/>
          <w:szCs w:val="22"/>
          <w:lang w:val="fr-CA"/>
        </w:rPr>
        <w:footnoteReference w:id="24"/>
      </w:r>
      <w:r w:rsidRPr="00DF57F5">
        <w:rPr>
          <w:rFonts w:ascii="Palatino Linotype" w:hAnsi="Palatino Linotype" w:cs="Times New Roman"/>
          <w:sz w:val="22"/>
          <w:szCs w:val="22"/>
          <w:lang w:val="fr-CA"/>
        </w:rPr>
        <w:t xml:space="preserve">. Concrètement, la trame narrative concernant les femmes </w:t>
      </w:r>
      <w:r w:rsidR="004D7296" w:rsidRPr="00DF57F5">
        <w:rPr>
          <w:rFonts w:ascii="Palatino Linotype" w:hAnsi="Palatino Linotype" w:cs="Times New Roman"/>
          <w:sz w:val="22"/>
          <w:szCs w:val="22"/>
          <w:lang w:val="fr-CA"/>
        </w:rPr>
        <w:t>t</w:t>
      </w:r>
      <w:r w:rsidRPr="00DF57F5">
        <w:rPr>
          <w:rFonts w:ascii="Palatino Linotype" w:hAnsi="Palatino Linotype" w:cs="Times New Roman"/>
          <w:sz w:val="22"/>
          <w:szCs w:val="22"/>
          <w:lang w:val="fr-CA"/>
        </w:rPr>
        <w:t>utsi</w:t>
      </w:r>
      <w:r w:rsidR="002707A9" w:rsidRPr="00DF57F5">
        <w:rPr>
          <w:rFonts w:ascii="Palatino Linotype" w:hAnsi="Palatino Linotype" w:cs="Times New Roman"/>
          <w:sz w:val="22"/>
          <w:szCs w:val="22"/>
          <w:lang w:val="fr-CA"/>
        </w:rPr>
        <w:t xml:space="preserve">es </w:t>
      </w:r>
      <w:r w:rsidRPr="00DF57F5">
        <w:rPr>
          <w:rFonts w:ascii="Palatino Linotype" w:hAnsi="Palatino Linotype" w:cs="Times New Roman"/>
          <w:sz w:val="22"/>
          <w:szCs w:val="22"/>
          <w:lang w:val="fr-CA"/>
        </w:rPr>
        <w:t xml:space="preserve">victimes de viol par des hommes </w:t>
      </w:r>
      <w:r w:rsidR="004D7296" w:rsidRPr="00DF57F5">
        <w:rPr>
          <w:rFonts w:ascii="Palatino Linotype" w:hAnsi="Palatino Linotype" w:cs="Times New Roman"/>
          <w:sz w:val="22"/>
          <w:szCs w:val="22"/>
          <w:lang w:val="fr-CA"/>
        </w:rPr>
        <w:t>hutus</w:t>
      </w:r>
      <w:r w:rsidRPr="00DF57F5">
        <w:rPr>
          <w:rFonts w:ascii="Palatino Linotype" w:hAnsi="Palatino Linotype" w:cs="Times New Roman"/>
          <w:sz w:val="22"/>
          <w:szCs w:val="22"/>
          <w:lang w:val="fr-CA"/>
        </w:rPr>
        <w:t xml:space="preserve"> a eu pour impact de marginaliser le récit de femmes </w:t>
      </w:r>
      <w:r w:rsidR="004D7296" w:rsidRPr="00DF57F5">
        <w:rPr>
          <w:rFonts w:ascii="Palatino Linotype" w:hAnsi="Palatino Linotype" w:cs="Times New Roman"/>
          <w:sz w:val="22"/>
          <w:szCs w:val="22"/>
          <w:lang w:val="fr-CA"/>
        </w:rPr>
        <w:t>hutue</w:t>
      </w:r>
      <w:r w:rsidRPr="00DF57F5">
        <w:rPr>
          <w:rFonts w:ascii="Palatino Linotype" w:hAnsi="Palatino Linotype" w:cs="Times New Roman"/>
          <w:sz w:val="22"/>
          <w:szCs w:val="22"/>
          <w:lang w:val="fr-CA"/>
        </w:rPr>
        <w:t>s ayant également été violé</w:t>
      </w:r>
      <w:r w:rsidR="00222620" w:rsidRPr="00DF57F5">
        <w:rPr>
          <w:rFonts w:ascii="Palatino Linotype" w:hAnsi="Palatino Linotype" w:cs="Times New Roman"/>
          <w:sz w:val="22"/>
          <w:szCs w:val="22"/>
          <w:lang w:val="fr-CA"/>
        </w:rPr>
        <w:t>es</w:t>
      </w:r>
      <w:r w:rsidRPr="00DF57F5">
        <w:rPr>
          <w:rFonts w:ascii="Palatino Linotype" w:hAnsi="Palatino Linotype" w:cs="Times New Roman"/>
          <w:sz w:val="22"/>
          <w:szCs w:val="22"/>
          <w:lang w:val="fr-CA"/>
        </w:rPr>
        <w:t>. En l’espèce, il est possible de faire une analogie quant au risque</w:t>
      </w:r>
      <w:r w:rsidR="0065036C" w:rsidRPr="00DF57F5">
        <w:rPr>
          <w:rFonts w:ascii="Palatino Linotype" w:hAnsi="Palatino Linotype" w:cs="Times New Roman"/>
          <w:sz w:val="22"/>
          <w:szCs w:val="22"/>
          <w:lang w:val="fr-CA"/>
        </w:rPr>
        <w:t xml:space="preserve"> de marginalisation</w:t>
      </w:r>
      <w:r w:rsidRPr="00DF57F5">
        <w:rPr>
          <w:rFonts w:ascii="Palatino Linotype" w:hAnsi="Palatino Linotype" w:cs="Times New Roman"/>
          <w:sz w:val="22"/>
          <w:szCs w:val="22"/>
          <w:lang w:val="fr-CA"/>
        </w:rPr>
        <w:t xml:space="preserve"> </w:t>
      </w:r>
      <w:r w:rsidR="0065036C" w:rsidRPr="00DF57F5">
        <w:rPr>
          <w:rFonts w:ascii="Palatino Linotype" w:hAnsi="Palatino Linotype" w:cs="Times New Roman"/>
          <w:sz w:val="22"/>
          <w:szCs w:val="22"/>
          <w:lang w:val="fr-CA"/>
        </w:rPr>
        <w:t>de certains</w:t>
      </w:r>
      <w:r w:rsidRPr="00DF57F5">
        <w:rPr>
          <w:rFonts w:ascii="Palatino Linotype" w:hAnsi="Palatino Linotype" w:cs="Times New Roman"/>
          <w:sz w:val="22"/>
          <w:szCs w:val="22"/>
          <w:lang w:val="fr-CA"/>
        </w:rPr>
        <w:t xml:space="preserve"> récit</w:t>
      </w:r>
      <w:r w:rsidR="0098316A" w:rsidRPr="00DF57F5">
        <w:rPr>
          <w:rFonts w:ascii="Palatino Linotype" w:hAnsi="Palatino Linotype" w:cs="Times New Roman"/>
          <w:sz w:val="22"/>
          <w:szCs w:val="22"/>
          <w:lang w:val="fr-CA"/>
        </w:rPr>
        <w:t>s</w:t>
      </w:r>
      <w:r w:rsidR="0065036C" w:rsidRPr="00DF57F5">
        <w:rPr>
          <w:rFonts w:ascii="Palatino Linotype" w:hAnsi="Palatino Linotype" w:cs="Times New Roman"/>
          <w:sz w:val="22"/>
          <w:szCs w:val="22"/>
          <w:lang w:val="fr-CA"/>
        </w:rPr>
        <w:t>, notamment celui</w:t>
      </w:r>
      <w:r w:rsidRPr="00DF57F5">
        <w:rPr>
          <w:rFonts w:ascii="Palatino Linotype" w:hAnsi="Palatino Linotype" w:cs="Times New Roman"/>
          <w:sz w:val="22"/>
          <w:szCs w:val="22"/>
          <w:lang w:val="fr-CA"/>
        </w:rPr>
        <w:t xml:space="preserve"> d’anciennes enfants soldats ayant également vécu</w:t>
      </w:r>
      <w:r w:rsidR="0098316A" w:rsidRPr="00DF57F5">
        <w:rPr>
          <w:rFonts w:ascii="Palatino Linotype" w:hAnsi="Palatino Linotype" w:cs="Times New Roman"/>
          <w:sz w:val="22"/>
          <w:szCs w:val="22"/>
          <w:lang w:val="fr-CA"/>
        </w:rPr>
        <w:t>es de la violence sexuelle</w:t>
      </w:r>
      <w:r w:rsidRPr="00DF57F5">
        <w:rPr>
          <w:rFonts w:ascii="Palatino Linotype" w:hAnsi="Palatino Linotype" w:cs="Times New Roman"/>
          <w:sz w:val="22"/>
          <w:szCs w:val="22"/>
          <w:lang w:val="fr-CA"/>
        </w:rPr>
        <w:t xml:space="preserve"> âgée</w:t>
      </w:r>
      <w:r w:rsidR="007513B1" w:rsidRPr="00DF57F5">
        <w:rPr>
          <w:rFonts w:ascii="Palatino Linotype" w:hAnsi="Palatino Linotype" w:cs="Times New Roman"/>
          <w:sz w:val="22"/>
          <w:szCs w:val="22"/>
          <w:lang w:val="fr-CA"/>
        </w:rPr>
        <w:t xml:space="preserve">s </w:t>
      </w:r>
      <w:r w:rsidRPr="00DF57F5">
        <w:rPr>
          <w:rFonts w:ascii="Palatino Linotype" w:hAnsi="Palatino Linotype" w:cs="Times New Roman"/>
          <w:sz w:val="22"/>
          <w:szCs w:val="22"/>
          <w:lang w:val="fr-CA"/>
        </w:rPr>
        <w:t>de 15 ans et plus à l’</w:t>
      </w:r>
      <w:r w:rsidR="0065036C" w:rsidRPr="00DF57F5">
        <w:rPr>
          <w:rFonts w:ascii="Palatino Linotype" w:hAnsi="Palatino Linotype" w:cs="Times New Roman"/>
          <w:sz w:val="22"/>
          <w:szCs w:val="22"/>
          <w:lang w:val="fr-CA"/>
        </w:rPr>
        <w:t xml:space="preserve">époque des faits, puisqu’elles ne </w:t>
      </w:r>
      <w:r w:rsidR="00C80420" w:rsidRPr="00DF57F5">
        <w:rPr>
          <w:rFonts w:ascii="Palatino Linotype" w:hAnsi="Palatino Linotype" w:cs="Times New Roman"/>
          <w:sz w:val="22"/>
          <w:szCs w:val="22"/>
          <w:lang w:val="fr-CA"/>
        </w:rPr>
        <w:t>rencontreraien</w:t>
      </w:r>
      <w:r w:rsidR="0098316A" w:rsidRPr="00DF57F5">
        <w:rPr>
          <w:rFonts w:ascii="Palatino Linotype" w:hAnsi="Palatino Linotype" w:cs="Times New Roman"/>
          <w:sz w:val="22"/>
          <w:szCs w:val="22"/>
          <w:lang w:val="fr-CA"/>
        </w:rPr>
        <w:t>t pas les</w:t>
      </w:r>
      <w:r w:rsidR="0065036C" w:rsidRPr="00DF57F5">
        <w:rPr>
          <w:rFonts w:ascii="Palatino Linotype" w:hAnsi="Palatino Linotype" w:cs="Times New Roman"/>
          <w:sz w:val="22"/>
          <w:szCs w:val="22"/>
          <w:lang w:val="fr-CA"/>
        </w:rPr>
        <w:t xml:space="preserve"> éléments</w:t>
      </w:r>
      <w:r w:rsidR="0098316A" w:rsidRPr="00DF57F5">
        <w:rPr>
          <w:rFonts w:ascii="Palatino Linotype" w:hAnsi="Palatino Linotype" w:cs="Times New Roman"/>
          <w:sz w:val="22"/>
          <w:szCs w:val="22"/>
          <w:lang w:val="fr-CA"/>
        </w:rPr>
        <w:t xml:space="preserve"> constitutifs</w:t>
      </w:r>
      <w:r w:rsidR="0065036C" w:rsidRPr="00DF57F5">
        <w:rPr>
          <w:rFonts w:ascii="Palatino Linotype" w:hAnsi="Palatino Linotype" w:cs="Times New Roman"/>
          <w:sz w:val="22"/>
          <w:szCs w:val="22"/>
          <w:lang w:val="fr-CA"/>
        </w:rPr>
        <w:t xml:space="preserve"> des nouveaux crimes.</w:t>
      </w:r>
    </w:p>
    <w:p w14:paraId="5F9A776F" w14:textId="411B101E" w:rsidR="00DD75D2" w:rsidRPr="00DF57F5" w:rsidRDefault="00DD75D2" w:rsidP="00DF57F5">
      <w:pPr>
        <w:ind w:firstLine="708"/>
        <w:jc w:val="both"/>
        <w:rPr>
          <w:rFonts w:ascii="Palatino Linotype" w:hAnsi="Palatino Linotype" w:cs="Times New Roman"/>
          <w:sz w:val="22"/>
          <w:szCs w:val="22"/>
          <w:lang w:val="fr-CA"/>
        </w:rPr>
      </w:pPr>
      <w:r w:rsidRPr="00DF57F5">
        <w:rPr>
          <w:rFonts w:ascii="Palatino Linotype" w:hAnsi="Palatino Linotype" w:cs="Times New Roman"/>
          <w:sz w:val="22"/>
          <w:szCs w:val="22"/>
          <w:lang w:val="fr-CA"/>
        </w:rPr>
        <w:t xml:space="preserve">De surcroit, </w:t>
      </w:r>
      <w:r w:rsidR="0004119F" w:rsidRPr="00DF57F5">
        <w:rPr>
          <w:rFonts w:ascii="Palatino Linotype" w:hAnsi="Palatino Linotype" w:cs="Times New Roman"/>
          <w:sz w:val="22"/>
          <w:szCs w:val="22"/>
          <w:lang w:val="fr-CA"/>
        </w:rPr>
        <w:t>Karen</w:t>
      </w:r>
      <w:r w:rsidR="00270E44" w:rsidRPr="00DF57F5">
        <w:rPr>
          <w:rFonts w:ascii="Palatino Linotype" w:hAnsi="Palatino Linotype" w:cs="Times New Roman"/>
          <w:sz w:val="22"/>
          <w:szCs w:val="22"/>
          <w:lang w:val="fr-CA"/>
        </w:rPr>
        <w:t xml:space="preserve"> Engle a analysé le travail</w:t>
      </w:r>
      <w:r w:rsidR="0004119F" w:rsidRPr="00DF57F5">
        <w:rPr>
          <w:rFonts w:ascii="Palatino Linotype" w:hAnsi="Palatino Linotype" w:cs="Times New Roman"/>
          <w:sz w:val="22"/>
          <w:szCs w:val="22"/>
          <w:lang w:val="fr-CA"/>
        </w:rPr>
        <w:t xml:space="preserve"> du Tribunal pénal pour l’ex-Yougoslavie</w:t>
      </w:r>
      <w:r w:rsidR="00270E44" w:rsidRPr="00DF57F5">
        <w:rPr>
          <w:rFonts w:ascii="Palatino Linotype" w:hAnsi="Palatino Linotype" w:cs="Times New Roman"/>
          <w:sz w:val="22"/>
          <w:szCs w:val="22"/>
          <w:lang w:val="fr-CA"/>
        </w:rPr>
        <w:t xml:space="preserve"> (TPIY)</w:t>
      </w:r>
      <w:r w:rsidR="0004119F" w:rsidRPr="00DF57F5">
        <w:rPr>
          <w:rFonts w:ascii="Palatino Linotype" w:hAnsi="Palatino Linotype" w:cs="Times New Roman"/>
          <w:sz w:val="22"/>
          <w:szCs w:val="22"/>
          <w:lang w:val="fr-CA"/>
        </w:rPr>
        <w:t xml:space="preserve"> et a conclu que</w:t>
      </w:r>
      <w:r w:rsidR="00270E44" w:rsidRPr="00DF57F5">
        <w:rPr>
          <w:rFonts w:ascii="Palatino Linotype" w:hAnsi="Palatino Linotype" w:cs="Times New Roman"/>
          <w:sz w:val="22"/>
          <w:szCs w:val="22"/>
          <w:lang w:val="fr-CA"/>
        </w:rPr>
        <w:t xml:space="preserve"> le tribunal avait porté atteinte à l’agentivité des femmes survivantes en leur octroyant uniquement une place en tant que victime</w:t>
      </w:r>
      <w:r w:rsidR="00540256" w:rsidRPr="00DF57F5">
        <w:rPr>
          <w:rFonts w:ascii="Palatino Linotype" w:hAnsi="Palatino Linotype" w:cs="Times New Roman"/>
          <w:sz w:val="22"/>
          <w:szCs w:val="22"/>
          <w:lang w:val="fr-CA"/>
        </w:rPr>
        <w:t>s</w:t>
      </w:r>
      <w:r w:rsidR="00270E44" w:rsidRPr="00DF57F5">
        <w:rPr>
          <w:rFonts w:ascii="Palatino Linotype" w:hAnsi="Palatino Linotype" w:cs="Times New Roman"/>
          <w:sz w:val="22"/>
          <w:szCs w:val="22"/>
          <w:lang w:val="fr-CA"/>
        </w:rPr>
        <w:t>, loin de considérations politiques et militaires</w:t>
      </w:r>
      <w:r w:rsidR="00270E44" w:rsidRPr="00DF57F5">
        <w:rPr>
          <w:rStyle w:val="FootnoteReference"/>
          <w:rFonts w:ascii="Palatino Linotype" w:hAnsi="Palatino Linotype" w:cs="Times New Roman"/>
          <w:sz w:val="22"/>
          <w:szCs w:val="22"/>
          <w:lang w:val="fr-CA"/>
        </w:rPr>
        <w:footnoteReference w:id="25"/>
      </w:r>
      <w:r w:rsidR="00270E44" w:rsidRPr="00DF57F5">
        <w:rPr>
          <w:rFonts w:ascii="Palatino Linotype" w:hAnsi="Palatino Linotype" w:cs="Times New Roman"/>
          <w:sz w:val="22"/>
          <w:szCs w:val="22"/>
          <w:lang w:val="fr-CA"/>
        </w:rPr>
        <w:t>.</w:t>
      </w:r>
      <w:r w:rsidR="0004119F" w:rsidRPr="00DF57F5">
        <w:rPr>
          <w:rFonts w:ascii="Palatino Linotype" w:hAnsi="Palatino Linotype" w:cs="Times New Roman"/>
          <w:sz w:val="22"/>
          <w:szCs w:val="22"/>
          <w:lang w:val="fr-CA"/>
        </w:rPr>
        <w:t xml:space="preserve"> </w:t>
      </w:r>
      <w:r w:rsidR="00270E44" w:rsidRPr="00DF57F5">
        <w:rPr>
          <w:rFonts w:ascii="Palatino Linotype" w:hAnsi="Palatino Linotype" w:cs="Times New Roman"/>
          <w:sz w:val="22"/>
          <w:szCs w:val="22"/>
          <w:lang w:val="fr-CA"/>
        </w:rPr>
        <w:t>En effet, les femmes ayant pris les armes pour des raisons politiques ou pour des motifs de vengeance ont été dépeintes comme victime</w:t>
      </w:r>
      <w:r w:rsidR="00540256" w:rsidRPr="00DF57F5">
        <w:rPr>
          <w:rFonts w:ascii="Palatino Linotype" w:hAnsi="Palatino Linotype" w:cs="Times New Roman"/>
          <w:sz w:val="22"/>
          <w:szCs w:val="22"/>
          <w:lang w:val="fr-CA"/>
        </w:rPr>
        <w:t>s</w:t>
      </w:r>
      <w:r w:rsidR="00270E44" w:rsidRPr="00DF57F5">
        <w:rPr>
          <w:rFonts w:ascii="Palatino Linotype" w:hAnsi="Palatino Linotype" w:cs="Times New Roman"/>
          <w:sz w:val="22"/>
          <w:szCs w:val="22"/>
          <w:lang w:val="fr-CA"/>
        </w:rPr>
        <w:t xml:space="preserve"> de viol</w:t>
      </w:r>
      <w:r w:rsidR="00337689" w:rsidRPr="00DF57F5">
        <w:rPr>
          <w:rFonts w:ascii="Palatino Linotype" w:hAnsi="Palatino Linotype" w:cs="Times New Roman"/>
          <w:sz w:val="22"/>
          <w:szCs w:val="22"/>
          <w:lang w:val="fr-CA"/>
        </w:rPr>
        <w:t xml:space="preserve"> uniquement</w:t>
      </w:r>
      <w:r w:rsidR="00270E44" w:rsidRPr="00DF57F5">
        <w:rPr>
          <w:rFonts w:ascii="Palatino Linotype" w:hAnsi="Palatino Linotype" w:cs="Times New Roman"/>
          <w:sz w:val="22"/>
          <w:szCs w:val="22"/>
          <w:lang w:val="fr-CA"/>
        </w:rPr>
        <w:t>, mais jamais comme agente</w:t>
      </w:r>
      <w:r w:rsidR="00540256" w:rsidRPr="00DF57F5">
        <w:rPr>
          <w:rFonts w:ascii="Palatino Linotype" w:hAnsi="Palatino Linotype" w:cs="Times New Roman"/>
          <w:sz w:val="22"/>
          <w:szCs w:val="22"/>
          <w:lang w:val="fr-CA"/>
        </w:rPr>
        <w:t>s</w:t>
      </w:r>
      <w:r w:rsidR="00270E44" w:rsidRPr="00DF57F5">
        <w:rPr>
          <w:rFonts w:ascii="Palatino Linotype" w:hAnsi="Palatino Linotype" w:cs="Times New Roman"/>
          <w:sz w:val="22"/>
          <w:szCs w:val="22"/>
          <w:lang w:val="fr-CA"/>
        </w:rPr>
        <w:t xml:space="preserve"> politique</w:t>
      </w:r>
      <w:r w:rsidR="00540256" w:rsidRPr="00DF57F5">
        <w:rPr>
          <w:rFonts w:ascii="Palatino Linotype" w:hAnsi="Palatino Linotype" w:cs="Times New Roman"/>
          <w:sz w:val="22"/>
          <w:szCs w:val="22"/>
          <w:lang w:val="fr-CA"/>
        </w:rPr>
        <w:t>s</w:t>
      </w:r>
      <w:r w:rsidR="00270E44" w:rsidRPr="00DF57F5">
        <w:rPr>
          <w:rFonts w:ascii="Palatino Linotype" w:hAnsi="Palatino Linotype" w:cs="Times New Roman"/>
          <w:sz w:val="22"/>
          <w:szCs w:val="22"/>
          <w:lang w:val="fr-CA"/>
        </w:rPr>
        <w:t xml:space="preserve"> ou combattante</w:t>
      </w:r>
      <w:r w:rsidR="00540256" w:rsidRPr="00DF57F5">
        <w:rPr>
          <w:rFonts w:ascii="Palatino Linotype" w:hAnsi="Palatino Linotype" w:cs="Times New Roman"/>
          <w:sz w:val="22"/>
          <w:szCs w:val="22"/>
          <w:lang w:val="fr-CA"/>
        </w:rPr>
        <w:t>s</w:t>
      </w:r>
      <w:r w:rsidR="00270E44" w:rsidRPr="00DF57F5">
        <w:rPr>
          <w:rFonts w:ascii="Palatino Linotype" w:hAnsi="Palatino Linotype" w:cs="Times New Roman"/>
          <w:sz w:val="22"/>
          <w:szCs w:val="22"/>
          <w:lang w:val="fr-CA"/>
        </w:rPr>
        <w:t xml:space="preserve">. </w:t>
      </w:r>
      <w:r w:rsidR="003518CC" w:rsidRPr="00DF57F5">
        <w:rPr>
          <w:rFonts w:ascii="Palatino Linotype" w:hAnsi="Palatino Linotype" w:cs="Times New Roman"/>
          <w:sz w:val="22"/>
          <w:szCs w:val="22"/>
          <w:lang w:val="fr-CA"/>
        </w:rPr>
        <w:t xml:space="preserve">Cela a pour effet de retirer l’agentivité de ces femmes et filles, et d’ainsi reproduire des stéréotypes ancrés dans la vulnérabilité et la fragilité de la femme. </w:t>
      </w:r>
      <w:r w:rsidR="00337689" w:rsidRPr="00DF57F5">
        <w:rPr>
          <w:rFonts w:ascii="Palatino Linotype" w:hAnsi="Palatino Linotype" w:cs="Times New Roman"/>
          <w:sz w:val="22"/>
          <w:szCs w:val="22"/>
          <w:lang w:val="fr-CA"/>
        </w:rPr>
        <w:t>En l’espèce, l</w:t>
      </w:r>
      <w:r w:rsidR="00270E44" w:rsidRPr="00DF57F5">
        <w:rPr>
          <w:rFonts w:ascii="Palatino Linotype" w:hAnsi="Palatino Linotype" w:cs="Times New Roman"/>
          <w:sz w:val="22"/>
          <w:szCs w:val="22"/>
          <w:lang w:val="fr-CA"/>
        </w:rPr>
        <w:t>es crimes de violence sexuelle contre les</w:t>
      </w:r>
      <w:r w:rsidR="00337689" w:rsidRPr="00DF57F5">
        <w:rPr>
          <w:rFonts w:ascii="Palatino Linotype" w:hAnsi="Palatino Linotype" w:cs="Times New Roman"/>
          <w:sz w:val="22"/>
          <w:szCs w:val="22"/>
          <w:lang w:val="fr-CA"/>
        </w:rPr>
        <w:t xml:space="preserve"> enfants soldats ont également l</w:t>
      </w:r>
      <w:r w:rsidR="00270E44" w:rsidRPr="00DF57F5">
        <w:rPr>
          <w:rFonts w:ascii="Palatino Linotype" w:hAnsi="Palatino Linotype" w:cs="Times New Roman"/>
          <w:sz w:val="22"/>
          <w:szCs w:val="22"/>
          <w:lang w:val="fr-CA"/>
        </w:rPr>
        <w:t xml:space="preserve">e potentiel de réduire </w:t>
      </w:r>
      <w:r w:rsidR="004721EC" w:rsidRPr="00DF57F5">
        <w:rPr>
          <w:rFonts w:ascii="Palatino Linotype" w:hAnsi="Palatino Linotype" w:cs="Times New Roman"/>
          <w:sz w:val="22"/>
          <w:szCs w:val="22"/>
          <w:lang w:val="fr-CA"/>
        </w:rPr>
        <w:t>ces filles qui ont pris les armes pour diverses raisons à l’état de victime et de limiter leur</w:t>
      </w:r>
      <w:r w:rsidR="00540256" w:rsidRPr="00DF57F5">
        <w:rPr>
          <w:rFonts w:ascii="Palatino Linotype" w:hAnsi="Palatino Linotype" w:cs="Times New Roman"/>
          <w:sz w:val="22"/>
          <w:szCs w:val="22"/>
          <w:lang w:val="fr-CA"/>
        </w:rPr>
        <w:t>s</w:t>
      </w:r>
      <w:r w:rsidR="004721EC" w:rsidRPr="00DF57F5">
        <w:rPr>
          <w:rFonts w:ascii="Palatino Linotype" w:hAnsi="Palatino Linotype" w:cs="Times New Roman"/>
          <w:sz w:val="22"/>
          <w:szCs w:val="22"/>
          <w:lang w:val="fr-CA"/>
        </w:rPr>
        <w:t xml:space="preserve"> expérience</w:t>
      </w:r>
      <w:r w:rsidR="00540256" w:rsidRPr="00DF57F5">
        <w:rPr>
          <w:rFonts w:ascii="Palatino Linotype" w:hAnsi="Palatino Linotype" w:cs="Times New Roman"/>
          <w:sz w:val="22"/>
          <w:szCs w:val="22"/>
          <w:lang w:val="fr-CA"/>
        </w:rPr>
        <w:t>s</w:t>
      </w:r>
      <w:r w:rsidR="004721EC" w:rsidRPr="00DF57F5">
        <w:rPr>
          <w:rFonts w:ascii="Palatino Linotype" w:hAnsi="Palatino Linotype" w:cs="Times New Roman"/>
          <w:sz w:val="22"/>
          <w:szCs w:val="22"/>
          <w:lang w:val="fr-CA"/>
        </w:rPr>
        <w:t xml:space="preserve"> à leur sexualité</w:t>
      </w:r>
      <w:r w:rsidR="00337689" w:rsidRPr="00DF57F5">
        <w:rPr>
          <w:rFonts w:ascii="Palatino Linotype" w:hAnsi="Palatino Linotype" w:cs="Times New Roman"/>
          <w:sz w:val="22"/>
          <w:szCs w:val="22"/>
          <w:lang w:val="fr-CA"/>
        </w:rPr>
        <w:t xml:space="preserve"> et domesticité. </w:t>
      </w:r>
      <w:r w:rsidR="00F97AD9" w:rsidRPr="00DF57F5">
        <w:rPr>
          <w:rFonts w:ascii="Palatino Linotype" w:hAnsi="Palatino Linotype" w:cs="Times New Roman"/>
          <w:sz w:val="22"/>
          <w:szCs w:val="22"/>
          <w:lang w:val="fr-CA"/>
        </w:rPr>
        <w:t xml:space="preserve"> </w:t>
      </w:r>
    </w:p>
    <w:p w14:paraId="0C75D682" w14:textId="77777777" w:rsidR="004B5978" w:rsidRPr="00DF57F5" w:rsidRDefault="004B5978" w:rsidP="00DF57F5">
      <w:pPr>
        <w:ind w:firstLine="708"/>
        <w:jc w:val="both"/>
        <w:rPr>
          <w:rFonts w:ascii="Palatino Linotype" w:hAnsi="Palatino Linotype" w:cs="Times New Roman"/>
          <w:sz w:val="22"/>
          <w:szCs w:val="22"/>
          <w:lang w:val="fr-CA"/>
        </w:rPr>
      </w:pPr>
    </w:p>
    <w:p w14:paraId="1FB2FCBD" w14:textId="07BF8683" w:rsidR="004B5978" w:rsidRPr="004B782F" w:rsidRDefault="004B5978" w:rsidP="00DF57F5">
      <w:pPr>
        <w:pStyle w:val="Heading2"/>
        <w:spacing w:before="0"/>
        <w:rPr>
          <w:rFonts w:ascii="Palatino Linotype" w:hAnsi="Palatino Linotype"/>
          <w:b/>
          <w:color w:val="auto"/>
          <w:sz w:val="22"/>
          <w:szCs w:val="22"/>
          <w:lang w:val="fr-CA"/>
        </w:rPr>
      </w:pPr>
      <w:r w:rsidRPr="004B782F">
        <w:rPr>
          <w:rFonts w:ascii="Palatino Linotype" w:hAnsi="Palatino Linotype"/>
          <w:b/>
          <w:color w:val="auto"/>
          <w:sz w:val="22"/>
          <w:szCs w:val="22"/>
          <w:lang w:val="fr-CA"/>
        </w:rPr>
        <w:t xml:space="preserve">Conclusion </w:t>
      </w:r>
    </w:p>
    <w:p w14:paraId="717B06E0" w14:textId="77777777" w:rsidR="004B5978" w:rsidRPr="00DF57F5" w:rsidRDefault="004B5978" w:rsidP="00DF57F5">
      <w:pPr>
        <w:rPr>
          <w:rFonts w:ascii="Palatino Linotype" w:hAnsi="Palatino Linotype" w:cs="Times New Roman"/>
          <w:sz w:val="22"/>
          <w:szCs w:val="22"/>
          <w:lang w:val="fr-CA"/>
        </w:rPr>
      </w:pPr>
    </w:p>
    <w:p w14:paraId="7D0BD9D9" w14:textId="4189E7E4" w:rsidR="00887F71" w:rsidRPr="00DF57F5" w:rsidRDefault="004B5978" w:rsidP="00DF57F5">
      <w:pPr>
        <w:jc w:val="both"/>
        <w:rPr>
          <w:rFonts w:ascii="Palatino Linotype" w:hAnsi="Palatino Linotype" w:cs="Times New Roman"/>
          <w:sz w:val="22"/>
          <w:szCs w:val="22"/>
          <w:lang w:val="fr-CA"/>
        </w:rPr>
      </w:pPr>
      <w:r w:rsidRPr="00DF57F5">
        <w:rPr>
          <w:rFonts w:ascii="Palatino Linotype" w:hAnsi="Palatino Linotype" w:cs="Times New Roman"/>
          <w:sz w:val="22"/>
          <w:szCs w:val="22"/>
          <w:lang w:val="fr-CA"/>
        </w:rPr>
        <w:t xml:space="preserve">Enfin, on ne peut nier l’importance </w:t>
      </w:r>
      <w:r w:rsidR="00540256" w:rsidRPr="00DF57F5">
        <w:rPr>
          <w:rFonts w:ascii="Palatino Linotype" w:hAnsi="Palatino Linotype" w:cs="Times New Roman"/>
          <w:sz w:val="22"/>
          <w:szCs w:val="22"/>
          <w:lang w:val="fr-CA"/>
        </w:rPr>
        <w:t xml:space="preserve">de </w:t>
      </w:r>
      <w:r w:rsidRPr="00DF57F5">
        <w:rPr>
          <w:rFonts w:ascii="Palatino Linotype" w:hAnsi="Palatino Linotype" w:cs="Times New Roman"/>
          <w:sz w:val="22"/>
          <w:szCs w:val="22"/>
          <w:lang w:val="fr-CA"/>
        </w:rPr>
        <w:t>mettre fin à l’invisibilité des violences vécues par les femmes dans le cadre de conflit</w:t>
      </w:r>
      <w:r w:rsidR="00540256" w:rsidRPr="00DF57F5">
        <w:rPr>
          <w:rFonts w:ascii="Palatino Linotype" w:hAnsi="Palatino Linotype" w:cs="Times New Roman"/>
          <w:sz w:val="22"/>
          <w:szCs w:val="22"/>
          <w:lang w:val="fr-CA"/>
        </w:rPr>
        <w:t>s</w:t>
      </w:r>
      <w:r w:rsidRPr="00DF57F5">
        <w:rPr>
          <w:rFonts w:ascii="Palatino Linotype" w:hAnsi="Palatino Linotype" w:cs="Times New Roman"/>
          <w:sz w:val="22"/>
          <w:szCs w:val="22"/>
          <w:lang w:val="fr-CA"/>
        </w:rPr>
        <w:t xml:space="preserve"> armé</w:t>
      </w:r>
      <w:r w:rsidR="00540256" w:rsidRPr="00DF57F5">
        <w:rPr>
          <w:rFonts w:ascii="Palatino Linotype" w:hAnsi="Palatino Linotype" w:cs="Times New Roman"/>
          <w:sz w:val="22"/>
          <w:szCs w:val="22"/>
          <w:lang w:val="fr-CA"/>
        </w:rPr>
        <w:t>s</w:t>
      </w:r>
      <w:r w:rsidRPr="00DF57F5">
        <w:rPr>
          <w:rFonts w:ascii="Palatino Linotype" w:hAnsi="Palatino Linotype" w:cs="Times New Roman"/>
          <w:sz w:val="22"/>
          <w:szCs w:val="22"/>
          <w:lang w:val="fr-CA"/>
        </w:rPr>
        <w:t xml:space="preserve">. </w:t>
      </w:r>
      <w:r w:rsidR="00A33152" w:rsidRPr="00DF57F5">
        <w:rPr>
          <w:rFonts w:ascii="Palatino Linotype" w:hAnsi="Palatino Linotype" w:cs="Times New Roman"/>
          <w:sz w:val="22"/>
          <w:szCs w:val="22"/>
          <w:lang w:val="fr-CA"/>
        </w:rPr>
        <w:t>Tout au plus, il est nécessaire de demeurer vigilant</w:t>
      </w:r>
      <w:r w:rsidR="00540256" w:rsidRPr="00DF57F5">
        <w:rPr>
          <w:rFonts w:ascii="Palatino Linotype" w:hAnsi="Palatino Linotype" w:cs="Times New Roman"/>
          <w:sz w:val="22"/>
          <w:szCs w:val="22"/>
          <w:lang w:val="fr-CA"/>
        </w:rPr>
        <w:t>s</w:t>
      </w:r>
      <w:r w:rsidR="00A33152" w:rsidRPr="00DF57F5">
        <w:rPr>
          <w:rFonts w:ascii="Palatino Linotype" w:hAnsi="Palatino Linotype" w:cs="Times New Roman"/>
          <w:sz w:val="22"/>
          <w:szCs w:val="22"/>
          <w:lang w:val="fr-CA"/>
        </w:rPr>
        <w:t xml:space="preserve"> dans l’établissement des éléments des crimes ainsi que dans la manière de poursuivre les crimes sexuels. Une attention particulière devrait toujours être accordé</w:t>
      </w:r>
      <w:r w:rsidR="00F06008" w:rsidRPr="00DF57F5">
        <w:rPr>
          <w:rFonts w:ascii="Palatino Linotype" w:hAnsi="Palatino Linotype" w:cs="Times New Roman"/>
          <w:sz w:val="22"/>
          <w:szCs w:val="22"/>
          <w:lang w:val="fr-CA"/>
        </w:rPr>
        <w:t xml:space="preserve">e </w:t>
      </w:r>
      <w:r w:rsidR="00A33152" w:rsidRPr="00DF57F5">
        <w:rPr>
          <w:rFonts w:ascii="Palatino Linotype" w:hAnsi="Palatino Linotype" w:cs="Times New Roman"/>
          <w:sz w:val="22"/>
          <w:szCs w:val="22"/>
          <w:lang w:val="fr-CA"/>
        </w:rPr>
        <w:t>au potentiel risque de réifier des stéréotypes de genre</w:t>
      </w:r>
      <w:r w:rsidR="000E3B04" w:rsidRPr="00DF57F5">
        <w:rPr>
          <w:rFonts w:ascii="Palatino Linotype" w:hAnsi="Palatino Linotype" w:cs="Times New Roman"/>
          <w:sz w:val="22"/>
          <w:szCs w:val="22"/>
          <w:lang w:val="fr-CA"/>
        </w:rPr>
        <w:t>, d’</w:t>
      </w:r>
      <w:r w:rsidR="00857BA6" w:rsidRPr="00DF57F5">
        <w:rPr>
          <w:rFonts w:ascii="Palatino Linotype" w:hAnsi="Palatino Linotype" w:cs="Times New Roman"/>
          <w:sz w:val="22"/>
          <w:szCs w:val="22"/>
          <w:lang w:val="fr-CA"/>
        </w:rPr>
        <w:t>essentialiser et/ou de marginaliser l</w:t>
      </w:r>
      <w:r w:rsidR="000E3B04" w:rsidRPr="00DF57F5">
        <w:rPr>
          <w:rFonts w:ascii="Palatino Linotype" w:hAnsi="Palatino Linotype" w:cs="Times New Roman"/>
          <w:sz w:val="22"/>
          <w:szCs w:val="22"/>
          <w:lang w:val="fr-CA"/>
        </w:rPr>
        <w:t>es femmes survivantes</w:t>
      </w:r>
      <w:r w:rsidR="00857BA6" w:rsidRPr="00DF57F5">
        <w:rPr>
          <w:rFonts w:ascii="Palatino Linotype" w:hAnsi="Palatino Linotype" w:cs="Times New Roman"/>
          <w:sz w:val="22"/>
          <w:szCs w:val="22"/>
          <w:lang w:val="fr-CA"/>
        </w:rPr>
        <w:t xml:space="preserve"> </w:t>
      </w:r>
      <w:r w:rsidR="000E3B04" w:rsidRPr="00DF57F5">
        <w:rPr>
          <w:rFonts w:ascii="Palatino Linotype" w:hAnsi="Palatino Linotype" w:cs="Times New Roman"/>
          <w:sz w:val="22"/>
          <w:szCs w:val="22"/>
          <w:lang w:val="fr-CA"/>
        </w:rPr>
        <w:t xml:space="preserve">et </w:t>
      </w:r>
      <w:r w:rsidR="00857BA6" w:rsidRPr="00DF57F5">
        <w:rPr>
          <w:rFonts w:ascii="Palatino Linotype" w:hAnsi="Palatino Linotype" w:cs="Times New Roman"/>
          <w:sz w:val="22"/>
          <w:szCs w:val="22"/>
          <w:lang w:val="fr-CA"/>
        </w:rPr>
        <w:t xml:space="preserve">de négliger </w:t>
      </w:r>
      <w:r w:rsidR="000E3B04" w:rsidRPr="00DF57F5">
        <w:rPr>
          <w:rFonts w:ascii="Palatino Linotype" w:hAnsi="Palatino Linotype" w:cs="Times New Roman"/>
          <w:sz w:val="22"/>
          <w:szCs w:val="22"/>
          <w:lang w:val="fr-CA"/>
        </w:rPr>
        <w:t>certaines violences basées sur le genre non</w:t>
      </w:r>
      <w:r w:rsidR="00B6119D" w:rsidRPr="00DF57F5">
        <w:rPr>
          <w:rFonts w:ascii="Palatino Linotype" w:hAnsi="Palatino Linotype" w:cs="Times New Roman"/>
          <w:sz w:val="22"/>
          <w:szCs w:val="22"/>
          <w:lang w:val="fr-CA"/>
        </w:rPr>
        <w:t xml:space="preserve"> sexuelles</w:t>
      </w:r>
      <w:r w:rsidR="00A33152" w:rsidRPr="00DF57F5">
        <w:rPr>
          <w:rFonts w:ascii="Palatino Linotype" w:hAnsi="Palatino Linotype" w:cs="Times New Roman"/>
          <w:sz w:val="22"/>
          <w:szCs w:val="22"/>
          <w:lang w:val="fr-CA"/>
        </w:rPr>
        <w:t xml:space="preserve">. </w:t>
      </w:r>
      <w:r w:rsidR="004721EC" w:rsidRPr="00DF57F5">
        <w:rPr>
          <w:rFonts w:ascii="Palatino Linotype" w:hAnsi="Palatino Linotype" w:cs="Times New Roman"/>
          <w:sz w:val="22"/>
          <w:szCs w:val="22"/>
          <w:lang w:val="fr-CA"/>
        </w:rPr>
        <w:t>Le droit a souvent pour effet d’aplanir des situations extrêmement complexes, et de réduire les expériences des femmes de la guerre à une expression simpl</w:t>
      </w:r>
      <w:r w:rsidR="00857BA6" w:rsidRPr="00DF57F5">
        <w:rPr>
          <w:rFonts w:ascii="Palatino Linotype" w:hAnsi="Palatino Linotype" w:cs="Times New Roman"/>
          <w:sz w:val="22"/>
          <w:szCs w:val="22"/>
          <w:lang w:val="fr-CA"/>
        </w:rPr>
        <w:t>e, il est donc primordial de demeurer</w:t>
      </w:r>
      <w:r w:rsidR="004721EC" w:rsidRPr="00DF57F5">
        <w:rPr>
          <w:rFonts w:ascii="Palatino Linotype" w:hAnsi="Palatino Linotype" w:cs="Times New Roman"/>
          <w:sz w:val="22"/>
          <w:szCs w:val="22"/>
          <w:lang w:val="fr-CA"/>
        </w:rPr>
        <w:t xml:space="preserve"> sensible</w:t>
      </w:r>
      <w:r w:rsidR="00540256" w:rsidRPr="00DF57F5">
        <w:rPr>
          <w:rFonts w:ascii="Palatino Linotype" w:hAnsi="Palatino Linotype" w:cs="Times New Roman"/>
          <w:sz w:val="22"/>
          <w:szCs w:val="22"/>
          <w:lang w:val="fr-CA"/>
        </w:rPr>
        <w:t>s</w:t>
      </w:r>
      <w:r w:rsidR="004721EC" w:rsidRPr="00DF57F5">
        <w:rPr>
          <w:rFonts w:ascii="Palatino Linotype" w:hAnsi="Palatino Linotype" w:cs="Times New Roman"/>
          <w:sz w:val="22"/>
          <w:szCs w:val="22"/>
          <w:lang w:val="fr-CA"/>
        </w:rPr>
        <w:t xml:space="preserve"> aux mises en garde exprimé</w:t>
      </w:r>
      <w:r w:rsidR="00F06008" w:rsidRPr="00DF57F5">
        <w:rPr>
          <w:rFonts w:ascii="Palatino Linotype" w:hAnsi="Palatino Linotype" w:cs="Times New Roman"/>
          <w:sz w:val="22"/>
          <w:szCs w:val="22"/>
          <w:lang w:val="fr-CA"/>
        </w:rPr>
        <w:t xml:space="preserve">es </w:t>
      </w:r>
      <w:r w:rsidR="004721EC" w:rsidRPr="00DF57F5">
        <w:rPr>
          <w:rFonts w:ascii="Palatino Linotype" w:hAnsi="Palatino Linotype" w:cs="Times New Roman"/>
          <w:sz w:val="22"/>
          <w:szCs w:val="22"/>
          <w:lang w:val="fr-CA"/>
        </w:rPr>
        <w:t xml:space="preserve">par plusieurs juristes féministes. </w:t>
      </w:r>
    </w:p>
    <w:sectPr w:rsidR="00887F71" w:rsidRPr="00DF57F5" w:rsidSect="00174458">
      <w:footerReference w:type="even" r:id="rId7"/>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DE69AE" w14:textId="77777777" w:rsidR="001853A0" w:rsidRDefault="001853A0" w:rsidP="00C24C95">
      <w:r>
        <w:separator/>
      </w:r>
    </w:p>
  </w:endnote>
  <w:endnote w:type="continuationSeparator" w:id="0">
    <w:p w14:paraId="375FBF95" w14:textId="77777777" w:rsidR="001853A0" w:rsidRDefault="001853A0" w:rsidP="00C24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7B76C" w14:textId="77777777" w:rsidR="004E41C3" w:rsidRDefault="004E41C3" w:rsidP="007E7FC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37467B" w14:textId="77777777" w:rsidR="004E41C3" w:rsidRDefault="004E41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23EBA" w14:textId="4C4E2B89" w:rsidR="004E41C3" w:rsidRDefault="004E41C3" w:rsidP="007E7FC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540C">
      <w:rPr>
        <w:rStyle w:val="PageNumber"/>
        <w:noProof/>
      </w:rPr>
      <w:t>1</w:t>
    </w:r>
    <w:r>
      <w:rPr>
        <w:rStyle w:val="PageNumber"/>
      </w:rPr>
      <w:fldChar w:fldCharType="end"/>
    </w:r>
  </w:p>
  <w:p w14:paraId="4DFAC0C6" w14:textId="77777777" w:rsidR="004E41C3" w:rsidRDefault="004E41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FC3B9C" w14:textId="77777777" w:rsidR="001853A0" w:rsidRDefault="001853A0" w:rsidP="00C24C95">
      <w:r>
        <w:separator/>
      </w:r>
    </w:p>
  </w:footnote>
  <w:footnote w:type="continuationSeparator" w:id="0">
    <w:p w14:paraId="17A0FFB1" w14:textId="77777777" w:rsidR="001853A0" w:rsidRDefault="001853A0" w:rsidP="00C24C95">
      <w:r>
        <w:continuationSeparator/>
      </w:r>
    </w:p>
  </w:footnote>
  <w:footnote w:id="1">
    <w:p w14:paraId="539F709C" w14:textId="2464C588" w:rsidR="00EA66A7" w:rsidRPr="00DF57F5" w:rsidRDefault="00EA66A7" w:rsidP="0053066C">
      <w:pPr>
        <w:pStyle w:val="p1"/>
        <w:jc w:val="both"/>
        <w:rPr>
          <w:rFonts w:ascii="Palatino Linotype" w:hAnsi="Palatino Linotype"/>
          <w:sz w:val="20"/>
          <w:szCs w:val="20"/>
          <w:lang w:val="fr-CA"/>
        </w:rPr>
      </w:pPr>
      <w:r w:rsidRPr="00DF57F5">
        <w:rPr>
          <w:rStyle w:val="FootnoteReference"/>
          <w:rFonts w:ascii="Palatino Linotype" w:hAnsi="Palatino Linotype"/>
          <w:sz w:val="20"/>
          <w:szCs w:val="20"/>
        </w:rPr>
        <w:footnoteRef/>
      </w:r>
      <w:r w:rsidRPr="00DF57F5">
        <w:rPr>
          <w:rFonts w:ascii="Palatino Linotype" w:hAnsi="Palatino Linotype"/>
          <w:sz w:val="20"/>
          <w:szCs w:val="20"/>
          <w:lang w:val="en-CA"/>
        </w:rPr>
        <w:t xml:space="preserve"> </w:t>
      </w:r>
      <w:r w:rsidR="00113548" w:rsidRPr="00DF57F5">
        <w:rPr>
          <w:rFonts w:ascii="Palatino Linotype" w:hAnsi="Palatino Linotype"/>
          <w:i/>
          <w:sz w:val="20"/>
          <w:szCs w:val="20"/>
          <w:lang w:val="en-CA"/>
        </w:rPr>
        <w:t>Le Procureur c. Bosco Ntaganda</w:t>
      </w:r>
      <w:r w:rsidR="00113548" w:rsidRPr="00DF57F5">
        <w:rPr>
          <w:rFonts w:ascii="Palatino Linotype" w:hAnsi="Palatino Linotype"/>
          <w:sz w:val="20"/>
          <w:szCs w:val="20"/>
          <w:lang w:val="en-CA"/>
        </w:rPr>
        <w:t xml:space="preserve">, </w:t>
      </w:r>
      <w:r w:rsidR="008B39E6" w:rsidRPr="00DF57F5">
        <w:rPr>
          <w:rFonts w:ascii="Palatino Linotype" w:hAnsi="Palatino Linotype"/>
          <w:sz w:val="20"/>
          <w:szCs w:val="20"/>
          <w:lang w:val="en-CA"/>
        </w:rPr>
        <w:t>« </w:t>
      </w:r>
      <w:r w:rsidR="008B39E6" w:rsidRPr="00DF57F5">
        <w:rPr>
          <w:rFonts w:ascii="Palatino Linotype" w:hAnsi="Palatino Linotype"/>
          <w:bCs/>
          <w:sz w:val="20"/>
          <w:szCs w:val="20"/>
          <w:lang w:val="en-US"/>
        </w:rPr>
        <w:t>Second decision on the Defence’s challenge to the jurisdiction of the Court in respect of Counts 6 and 9</w:t>
      </w:r>
      <w:r w:rsidR="008B39E6" w:rsidRPr="00DF57F5">
        <w:rPr>
          <w:rFonts w:ascii="Palatino Linotype" w:hAnsi="Palatino Linotype"/>
          <w:bCs/>
          <w:sz w:val="20"/>
          <w:szCs w:val="20"/>
          <w:lang w:val="en-CA"/>
        </w:rPr>
        <w:t> »</w:t>
      </w:r>
      <w:r w:rsidR="008B39E6" w:rsidRPr="00DF57F5">
        <w:rPr>
          <w:rFonts w:ascii="Palatino Linotype" w:hAnsi="Palatino Linotype"/>
          <w:bCs/>
          <w:sz w:val="20"/>
          <w:szCs w:val="20"/>
          <w:lang w:val="en-US"/>
        </w:rPr>
        <w:t xml:space="preserve"> I</w:t>
      </w:r>
      <w:r w:rsidR="00113548" w:rsidRPr="00DF57F5">
        <w:rPr>
          <w:rFonts w:ascii="Palatino Linotype" w:hAnsi="Palatino Linotype"/>
          <w:sz w:val="20"/>
          <w:szCs w:val="20"/>
          <w:lang w:val="en-CA"/>
        </w:rPr>
        <w:t>CC-01/04-02/06-1707, 4 janvier 2017.</w:t>
      </w:r>
      <w:r w:rsidR="007577D3" w:rsidRPr="00DF57F5">
        <w:rPr>
          <w:rFonts w:ascii="Palatino Linotype" w:hAnsi="Palatino Linotype"/>
          <w:sz w:val="20"/>
          <w:szCs w:val="20"/>
          <w:lang w:val="en-CA"/>
        </w:rPr>
        <w:t xml:space="preserve"> </w:t>
      </w:r>
      <w:r w:rsidR="007577D3" w:rsidRPr="00DF57F5">
        <w:rPr>
          <w:rFonts w:ascii="Palatino Linotype" w:hAnsi="Palatino Linotype"/>
          <w:sz w:val="20"/>
          <w:szCs w:val="20"/>
        </w:rPr>
        <w:t>(</w:t>
      </w:r>
      <w:r w:rsidR="007577D3" w:rsidRPr="00DF57F5">
        <w:rPr>
          <w:rFonts w:ascii="Palatino Linotype" w:hAnsi="Palatino Linotype"/>
          <w:sz w:val="20"/>
          <w:szCs w:val="20"/>
          <w:lang w:val="fr-CA"/>
        </w:rPr>
        <w:t>“Seconde Decision”)</w:t>
      </w:r>
    </w:p>
  </w:footnote>
  <w:footnote w:id="2">
    <w:p w14:paraId="68C143C1" w14:textId="76567C6F" w:rsidR="00C24C95" w:rsidRPr="00DF57F5" w:rsidRDefault="00C24C95" w:rsidP="0053066C">
      <w:pPr>
        <w:pStyle w:val="p1"/>
        <w:jc w:val="both"/>
        <w:rPr>
          <w:rFonts w:ascii="Palatino Linotype" w:hAnsi="Palatino Linotype"/>
          <w:sz w:val="20"/>
          <w:szCs w:val="20"/>
        </w:rPr>
      </w:pPr>
      <w:r w:rsidRPr="00DF57F5">
        <w:rPr>
          <w:rStyle w:val="FootnoteReference"/>
          <w:rFonts w:ascii="Palatino Linotype" w:hAnsi="Palatino Linotype"/>
          <w:sz w:val="20"/>
          <w:szCs w:val="20"/>
        </w:rPr>
        <w:footnoteRef/>
      </w:r>
      <w:r w:rsidRPr="00DF57F5">
        <w:rPr>
          <w:rFonts w:ascii="Palatino Linotype" w:hAnsi="Palatino Linotype"/>
          <w:sz w:val="20"/>
          <w:szCs w:val="20"/>
        </w:rPr>
        <w:t xml:space="preserve"> </w:t>
      </w:r>
      <w:r w:rsidRPr="00DF57F5">
        <w:rPr>
          <w:rFonts w:ascii="Palatino Linotype" w:hAnsi="Palatino Linotype"/>
          <w:i/>
          <w:sz w:val="20"/>
          <w:szCs w:val="20"/>
        </w:rPr>
        <w:t>Le Procureur c. Thomas Lubanga</w:t>
      </w:r>
      <w:r w:rsidRPr="00DF57F5">
        <w:rPr>
          <w:rFonts w:ascii="Palatino Linotype" w:hAnsi="Palatino Linotype"/>
          <w:sz w:val="20"/>
          <w:szCs w:val="20"/>
        </w:rPr>
        <w:t>,</w:t>
      </w:r>
      <w:r w:rsidR="002F0047" w:rsidRPr="00DF57F5">
        <w:rPr>
          <w:rFonts w:ascii="Palatino Linotype" w:hAnsi="Palatino Linotype"/>
          <w:sz w:val="20"/>
          <w:szCs w:val="20"/>
        </w:rPr>
        <w:t xml:space="preserve"> « Jugement</w:t>
      </w:r>
      <w:r w:rsidR="00965BB1" w:rsidRPr="00DF57F5">
        <w:rPr>
          <w:rFonts w:ascii="Palatino Linotype" w:hAnsi="Palatino Linotype"/>
          <w:sz w:val="20"/>
          <w:szCs w:val="20"/>
        </w:rPr>
        <w:t xml:space="preserve"> en vertu de l’Article 74</w:t>
      </w:r>
      <w:r w:rsidR="002F0047" w:rsidRPr="00DF57F5">
        <w:rPr>
          <w:rFonts w:ascii="Palatino Linotype" w:hAnsi="Palatino Linotype"/>
          <w:sz w:val="20"/>
          <w:szCs w:val="20"/>
        </w:rPr>
        <w:t xml:space="preserve"> </w:t>
      </w:r>
      <w:r w:rsidR="00965BB1" w:rsidRPr="00DF57F5">
        <w:rPr>
          <w:rFonts w:ascii="Palatino Linotype" w:hAnsi="Palatino Linotype"/>
          <w:sz w:val="20"/>
          <w:szCs w:val="20"/>
        </w:rPr>
        <w:t>»</w:t>
      </w:r>
      <w:r w:rsidRPr="00DF57F5">
        <w:rPr>
          <w:rFonts w:ascii="Palatino Linotype" w:hAnsi="Palatino Linotype"/>
          <w:sz w:val="20"/>
          <w:szCs w:val="20"/>
        </w:rPr>
        <w:t xml:space="preserve"> ICC-01/04-01/06</w:t>
      </w:r>
      <w:r w:rsidR="00965BB1" w:rsidRPr="00DF57F5">
        <w:rPr>
          <w:rFonts w:ascii="Palatino Linotype" w:hAnsi="Palatino Linotype"/>
          <w:sz w:val="20"/>
          <w:szCs w:val="20"/>
        </w:rPr>
        <w:t>, 14 mars 2012, para</w:t>
      </w:r>
      <w:r w:rsidR="00573DF1" w:rsidRPr="00DF57F5">
        <w:rPr>
          <w:rFonts w:ascii="Palatino Linotype" w:hAnsi="Palatino Linotype"/>
          <w:sz w:val="20"/>
          <w:szCs w:val="20"/>
        </w:rPr>
        <w:t>s</w:t>
      </w:r>
      <w:r w:rsidR="00965BB1" w:rsidRPr="00DF57F5">
        <w:rPr>
          <w:rFonts w:ascii="Palatino Linotype" w:hAnsi="Palatino Linotype"/>
          <w:sz w:val="20"/>
          <w:szCs w:val="20"/>
        </w:rPr>
        <w:t xml:space="preserve"> 629-630.</w:t>
      </w:r>
    </w:p>
  </w:footnote>
  <w:footnote w:id="3">
    <w:p w14:paraId="1F0C639B" w14:textId="1ED7EBA9" w:rsidR="00655204" w:rsidRPr="00DF57F5" w:rsidRDefault="00655204" w:rsidP="0053066C">
      <w:pPr>
        <w:pStyle w:val="FootnoteText"/>
        <w:jc w:val="both"/>
        <w:rPr>
          <w:rFonts w:ascii="Palatino Linotype" w:hAnsi="Palatino Linotype"/>
          <w:sz w:val="20"/>
          <w:szCs w:val="20"/>
        </w:rPr>
      </w:pPr>
      <w:r w:rsidRPr="00DF57F5">
        <w:rPr>
          <w:rStyle w:val="FootnoteReference"/>
          <w:rFonts w:ascii="Palatino Linotype" w:hAnsi="Palatino Linotype"/>
          <w:sz w:val="20"/>
          <w:szCs w:val="20"/>
        </w:rPr>
        <w:footnoteRef/>
      </w:r>
      <w:r w:rsidRPr="00DF57F5">
        <w:rPr>
          <w:rFonts w:ascii="Palatino Linotype" w:hAnsi="Palatino Linotype"/>
          <w:sz w:val="20"/>
          <w:szCs w:val="20"/>
        </w:rPr>
        <w:t xml:space="preserve"> </w:t>
      </w:r>
      <w:r w:rsidR="00DF58CA" w:rsidRPr="00DF57F5">
        <w:rPr>
          <w:rFonts w:ascii="Palatino Linotype" w:hAnsi="Palatino Linotype"/>
          <w:sz w:val="20"/>
          <w:szCs w:val="20"/>
        </w:rPr>
        <w:t xml:space="preserve">L’Union des Patriotes </w:t>
      </w:r>
      <w:r w:rsidRPr="00DF57F5">
        <w:rPr>
          <w:rFonts w:ascii="Palatino Linotype" w:hAnsi="Palatino Linotype"/>
          <w:sz w:val="20"/>
          <w:szCs w:val="20"/>
        </w:rPr>
        <w:t>Congo</w:t>
      </w:r>
      <w:r w:rsidR="00DF58CA" w:rsidRPr="00DF57F5">
        <w:rPr>
          <w:rFonts w:ascii="Palatino Linotype" w:hAnsi="Palatino Linotype"/>
          <w:sz w:val="20"/>
          <w:szCs w:val="20"/>
        </w:rPr>
        <w:t>lais</w:t>
      </w:r>
      <w:r w:rsidRPr="00DF57F5">
        <w:rPr>
          <w:rFonts w:ascii="Palatino Linotype" w:hAnsi="Palatino Linotype"/>
          <w:sz w:val="20"/>
          <w:szCs w:val="20"/>
        </w:rPr>
        <w:t>/Forces</w:t>
      </w:r>
      <w:r w:rsidR="002F0047" w:rsidRPr="00DF57F5">
        <w:rPr>
          <w:rFonts w:ascii="Palatino Linotype" w:hAnsi="Palatino Linotype"/>
          <w:sz w:val="20"/>
          <w:szCs w:val="20"/>
        </w:rPr>
        <w:t xml:space="preserve"> Patriotique</w:t>
      </w:r>
      <w:r w:rsidR="00DF58CA" w:rsidRPr="00DF57F5">
        <w:rPr>
          <w:rFonts w:ascii="Palatino Linotype" w:hAnsi="Palatino Linotype"/>
          <w:sz w:val="20"/>
          <w:szCs w:val="20"/>
        </w:rPr>
        <w:t xml:space="preserve"> pour la</w:t>
      </w:r>
      <w:r w:rsidR="002F0047" w:rsidRPr="00DF57F5">
        <w:rPr>
          <w:rFonts w:ascii="Palatino Linotype" w:hAnsi="Palatino Linotype"/>
          <w:sz w:val="20"/>
          <w:szCs w:val="20"/>
        </w:rPr>
        <w:t xml:space="preserve"> Libération </w:t>
      </w:r>
      <w:r w:rsidR="00DF58CA" w:rsidRPr="00DF57F5">
        <w:rPr>
          <w:rFonts w:ascii="Palatino Linotype" w:hAnsi="Palatino Linotype"/>
          <w:sz w:val="20"/>
          <w:szCs w:val="20"/>
        </w:rPr>
        <w:t>du Congo.</w:t>
      </w:r>
      <w:r w:rsidR="002F0047" w:rsidRPr="00DF57F5">
        <w:rPr>
          <w:rFonts w:ascii="Palatino Linotype" w:hAnsi="Palatino Linotype"/>
          <w:sz w:val="20"/>
          <w:szCs w:val="20"/>
        </w:rPr>
        <w:t xml:space="preserve"> </w:t>
      </w:r>
      <w:r w:rsidR="006F32EC" w:rsidRPr="00DF57F5">
        <w:rPr>
          <w:rFonts w:ascii="Palatino Linotype" w:hAnsi="Palatino Linotype"/>
          <w:sz w:val="20"/>
          <w:szCs w:val="20"/>
        </w:rPr>
        <w:t xml:space="preserve"> M. </w:t>
      </w:r>
      <w:r w:rsidR="00573DF1" w:rsidRPr="00DF57F5">
        <w:rPr>
          <w:rFonts w:ascii="Palatino Linotype" w:hAnsi="Palatino Linotype"/>
          <w:sz w:val="20"/>
          <w:szCs w:val="20"/>
        </w:rPr>
        <w:t xml:space="preserve">Bosco </w:t>
      </w:r>
      <w:r w:rsidR="006F32EC" w:rsidRPr="00DF57F5">
        <w:rPr>
          <w:rFonts w:ascii="Palatino Linotype" w:hAnsi="Palatino Linotype"/>
          <w:sz w:val="20"/>
          <w:szCs w:val="20"/>
        </w:rPr>
        <w:t xml:space="preserve">Ntaganda était membre du même groupe armé que M. </w:t>
      </w:r>
      <w:r w:rsidR="00573DF1" w:rsidRPr="00DF57F5">
        <w:rPr>
          <w:rFonts w:ascii="Palatino Linotype" w:hAnsi="Palatino Linotype"/>
          <w:sz w:val="20"/>
          <w:szCs w:val="20"/>
        </w:rPr>
        <w:t xml:space="preserve">Thomas </w:t>
      </w:r>
      <w:r w:rsidR="006F32EC" w:rsidRPr="00DF57F5">
        <w:rPr>
          <w:rFonts w:ascii="Palatino Linotype" w:hAnsi="Palatino Linotype"/>
          <w:sz w:val="20"/>
          <w:szCs w:val="20"/>
        </w:rPr>
        <w:t>Lubanga.</w:t>
      </w:r>
    </w:p>
  </w:footnote>
  <w:footnote w:id="4">
    <w:p w14:paraId="614B1F34" w14:textId="0DD1544E" w:rsidR="00041D01" w:rsidRPr="00DF57F5" w:rsidRDefault="00E766E7" w:rsidP="0053066C">
      <w:pPr>
        <w:pStyle w:val="p1"/>
        <w:jc w:val="both"/>
        <w:rPr>
          <w:rFonts w:ascii="Palatino Linotype" w:hAnsi="Palatino Linotype"/>
          <w:sz w:val="20"/>
          <w:szCs w:val="20"/>
        </w:rPr>
      </w:pPr>
      <w:r w:rsidRPr="00DF57F5">
        <w:rPr>
          <w:rStyle w:val="FootnoteReference"/>
          <w:rFonts w:ascii="Palatino Linotype" w:hAnsi="Palatino Linotype"/>
          <w:sz w:val="20"/>
          <w:szCs w:val="20"/>
        </w:rPr>
        <w:footnoteRef/>
      </w:r>
      <w:r w:rsidRPr="00DF57F5">
        <w:rPr>
          <w:rFonts w:ascii="Palatino Linotype" w:hAnsi="Palatino Linotype"/>
          <w:sz w:val="20"/>
          <w:szCs w:val="20"/>
        </w:rPr>
        <w:t xml:space="preserve"> </w:t>
      </w:r>
      <w:r w:rsidR="00655204" w:rsidRPr="00DF57F5">
        <w:rPr>
          <w:rFonts w:ascii="Palatino Linotype" w:hAnsi="Palatino Linotype"/>
          <w:i/>
          <w:sz w:val="20"/>
          <w:szCs w:val="20"/>
        </w:rPr>
        <w:t>Le Procureur c. Bosco Ntaganda</w:t>
      </w:r>
      <w:r w:rsidR="00655204" w:rsidRPr="00DF57F5">
        <w:rPr>
          <w:rFonts w:ascii="Palatino Linotype" w:hAnsi="Palatino Linotype"/>
          <w:sz w:val="20"/>
          <w:szCs w:val="20"/>
        </w:rPr>
        <w:t xml:space="preserve">, </w:t>
      </w:r>
      <w:r w:rsidR="00573DF1" w:rsidRPr="00DF57F5">
        <w:rPr>
          <w:rFonts w:ascii="Palatino Linotype" w:hAnsi="Palatino Linotype"/>
          <w:sz w:val="20"/>
          <w:szCs w:val="20"/>
        </w:rPr>
        <w:t>« </w:t>
      </w:r>
      <w:r w:rsidR="00041D01" w:rsidRPr="00DF57F5">
        <w:rPr>
          <w:rFonts w:ascii="Palatino Linotype" w:hAnsi="Palatino Linotype"/>
          <w:sz w:val="20"/>
          <w:szCs w:val="20"/>
        </w:rPr>
        <w:t>Document containing the charge (DCC)</w:t>
      </w:r>
      <w:r w:rsidR="00573DF1" w:rsidRPr="00DF57F5">
        <w:rPr>
          <w:rFonts w:ascii="Palatino Linotype" w:hAnsi="Palatino Linotype"/>
          <w:sz w:val="20"/>
          <w:szCs w:val="20"/>
        </w:rPr>
        <w:t> »</w:t>
      </w:r>
      <w:r w:rsidR="00041D01" w:rsidRPr="00DF57F5">
        <w:rPr>
          <w:rFonts w:ascii="Palatino Linotype" w:hAnsi="Palatino Linotype"/>
          <w:sz w:val="20"/>
          <w:szCs w:val="20"/>
        </w:rPr>
        <w:t xml:space="preserve"> I</w:t>
      </w:r>
      <w:r w:rsidR="00573DF1" w:rsidRPr="00DF57F5">
        <w:rPr>
          <w:rFonts w:ascii="Palatino Linotype" w:hAnsi="Palatino Linotype"/>
          <w:sz w:val="20"/>
          <w:szCs w:val="20"/>
        </w:rPr>
        <w:t xml:space="preserve">CC-01/04-02/06-203-AnxA, </w:t>
      </w:r>
      <w:r w:rsidR="00AA62AA" w:rsidRPr="00DF57F5">
        <w:rPr>
          <w:rFonts w:ascii="Palatino Linotype" w:hAnsi="Palatino Linotype"/>
          <w:sz w:val="20"/>
          <w:szCs w:val="20"/>
        </w:rPr>
        <w:t xml:space="preserve">10 janvier </w:t>
      </w:r>
      <w:r w:rsidR="00573DF1" w:rsidRPr="00DF57F5">
        <w:rPr>
          <w:rFonts w:ascii="Palatino Linotype" w:hAnsi="Palatino Linotype"/>
          <w:sz w:val="20"/>
          <w:szCs w:val="20"/>
        </w:rPr>
        <w:t>2014, et le</w:t>
      </w:r>
      <w:r w:rsidR="00041D01" w:rsidRPr="00DF57F5">
        <w:rPr>
          <w:rFonts w:ascii="Palatino Linotype" w:hAnsi="Palatino Linotype"/>
          <w:sz w:val="20"/>
          <w:szCs w:val="20"/>
        </w:rPr>
        <w:t xml:space="preserve"> </w:t>
      </w:r>
      <w:r w:rsidR="00573DF1" w:rsidRPr="00DF57F5">
        <w:rPr>
          <w:rFonts w:ascii="Palatino Linotype" w:hAnsi="Palatino Linotype"/>
          <w:sz w:val="20"/>
          <w:szCs w:val="20"/>
        </w:rPr>
        <w:t>« </w:t>
      </w:r>
      <w:r w:rsidRPr="00DF57F5">
        <w:rPr>
          <w:rFonts w:ascii="Palatino Linotype" w:hAnsi="Palatino Linotype"/>
          <w:sz w:val="20"/>
          <w:szCs w:val="20"/>
        </w:rPr>
        <w:t>Updated Document Containing the Charges (“UDCC”)</w:t>
      </w:r>
      <w:r w:rsidR="00573DF1" w:rsidRPr="00DF57F5">
        <w:rPr>
          <w:rFonts w:ascii="Palatino Linotype" w:hAnsi="Palatino Linotype"/>
          <w:sz w:val="20"/>
          <w:szCs w:val="20"/>
        </w:rPr>
        <w:t> »</w:t>
      </w:r>
      <w:r w:rsidRPr="00DF57F5">
        <w:rPr>
          <w:rFonts w:ascii="Palatino Linotype" w:hAnsi="Palatino Linotype"/>
          <w:sz w:val="20"/>
          <w:szCs w:val="20"/>
        </w:rPr>
        <w:t xml:space="preserve"> ICC-01/04-02/06-458-AnxA</w:t>
      </w:r>
      <w:r w:rsidR="00573DF1" w:rsidRPr="00DF57F5">
        <w:rPr>
          <w:rFonts w:ascii="Palatino Linotype" w:hAnsi="Palatino Linotype"/>
          <w:sz w:val="20"/>
          <w:szCs w:val="20"/>
        </w:rPr>
        <w:t>, 16 février 2015</w:t>
      </w:r>
      <w:r w:rsidRPr="00DF57F5">
        <w:rPr>
          <w:rFonts w:ascii="Palatino Linotype" w:hAnsi="Palatino Linotype"/>
          <w:sz w:val="20"/>
          <w:szCs w:val="20"/>
        </w:rPr>
        <w:t xml:space="preserve">. </w:t>
      </w:r>
    </w:p>
    <w:p w14:paraId="733526A6" w14:textId="51B49FCD" w:rsidR="00655204" w:rsidRPr="00DF57F5" w:rsidRDefault="00655204" w:rsidP="0053066C">
      <w:pPr>
        <w:jc w:val="both"/>
        <w:rPr>
          <w:rFonts w:ascii="Palatino Linotype" w:hAnsi="Palatino Linotype" w:cs="Times New Roman"/>
          <w:sz w:val="20"/>
          <w:szCs w:val="20"/>
          <w:lang w:val="en-CA" w:eastAsia="fr-FR"/>
        </w:rPr>
      </w:pPr>
      <w:r w:rsidRPr="00DF57F5">
        <w:rPr>
          <w:rFonts w:ascii="Palatino Linotype" w:hAnsi="Palatino Linotype" w:cs="Times New Roman"/>
          <w:i/>
          <w:sz w:val="20"/>
          <w:szCs w:val="20"/>
          <w:lang w:val="en-CA" w:eastAsia="fr-FR"/>
        </w:rPr>
        <w:t>Le Procureur c. Bosco Ntaganda</w:t>
      </w:r>
      <w:r w:rsidRPr="00DF57F5">
        <w:rPr>
          <w:rFonts w:ascii="Palatino Linotype" w:hAnsi="Palatino Linotype" w:cs="Times New Roman"/>
          <w:sz w:val="20"/>
          <w:szCs w:val="20"/>
          <w:lang w:val="en-CA" w:eastAsia="fr-FR"/>
        </w:rPr>
        <w:t xml:space="preserve">, </w:t>
      </w:r>
      <w:r w:rsidR="00573DF1" w:rsidRPr="00DF57F5">
        <w:rPr>
          <w:rFonts w:ascii="Palatino Linotype" w:hAnsi="Palatino Linotype" w:cs="Times New Roman"/>
          <w:sz w:val="20"/>
          <w:szCs w:val="20"/>
          <w:lang w:val="en-CA" w:eastAsia="fr-FR"/>
        </w:rPr>
        <w:t>« </w:t>
      </w:r>
      <w:r w:rsidRPr="00DF57F5">
        <w:rPr>
          <w:rFonts w:ascii="Palatino Linotype" w:hAnsi="Palatino Linotype" w:cs="Times New Roman"/>
          <w:sz w:val="20"/>
          <w:szCs w:val="20"/>
          <w:lang w:val="en-CA" w:eastAsia="fr-FR"/>
        </w:rPr>
        <w:t>Decision Pursuant to Article 61(7)(a) and (b) of the Rome Statute on the Charges of the Prosecutor Against Bosco Ntaganda</w:t>
      </w:r>
      <w:r w:rsidR="00573DF1" w:rsidRPr="00DF57F5">
        <w:rPr>
          <w:rFonts w:ascii="Palatino Linotype" w:hAnsi="Palatino Linotype" w:cs="Times New Roman"/>
          <w:sz w:val="20"/>
          <w:szCs w:val="20"/>
          <w:lang w:val="en-CA" w:eastAsia="fr-FR"/>
        </w:rPr>
        <w:t> »</w:t>
      </w:r>
      <w:r w:rsidRPr="00DF57F5">
        <w:rPr>
          <w:rFonts w:ascii="Palatino Linotype" w:hAnsi="Palatino Linotype" w:cs="Times New Roman"/>
          <w:sz w:val="20"/>
          <w:szCs w:val="20"/>
          <w:lang w:val="en-CA" w:eastAsia="fr-FR"/>
        </w:rPr>
        <w:t xml:space="preserve"> ICC-01/04-02/06-309, 9 juin 2014, para</w:t>
      </w:r>
      <w:r w:rsidR="00573DF1" w:rsidRPr="00DF57F5">
        <w:rPr>
          <w:rFonts w:ascii="Palatino Linotype" w:hAnsi="Palatino Linotype" w:cs="Times New Roman"/>
          <w:sz w:val="20"/>
          <w:szCs w:val="20"/>
          <w:lang w:val="en-CA" w:eastAsia="fr-FR"/>
        </w:rPr>
        <w:t>s</w:t>
      </w:r>
      <w:r w:rsidRPr="00DF57F5">
        <w:rPr>
          <w:rFonts w:ascii="Palatino Linotype" w:hAnsi="Palatino Linotype" w:cs="Times New Roman"/>
          <w:sz w:val="20"/>
          <w:szCs w:val="20"/>
          <w:lang w:val="en-CA" w:eastAsia="fr-FR"/>
        </w:rPr>
        <w:t xml:space="preserve"> 76 et ss.</w:t>
      </w:r>
    </w:p>
  </w:footnote>
  <w:footnote w:id="5">
    <w:p w14:paraId="6790BA90" w14:textId="2001A778" w:rsidR="00491CAA" w:rsidRPr="00DF57F5" w:rsidRDefault="00491CAA" w:rsidP="0053066C">
      <w:pPr>
        <w:pStyle w:val="FootnoteText"/>
        <w:jc w:val="both"/>
        <w:rPr>
          <w:rFonts w:ascii="Palatino Linotype" w:hAnsi="Palatino Linotype"/>
          <w:sz w:val="20"/>
          <w:szCs w:val="20"/>
        </w:rPr>
      </w:pPr>
      <w:r w:rsidRPr="00DF57F5">
        <w:rPr>
          <w:rStyle w:val="FootnoteReference"/>
          <w:rFonts w:ascii="Palatino Linotype" w:hAnsi="Palatino Linotype"/>
          <w:sz w:val="20"/>
          <w:szCs w:val="20"/>
        </w:rPr>
        <w:footnoteRef/>
      </w:r>
      <w:r w:rsidRPr="00DF57F5">
        <w:rPr>
          <w:rFonts w:ascii="Palatino Linotype" w:hAnsi="Palatino Linotype"/>
          <w:sz w:val="20"/>
          <w:szCs w:val="20"/>
        </w:rPr>
        <w:t xml:space="preserve"> La Chambre de première instance avait initialement rejeté la demande formulée par la Défense, pour ensuite être ordonnée par la Chambre d’appel de rendre une nouvelle décision. La Défense conteste désormais la dernière décision rendue par la Chambre de première instance. Le Procureur et les représentants des victimes ont répondu aux soumissions de la Défense.</w:t>
      </w:r>
    </w:p>
  </w:footnote>
  <w:footnote w:id="6">
    <w:p w14:paraId="0961F7EB" w14:textId="77777777" w:rsidR="00A80183" w:rsidRPr="00DF57F5" w:rsidRDefault="00A80183" w:rsidP="00A80183">
      <w:pPr>
        <w:pStyle w:val="p1"/>
        <w:jc w:val="both"/>
        <w:rPr>
          <w:rFonts w:ascii="Palatino Linotype" w:hAnsi="Palatino Linotype"/>
          <w:sz w:val="20"/>
          <w:szCs w:val="20"/>
          <w:lang w:val="en-US"/>
        </w:rPr>
      </w:pPr>
      <w:r w:rsidRPr="00DF57F5">
        <w:rPr>
          <w:rStyle w:val="FootnoteReference"/>
          <w:rFonts w:ascii="Palatino Linotype" w:hAnsi="Palatino Linotype"/>
          <w:sz w:val="20"/>
          <w:szCs w:val="20"/>
          <w:lang w:val="fr-CA"/>
        </w:rPr>
        <w:footnoteRef/>
      </w:r>
      <w:r w:rsidRPr="00DF57F5">
        <w:rPr>
          <w:rFonts w:ascii="Palatino Linotype" w:hAnsi="Palatino Linotype"/>
          <w:sz w:val="20"/>
          <w:szCs w:val="20"/>
          <w:lang w:val="en-US"/>
        </w:rPr>
        <w:t xml:space="preserve"> </w:t>
      </w:r>
      <w:r w:rsidRPr="00DF57F5">
        <w:rPr>
          <w:rFonts w:ascii="Palatino Linotype" w:hAnsi="Palatino Linotype"/>
          <w:i/>
          <w:sz w:val="20"/>
          <w:szCs w:val="20"/>
          <w:lang w:val="en-US"/>
        </w:rPr>
        <w:t>Le Procureur c Bosco Ntaganda</w:t>
      </w:r>
      <w:r w:rsidRPr="00DF57F5">
        <w:rPr>
          <w:rFonts w:ascii="Palatino Linotype" w:hAnsi="Palatino Linotype"/>
          <w:sz w:val="20"/>
          <w:szCs w:val="20"/>
          <w:lang w:val="en-US"/>
        </w:rPr>
        <w:t>, «</w:t>
      </w:r>
      <w:r w:rsidRPr="00DF57F5">
        <w:rPr>
          <w:rFonts w:ascii="Palatino Linotype" w:hAnsi="Palatino Linotype"/>
          <w:bCs/>
          <w:sz w:val="20"/>
          <w:szCs w:val="20"/>
          <w:lang w:val="en-US"/>
        </w:rPr>
        <w:t>Appeal from the Second decision on the Defence’s challenge to the jurisdiction of the Court in respect of Counts 6 and 9 »,</w:t>
      </w:r>
      <w:r w:rsidRPr="00DF57F5">
        <w:rPr>
          <w:rFonts w:ascii="Palatino Linotype" w:hAnsi="Palatino Linotype"/>
          <w:b/>
          <w:bCs/>
          <w:sz w:val="20"/>
          <w:szCs w:val="20"/>
          <w:lang w:val="en-US"/>
        </w:rPr>
        <w:t xml:space="preserve"> </w:t>
      </w:r>
      <w:r w:rsidRPr="00DF57F5">
        <w:rPr>
          <w:rFonts w:ascii="Palatino Linotype" w:hAnsi="Palatino Linotype"/>
          <w:sz w:val="20"/>
          <w:szCs w:val="20"/>
          <w:lang w:val="en-US"/>
        </w:rPr>
        <w:t xml:space="preserve">ICC-01/04-02/06-1754, 26 janvier 2017. </w:t>
      </w:r>
    </w:p>
  </w:footnote>
  <w:footnote w:id="7">
    <w:p w14:paraId="0B7BC074" w14:textId="57955395" w:rsidR="00770BEB" w:rsidRPr="00DF57F5" w:rsidRDefault="00770BEB" w:rsidP="0053066C">
      <w:pPr>
        <w:pStyle w:val="FootnoteText"/>
        <w:jc w:val="both"/>
        <w:rPr>
          <w:rFonts w:ascii="Palatino Linotype" w:hAnsi="Palatino Linotype"/>
          <w:sz w:val="20"/>
          <w:szCs w:val="20"/>
          <w:lang w:val="fr-CA"/>
        </w:rPr>
      </w:pPr>
      <w:r w:rsidRPr="00DF57F5">
        <w:rPr>
          <w:rStyle w:val="FootnoteReference"/>
          <w:rFonts w:ascii="Palatino Linotype" w:hAnsi="Palatino Linotype"/>
          <w:sz w:val="20"/>
          <w:szCs w:val="20"/>
        </w:rPr>
        <w:footnoteRef/>
      </w:r>
      <w:r w:rsidRPr="00DF57F5">
        <w:rPr>
          <w:rFonts w:ascii="Palatino Linotype" w:hAnsi="Palatino Linotype"/>
          <w:sz w:val="20"/>
          <w:szCs w:val="20"/>
        </w:rPr>
        <w:t xml:space="preserve"> </w:t>
      </w:r>
      <w:r w:rsidR="00C4061D" w:rsidRPr="00DF57F5">
        <w:rPr>
          <w:rFonts w:ascii="Palatino Linotype" w:hAnsi="Palatino Linotype"/>
          <w:sz w:val="20"/>
          <w:szCs w:val="20"/>
          <w:lang w:val="fr-CA"/>
        </w:rPr>
        <w:t xml:space="preserve">Plaidoirie de la Défense lors de la Confirmation des charges, Transcription </w:t>
      </w:r>
      <w:r w:rsidR="009F1BC7" w:rsidRPr="00DF57F5">
        <w:rPr>
          <w:rFonts w:ascii="Palatino Linotype" w:hAnsi="Palatino Linotype"/>
          <w:sz w:val="20"/>
          <w:szCs w:val="20"/>
          <w:lang w:val="fr-CA"/>
        </w:rPr>
        <w:t>du 13 février 2014, ICC-01/04-02/06-T, page 27.</w:t>
      </w:r>
      <w:r w:rsidRPr="00DF57F5">
        <w:rPr>
          <w:rFonts w:ascii="Palatino Linotype" w:hAnsi="Palatino Linotype"/>
          <w:sz w:val="20"/>
          <w:szCs w:val="20"/>
          <w:lang w:val="fr-CA"/>
        </w:rPr>
        <w:t xml:space="preserve"> </w:t>
      </w:r>
    </w:p>
  </w:footnote>
  <w:footnote w:id="8">
    <w:p w14:paraId="2C1CDF85" w14:textId="7F9A4BEE" w:rsidR="009A2D4B" w:rsidRPr="00DF57F5" w:rsidRDefault="009A2D4B" w:rsidP="0053066C">
      <w:pPr>
        <w:pStyle w:val="p1"/>
        <w:jc w:val="both"/>
        <w:rPr>
          <w:rFonts w:ascii="Palatino Linotype" w:hAnsi="Palatino Linotype"/>
          <w:sz w:val="20"/>
          <w:szCs w:val="20"/>
          <w:lang w:val="en-US"/>
        </w:rPr>
      </w:pPr>
      <w:r w:rsidRPr="00DF57F5">
        <w:rPr>
          <w:rStyle w:val="FootnoteReference"/>
          <w:rFonts w:ascii="Palatino Linotype" w:hAnsi="Palatino Linotype"/>
          <w:sz w:val="20"/>
          <w:szCs w:val="20"/>
          <w:lang w:val="fr-CA"/>
        </w:rPr>
        <w:footnoteRef/>
      </w:r>
      <w:r w:rsidRPr="00DF57F5">
        <w:rPr>
          <w:rFonts w:ascii="Palatino Linotype" w:hAnsi="Palatino Linotype"/>
          <w:sz w:val="20"/>
          <w:szCs w:val="20"/>
          <w:lang w:val="en-US"/>
        </w:rPr>
        <w:t xml:space="preserve"> </w:t>
      </w:r>
      <w:r w:rsidR="006333E8" w:rsidRPr="00DF57F5">
        <w:rPr>
          <w:rFonts w:ascii="Palatino Linotype" w:hAnsi="Palatino Linotype"/>
          <w:i/>
          <w:sz w:val="20"/>
          <w:szCs w:val="20"/>
          <w:lang w:val="en-US"/>
        </w:rPr>
        <w:t>Le Procureur c Bosco Ntaganda</w:t>
      </w:r>
      <w:r w:rsidR="006333E8" w:rsidRPr="00DF57F5">
        <w:rPr>
          <w:rFonts w:ascii="Palatino Linotype" w:hAnsi="Palatino Linotype"/>
          <w:sz w:val="20"/>
          <w:szCs w:val="20"/>
          <w:lang w:val="en-US"/>
        </w:rPr>
        <w:t>, « Application on behalf of Mr Ntaganda challenging the jurisdiction of the Court in respect of Counts 6 and 9 of the Document containing the charges »</w:t>
      </w:r>
      <w:r w:rsidR="00D10BFA" w:rsidRPr="00DF57F5">
        <w:rPr>
          <w:rFonts w:ascii="Palatino Linotype" w:hAnsi="Palatino Linotype"/>
          <w:sz w:val="20"/>
          <w:szCs w:val="20"/>
          <w:lang w:val="en-US"/>
        </w:rPr>
        <w:t xml:space="preserve"> ICC-01/04-02/06-804, </w:t>
      </w:r>
      <w:r w:rsidR="006333E8" w:rsidRPr="00DF57F5">
        <w:rPr>
          <w:rFonts w:ascii="Palatino Linotype" w:hAnsi="Palatino Linotype"/>
          <w:sz w:val="20"/>
          <w:szCs w:val="20"/>
          <w:lang w:val="en-US"/>
        </w:rPr>
        <w:t xml:space="preserve">1er septembre 2015, </w:t>
      </w:r>
      <w:r w:rsidR="00D10BFA" w:rsidRPr="00DF57F5">
        <w:rPr>
          <w:rFonts w:ascii="Palatino Linotype" w:hAnsi="Palatino Linotype"/>
          <w:sz w:val="20"/>
          <w:szCs w:val="20"/>
          <w:lang w:val="en-US"/>
        </w:rPr>
        <w:t>paras 23-25.</w:t>
      </w:r>
      <w:r w:rsidR="00A1785C" w:rsidRPr="00DF57F5">
        <w:rPr>
          <w:rFonts w:ascii="Palatino Linotype" w:hAnsi="Palatino Linotype"/>
          <w:sz w:val="20"/>
          <w:szCs w:val="20"/>
          <w:lang w:val="en-US"/>
        </w:rPr>
        <w:t xml:space="preserve"> Et</w:t>
      </w:r>
      <w:r w:rsidR="007577D3" w:rsidRPr="00DF57F5">
        <w:rPr>
          <w:rFonts w:ascii="Palatino Linotype" w:hAnsi="Palatino Linotype"/>
          <w:sz w:val="20"/>
          <w:szCs w:val="20"/>
          <w:lang w:val="en-US"/>
        </w:rPr>
        <w:t xml:space="preserve"> </w:t>
      </w:r>
      <w:r w:rsidR="007577D3" w:rsidRPr="00DF57F5">
        <w:rPr>
          <w:rFonts w:ascii="Palatino Linotype" w:hAnsi="Palatino Linotype"/>
          <w:i/>
          <w:sz w:val="20"/>
          <w:szCs w:val="20"/>
          <w:lang w:val="en-US"/>
        </w:rPr>
        <w:t>Le Procureur c Bosco Ntaganda</w:t>
      </w:r>
      <w:r w:rsidR="007577D3" w:rsidRPr="00DF57F5">
        <w:rPr>
          <w:rFonts w:ascii="Palatino Linotype" w:hAnsi="Palatino Linotype"/>
          <w:sz w:val="20"/>
          <w:szCs w:val="20"/>
          <w:lang w:val="en-US"/>
        </w:rPr>
        <w:t>, « Consolidated submissions challenging jurisdiction of the Court in respect of Counts 6 and 9 of the Updated Document containing the charges »</w:t>
      </w:r>
      <w:r w:rsidR="00A1785C" w:rsidRPr="00DF57F5">
        <w:rPr>
          <w:rFonts w:ascii="Palatino Linotype" w:hAnsi="Palatino Linotype"/>
          <w:sz w:val="20"/>
          <w:szCs w:val="20"/>
          <w:lang w:val="en-US"/>
        </w:rPr>
        <w:t xml:space="preserve"> ICC-01/04-02/06-1256,</w:t>
      </w:r>
      <w:r w:rsidR="007577D3" w:rsidRPr="00DF57F5">
        <w:rPr>
          <w:rFonts w:ascii="Palatino Linotype" w:hAnsi="Palatino Linotype"/>
          <w:sz w:val="20"/>
          <w:szCs w:val="20"/>
          <w:lang w:val="en-US"/>
        </w:rPr>
        <w:t xml:space="preserve"> 7 avril 2016,</w:t>
      </w:r>
      <w:r w:rsidR="00A1785C" w:rsidRPr="00DF57F5">
        <w:rPr>
          <w:rFonts w:ascii="Palatino Linotype" w:hAnsi="Palatino Linotype"/>
          <w:sz w:val="20"/>
          <w:szCs w:val="20"/>
          <w:lang w:val="en-US"/>
        </w:rPr>
        <w:t xml:space="preserve"> paras 15-39.</w:t>
      </w:r>
      <w:r w:rsidR="007577D3" w:rsidRPr="00DF57F5">
        <w:rPr>
          <w:rFonts w:ascii="Palatino Linotype" w:hAnsi="Palatino Linotype"/>
          <w:sz w:val="20"/>
          <w:szCs w:val="20"/>
          <w:lang w:val="en-US"/>
        </w:rPr>
        <w:t xml:space="preserve"> (“Soumissions consolidée de la Défense”)</w:t>
      </w:r>
    </w:p>
  </w:footnote>
  <w:footnote w:id="9">
    <w:p w14:paraId="34188EE9" w14:textId="312FEEB1" w:rsidR="003A2CA8" w:rsidRPr="00DF57F5" w:rsidRDefault="003A2CA8" w:rsidP="0053066C">
      <w:pPr>
        <w:pStyle w:val="FootnoteText"/>
        <w:jc w:val="both"/>
        <w:rPr>
          <w:rFonts w:ascii="Palatino Linotype" w:hAnsi="Palatino Linotype"/>
          <w:sz w:val="20"/>
          <w:szCs w:val="20"/>
          <w:lang w:val="en-US"/>
        </w:rPr>
      </w:pPr>
      <w:r w:rsidRPr="00DF57F5">
        <w:rPr>
          <w:rStyle w:val="FootnoteReference"/>
          <w:rFonts w:ascii="Palatino Linotype" w:hAnsi="Palatino Linotype"/>
          <w:sz w:val="20"/>
          <w:szCs w:val="20"/>
          <w:lang w:val="fr-CA"/>
        </w:rPr>
        <w:footnoteRef/>
      </w:r>
      <w:r w:rsidRPr="00DF57F5">
        <w:rPr>
          <w:rFonts w:ascii="Palatino Linotype" w:hAnsi="Palatino Linotype"/>
          <w:sz w:val="20"/>
          <w:szCs w:val="20"/>
          <w:lang w:val="en-US"/>
        </w:rPr>
        <w:t xml:space="preserve"> </w:t>
      </w:r>
      <w:r w:rsidR="006333E8" w:rsidRPr="00DF57F5">
        <w:rPr>
          <w:rFonts w:ascii="Palatino Linotype" w:hAnsi="Palatino Linotype"/>
          <w:i/>
          <w:sz w:val="20"/>
          <w:szCs w:val="20"/>
          <w:lang w:val="en-US"/>
        </w:rPr>
        <w:t>Le Procureur c Bosco Ntaganda</w:t>
      </w:r>
      <w:r w:rsidR="006333E8" w:rsidRPr="00DF57F5">
        <w:rPr>
          <w:rFonts w:ascii="Palatino Linotype" w:hAnsi="Palatino Linotype"/>
          <w:sz w:val="20"/>
          <w:szCs w:val="20"/>
          <w:lang w:val="en-US"/>
        </w:rPr>
        <w:t>, « Prosecution Response to the ‘Application on behalf of Mr Ntaganda challenging the jurisdiction of the Court in respect of Counts 6 and 9 of the Document containing the charges’ » (“Réponse consolidée du Procureur”)</w:t>
      </w:r>
      <w:r w:rsidRPr="00DF57F5">
        <w:rPr>
          <w:rFonts w:ascii="Palatino Linotype" w:hAnsi="Palatino Linotype"/>
          <w:sz w:val="20"/>
          <w:szCs w:val="20"/>
          <w:lang w:val="en-US"/>
        </w:rPr>
        <w:t>, paras 27-32.</w:t>
      </w:r>
    </w:p>
  </w:footnote>
  <w:footnote w:id="10">
    <w:p w14:paraId="6B6DB304" w14:textId="59B91857" w:rsidR="003A2CA8" w:rsidRPr="00DF57F5" w:rsidRDefault="003A2CA8" w:rsidP="0053066C">
      <w:pPr>
        <w:pStyle w:val="FootnoteText"/>
        <w:jc w:val="both"/>
        <w:rPr>
          <w:rFonts w:ascii="Palatino Linotype" w:hAnsi="Palatino Linotype"/>
          <w:sz w:val="20"/>
          <w:szCs w:val="20"/>
        </w:rPr>
      </w:pPr>
      <w:r w:rsidRPr="00DF57F5">
        <w:rPr>
          <w:rStyle w:val="FootnoteReference"/>
          <w:rFonts w:ascii="Palatino Linotype" w:hAnsi="Palatino Linotype"/>
          <w:sz w:val="20"/>
          <w:szCs w:val="20"/>
        </w:rPr>
        <w:footnoteRef/>
      </w:r>
      <w:r w:rsidRPr="00DF57F5">
        <w:rPr>
          <w:rFonts w:ascii="Palatino Linotype" w:hAnsi="Palatino Linotype"/>
          <w:sz w:val="20"/>
          <w:szCs w:val="20"/>
        </w:rPr>
        <w:t xml:space="preserve"> </w:t>
      </w:r>
      <w:r w:rsidR="006333E8" w:rsidRPr="00DF57F5">
        <w:rPr>
          <w:rFonts w:ascii="Palatino Linotype" w:hAnsi="Palatino Linotype"/>
          <w:sz w:val="20"/>
          <w:szCs w:val="20"/>
        </w:rPr>
        <w:t>Réponse consolidée du Procureur</w:t>
      </w:r>
      <w:r w:rsidRPr="00DF57F5">
        <w:rPr>
          <w:rFonts w:ascii="Palatino Linotype" w:hAnsi="Palatino Linotype"/>
          <w:sz w:val="20"/>
          <w:szCs w:val="20"/>
        </w:rPr>
        <w:t>, paras 41-49.</w:t>
      </w:r>
    </w:p>
  </w:footnote>
  <w:footnote w:id="11">
    <w:p w14:paraId="1AD4C332" w14:textId="38130F1B" w:rsidR="003A2CA8" w:rsidRPr="00DF57F5" w:rsidRDefault="003A2CA8" w:rsidP="0053066C">
      <w:pPr>
        <w:pStyle w:val="FootnoteText"/>
        <w:jc w:val="both"/>
        <w:rPr>
          <w:rFonts w:ascii="Palatino Linotype" w:hAnsi="Palatino Linotype"/>
          <w:sz w:val="20"/>
          <w:szCs w:val="20"/>
        </w:rPr>
      </w:pPr>
      <w:r w:rsidRPr="00DF57F5">
        <w:rPr>
          <w:rStyle w:val="FootnoteReference"/>
          <w:rFonts w:ascii="Palatino Linotype" w:hAnsi="Palatino Linotype"/>
          <w:sz w:val="20"/>
          <w:szCs w:val="20"/>
        </w:rPr>
        <w:footnoteRef/>
      </w:r>
      <w:r w:rsidRPr="00DF57F5">
        <w:rPr>
          <w:rFonts w:ascii="Palatino Linotype" w:hAnsi="Palatino Linotype"/>
          <w:sz w:val="20"/>
          <w:szCs w:val="20"/>
        </w:rPr>
        <w:t xml:space="preserve"> </w:t>
      </w:r>
      <w:r w:rsidR="006333E8" w:rsidRPr="00DF57F5">
        <w:rPr>
          <w:rFonts w:ascii="Palatino Linotype" w:hAnsi="Palatino Linotype"/>
          <w:sz w:val="20"/>
          <w:szCs w:val="20"/>
        </w:rPr>
        <w:t>Réponse consolidée du Procureur</w:t>
      </w:r>
      <w:r w:rsidRPr="00DF57F5">
        <w:rPr>
          <w:rFonts w:ascii="Palatino Linotype" w:hAnsi="Palatino Linotype"/>
          <w:sz w:val="20"/>
          <w:szCs w:val="20"/>
        </w:rPr>
        <w:t>, paras 55-57.</w:t>
      </w:r>
    </w:p>
  </w:footnote>
  <w:footnote w:id="12">
    <w:p w14:paraId="43CF7C17" w14:textId="7F3469F3" w:rsidR="00F40E0C" w:rsidRPr="00DF57F5" w:rsidRDefault="00F40E0C" w:rsidP="0053066C">
      <w:pPr>
        <w:pStyle w:val="FootnoteText"/>
        <w:jc w:val="both"/>
        <w:rPr>
          <w:rFonts w:ascii="Palatino Linotype" w:hAnsi="Palatino Linotype"/>
          <w:sz w:val="20"/>
          <w:szCs w:val="20"/>
        </w:rPr>
      </w:pPr>
      <w:r w:rsidRPr="00DF57F5">
        <w:rPr>
          <w:rStyle w:val="FootnoteReference"/>
          <w:rFonts w:ascii="Palatino Linotype" w:hAnsi="Palatino Linotype"/>
          <w:sz w:val="20"/>
          <w:szCs w:val="20"/>
        </w:rPr>
        <w:footnoteRef/>
      </w:r>
      <w:r w:rsidRPr="00DF57F5">
        <w:rPr>
          <w:rFonts w:ascii="Palatino Linotype" w:hAnsi="Palatino Linotype"/>
          <w:sz w:val="20"/>
          <w:szCs w:val="20"/>
        </w:rPr>
        <w:t xml:space="preserve"> </w:t>
      </w:r>
      <w:r w:rsidR="006333E8" w:rsidRPr="00DF57F5">
        <w:rPr>
          <w:rFonts w:ascii="Palatino Linotype" w:hAnsi="Palatino Linotype"/>
          <w:sz w:val="20"/>
          <w:szCs w:val="20"/>
        </w:rPr>
        <w:t>Réponse consolidée du Procureur</w:t>
      </w:r>
      <w:r w:rsidRPr="00DF57F5">
        <w:rPr>
          <w:rFonts w:ascii="Palatino Linotype" w:hAnsi="Palatino Linotype"/>
          <w:sz w:val="20"/>
          <w:szCs w:val="20"/>
        </w:rPr>
        <w:t>, para 58.</w:t>
      </w:r>
    </w:p>
  </w:footnote>
  <w:footnote w:id="13">
    <w:p w14:paraId="1CCCA8D7" w14:textId="7C4E7833" w:rsidR="00442093" w:rsidRPr="00DF57F5" w:rsidRDefault="00442093" w:rsidP="0053066C">
      <w:pPr>
        <w:pStyle w:val="FootnoteText"/>
        <w:jc w:val="both"/>
        <w:rPr>
          <w:rFonts w:ascii="Palatino Linotype" w:hAnsi="Palatino Linotype"/>
          <w:sz w:val="20"/>
          <w:szCs w:val="20"/>
        </w:rPr>
      </w:pPr>
      <w:r w:rsidRPr="00DF57F5">
        <w:rPr>
          <w:rStyle w:val="FootnoteReference"/>
          <w:rFonts w:ascii="Palatino Linotype" w:hAnsi="Palatino Linotype"/>
          <w:sz w:val="20"/>
          <w:szCs w:val="20"/>
        </w:rPr>
        <w:footnoteRef/>
      </w:r>
      <w:r w:rsidR="007577D3" w:rsidRPr="00DF57F5">
        <w:rPr>
          <w:rFonts w:ascii="Palatino Linotype" w:hAnsi="Palatino Linotype"/>
          <w:sz w:val="20"/>
          <w:szCs w:val="20"/>
          <w:lang w:val="en-US"/>
        </w:rPr>
        <w:t xml:space="preserve"> </w:t>
      </w:r>
      <w:r w:rsidR="007577D3" w:rsidRPr="00DF57F5">
        <w:rPr>
          <w:rFonts w:ascii="Palatino Linotype" w:hAnsi="Palatino Linotype"/>
          <w:i/>
          <w:sz w:val="20"/>
          <w:szCs w:val="20"/>
          <w:lang w:val="en-US"/>
        </w:rPr>
        <w:t>Le Procureur c Bosco Ntaganda</w:t>
      </w:r>
      <w:r w:rsidRPr="00DF57F5">
        <w:rPr>
          <w:rFonts w:ascii="Palatino Linotype" w:hAnsi="Palatino Linotype"/>
          <w:sz w:val="20"/>
          <w:szCs w:val="20"/>
          <w:lang w:val="en-US"/>
        </w:rPr>
        <w:t>,</w:t>
      </w:r>
      <w:r w:rsidR="003E7245" w:rsidRPr="00DF57F5">
        <w:rPr>
          <w:rFonts w:ascii="Palatino Linotype" w:hAnsi="Palatino Linotype"/>
          <w:sz w:val="20"/>
          <w:szCs w:val="20"/>
          <w:lang w:val="en-US"/>
        </w:rPr>
        <w:t xml:space="preserve"> </w:t>
      </w:r>
      <w:r w:rsidR="007577D3" w:rsidRPr="00DF57F5">
        <w:rPr>
          <w:rFonts w:ascii="Palatino Linotype" w:hAnsi="Palatino Linotype"/>
          <w:sz w:val="20"/>
          <w:szCs w:val="20"/>
          <w:lang w:val="en-US"/>
        </w:rPr>
        <w:t xml:space="preserve">« Former child solders’ Response to the “Consolidated submissions challenging jurisdiction of the Court in respect of Count 6 and 9 of the Updated Document containing the charges” » </w:t>
      </w:r>
      <w:r w:rsidRPr="00DF57F5">
        <w:rPr>
          <w:rFonts w:ascii="Palatino Linotype" w:hAnsi="Palatino Linotype"/>
          <w:sz w:val="20"/>
          <w:szCs w:val="20"/>
          <w:lang w:val="en-US"/>
        </w:rPr>
        <w:t>ICC-01/04-02/06-1279, paras 19-20.</w:t>
      </w:r>
      <w:r w:rsidR="007577D3" w:rsidRPr="00DF57F5">
        <w:rPr>
          <w:rFonts w:ascii="Palatino Linotype" w:hAnsi="Palatino Linotype"/>
          <w:sz w:val="20"/>
          <w:szCs w:val="20"/>
          <w:lang w:val="en-US"/>
        </w:rPr>
        <w:t xml:space="preserve"> </w:t>
      </w:r>
      <w:r w:rsidR="007577D3" w:rsidRPr="00DF57F5">
        <w:rPr>
          <w:rFonts w:ascii="Palatino Linotype" w:hAnsi="Palatino Linotype"/>
          <w:sz w:val="20"/>
          <w:szCs w:val="20"/>
        </w:rPr>
        <w:t>(“Réponse consolidée du RLV”)</w:t>
      </w:r>
    </w:p>
  </w:footnote>
  <w:footnote w:id="14">
    <w:p w14:paraId="4C0D7C1A" w14:textId="65767398" w:rsidR="00335BAB" w:rsidRPr="00DF57F5" w:rsidRDefault="00335BAB" w:rsidP="0053066C">
      <w:pPr>
        <w:pStyle w:val="FootnoteText"/>
        <w:jc w:val="both"/>
        <w:rPr>
          <w:rFonts w:ascii="Palatino Linotype" w:hAnsi="Palatino Linotype"/>
          <w:sz w:val="20"/>
          <w:szCs w:val="20"/>
        </w:rPr>
      </w:pPr>
      <w:r w:rsidRPr="00DF57F5">
        <w:rPr>
          <w:rStyle w:val="FootnoteReference"/>
          <w:rFonts w:ascii="Palatino Linotype" w:hAnsi="Palatino Linotype"/>
          <w:sz w:val="20"/>
          <w:szCs w:val="20"/>
        </w:rPr>
        <w:footnoteRef/>
      </w:r>
      <w:r w:rsidRPr="00DF57F5">
        <w:rPr>
          <w:rFonts w:ascii="Palatino Linotype" w:hAnsi="Palatino Linotype"/>
          <w:sz w:val="20"/>
          <w:szCs w:val="20"/>
        </w:rPr>
        <w:t xml:space="preserve"> </w:t>
      </w:r>
      <w:r w:rsidR="007577D3" w:rsidRPr="00DF57F5">
        <w:rPr>
          <w:rFonts w:ascii="Palatino Linotype" w:hAnsi="Palatino Linotype"/>
          <w:sz w:val="20"/>
          <w:szCs w:val="20"/>
        </w:rPr>
        <w:t>Réponse consolidée du RLV</w:t>
      </w:r>
      <w:r w:rsidRPr="00DF57F5">
        <w:rPr>
          <w:rFonts w:ascii="Palatino Linotype" w:hAnsi="Palatino Linotype"/>
          <w:sz w:val="20"/>
          <w:szCs w:val="20"/>
        </w:rPr>
        <w:t>, ICC-01/04-02/06-1279, paras 24-27.</w:t>
      </w:r>
    </w:p>
  </w:footnote>
  <w:footnote w:id="15">
    <w:p w14:paraId="0FC2FF55" w14:textId="2C016B49" w:rsidR="003E7245" w:rsidRPr="00DF57F5" w:rsidRDefault="003E7245" w:rsidP="0053066C">
      <w:pPr>
        <w:pStyle w:val="FootnoteText"/>
        <w:jc w:val="both"/>
        <w:rPr>
          <w:rFonts w:ascii="Palatino Linotype" w:hAnsi="Palatino Linotype"/>
          <w:sz w:val="20"/>
          <w:szCs w:val="20"/>
        </w:rPr>
      </w:pPr>
      <w:r w:rsidRPr="00DF57F5">
        <w:rPr>
          <w:rStyle w:val="FootnoteReference"/>
          <w:rFonts w:ascii="Palatino Linotype" w:hAnsi="Palatino Linotype"/>
          <w:sz w:val="20"/>
          <w:szCs w:val="20"/>
        </w:rPr>
        <w:footnoteRef/>
      </w:r>
      <w:r w:rsidRPr="00DF57F5">
        <w:rPr>
          <w:rFonts w:ascii="Palatino Linotype" w:hAnsi="Palatino Linotype"/>
          <w:sz w:val="20"/>
          <w:szCs w:val="20"/>
        </w:rPr>
        <w:t xml:space="preserve"> </w:t>
      </w:r>
      <w:r w:rsidR="007577D3" w:rsidRPr="00DF57F5">
        <w:rPr>
          <w:rFonts w:ascii="Palatino Linotype" w:hAnsi="Palatino Linotype"/>
          <w:sz w:val="20"/>
          <w:szCs w:val="20"/>
        </w:rPr>
        <w:t>Réponse consolidée du RLV</w:t>
      </w:r>
      <w:r w:rsidRPr="00DF57F5">
        <w:rPr>
          <w:rFonts w:ascii="Palatino Linotype" w:hAnsi="Palatino Linotype"/>
          <w:sz w:val="20"/>
          <w:szCs w:val="20"/>
        </w:rPr>
        <w:t xml:space="preserve">, ICC-01/04-02/06-1279, </w:t>
      </w:r>
      <w:r w:rsidR="00335BAB" w:rsidRPr="00DF57F5">
        <w:rPr>
          <w:rFonts w:ascii="Palatino Linotype" w:hAnsi="Palatino Linotype"/>
          <w:sz w:val="20"/>
          <w:szCs w:val="20"/>
        </w:rPr>
        <w:t>paras 28-34.</w:t>
      </w:r>
    </w:p>
  </w:footnote>
  <w:footnote w:id="16">
    <w:p w14:paraId="5341712A" w14:textId="7E188E86" w:rsidR="00E04FA9" w:rsidRPr="00DF57F5" w:rsidRDefault="00A27E5C" w:rsidP="0053066C">
      <w:pPr>
        <w:pStyle w:val="FootnoteText"/>
        <w:jc w:val="both"/>
        <w:rPr>
          <w:rFonts w:ascii="Palatino Linotype" w:hAnsi="Palatino Linotype"/>
          <w:sz w:val="20"/>
          <w:szCs w:val="20"/>
        </w:rPr>
      </w:pPr>
      <w:r w:rsidRPr="00DF57F5">
        <w:rPr>
          <w:rStyle w:val="FootnoteReference"/>
          <w:rFonts w:ascii="Palatino Linotype" w:hAnsi="Palatino Linotype"/>
          <w:sz w:val="20"/>
          <w:szCs w:val="20"/>
        </w:rPr>
        <w:footnoteRef/>
      </w:r>
      <w:r w:rsidR="007577D3" w:rsidRPr="00DF57F5">
        <w:rPr>
          <w:rFonts w:ascii="Palatino Linotype" w:hAnsi="Palatino Linotype"/>
          <w:sz w:val="20"/>
          <w:szCs w:val="20"/>
        </w:rPr>
        <w:t xml:space="preserve"> Seconde Décision</w:t>
      </w:r>
      <w:r w:rsidR="00E04FA9" w:rsidRPr="00DF57F5">
        <w:rPr>
          <w:rFonts w:ascii="Palatino Linotype" w:hAnsi="Palatino Linotype"/>
          <w:sz w:val="20"/>
          <w:szCs w:val="20"/>
        </w:rPr>
        <w:t>, para 37</w:t>
      </w:r>
      <w:r w:rsidR="009F7686" w:rsidRPr="00DF57F5">
        <w:rPr>
          <w:rFonts w:ascii="Palatino Linotype" w:hAnsi="Palatino Linotype"/>
          <w:sz w:val="20"/>
          <w:szCs w:val="20"/>
        </w:rPr>
        <w:t xml:space="preserve"> et 44</w:t>
      </w:r>
      <w:r w:rsidR="00E04FA9" w:rsidRPr="00DF57F5">
        <w:rPr>
          <w:rFonts w:ascii="Palatino Linotype" w:hAnsi="Palatino Linotype"/>
          <w:sz w:val="20"/>
          <w:szCs w:val="20"/>
        </w:rPr>
        <w:t>.</w:t>
      </w:r>
    </w:p>
  </w:footnote>
  <w:footnote w:id="17">
    <w:p w14:paraId="1FB084C5" w14:textId="0754AA84" w:rsidR="00ED066B" w:rsidRPr="00DF57F5" w:rsidRDefault="00ED066B" w:rsidP="0053066C">
      <w:pPr>
        <w:pStyle w:val="FootnoteText"/>
        <w:jc w:val="both"/>
        <w:rPr>
          <w:rFonts w:ascii="Palatino Linotype" w:hAnsi="Palatino Linotype"/>
          <w:sz w:val="20"/>
          <w:szCs w:val="20"/>
        </w:rPr>
      </w:pPr>
      <w:r w:rsidRPr="00DF57F5">
        <w:rPr>
          <w:rStyle w:val="FootnoteReference"/>
          <w:rFonts w:ascii="Palatino Linotype" w:hAnsi="Palatino Linotype"/>
          <w:sz w:val="20"/>
          <w:szCs w:val="20"/>
        </w:rPr>
        <w:footnoteRef/>
      </w:r>
      <w:r w:rsidRPr="00DF57F5">
        <w:rPr>
          <w:rFonts w:ascii="Palatino Linotype" w:hAnsi="Palatino Linotype"/>
          <w:sz w:val="20"/>
          <w:szCs w:val="20"/>
        </w:rPr>
        <w:t xml:space="preserve"> La Chambre de première instance a également considéré les crimes de guerre commis en contexte de conflit armé international, puisqu’elle note que le conflit pourrait toujours faire l’objet d’une requalification, de non-international à international. </w:t>
      </w:r>
    </w:p>
  </w:footnote>
  <w:footnote w:id="18">
    <w:p w14:paraId="252FC958" w14:textId="7564D988" w:rsidR="009F7686" w:rsidRPr="00DF57F5" w:rsidRDefault="009F7686" w:rsidP="0053066C">
      <w:pPr>
        <w:pStyle w:val="FootnoteText"/>
        <w:jc w:val="both"/>
        <w:rPr>
          <w:rFonts w:ascii="Palatino Linotype" w:hAnsi="Palatino Linotype"/>
          <w:sz w:val="20"/>
          <w:szCs w:val="20"/>
        </w:rPr>
      </w:pPr>
      <w:r w:rsidRPr="00DF57F5">
        <w:rPr>
          <w:rStyle w:val="FootnoteReference"/>
          <w:rFonts w:ascii="Palatino Linotype" w:hAnsi="Palatino Linotype"/>
          <w:sz w:val="20"/>
          <w:szCs w:val="20"/>
        </w:rPr>
        <w:footnoteRef/>
      </w:r>
      <w:r w:rsidR="007577D3" w:rsidRPr="00DF57F5">
        <w:rPr>
          <w:rFonts w:ascii="Palatino Linotype" w:hAnsi="Palatino Linotype"/>
          <w:sz w:val="20"/>
          <w:szCs w:val="20"/>
        </w:rPr>
        <w:t xml:space="preserve"> Seconde Décision</w:t>
      </w:r>
      <w:r w:rsidRPr="00DF57F5">
        <w:rPr>
          <w:rFonts w:ascii="Palatino Linotype" w:hAnsi="Palatino Linotype"/>
          <w:sz w:val="20"/>
          <w:szCs w:val="20"/>
        </w:rPr>
        <w:t>, paras 41-42.</w:t>
      </w:r>
    </w:p>
  </w:footnote>
  <w:footnote w:id="19">
    <w:p w14:paraId="116D1D54" w14:textId="71E8722C" w:rsidR="00944907" w:rsidRPr="00DF57F5" w:rsidRDefault="00944907" w:rsidP="0053066C">
      <w:pPr>
        <w:pStyle w:val="FootnoteText"/>
        <w:jc w:val="both"/>
        <w:rPr>
          <w:rFonts w:ascii="Palatino Linotype" w:hAnsi="Palatino Linotype"/>
          <w:sz w:val="20"/>
          <w:szCs w:val="20"/>
        </w:rPr>
      </w:pPr>
      <w:r w:rsidRPr="00DF57F5">
        <w:rPr>
          <w:rStyle w:val="FootnoteReference"/>
          <w:rFonts w:ascii="Palatino Linotype" w:hAnsi="Palatino Linotype"/>
          <w:sz w:val="20"/>
          <w:szCs w:val="20"/>
        </w:rPr>
        <w:footnoteRef/>
      </w:r>
      <w:r w:rsidR="007577D3" w:rsidRPr="00DF57F5">
        <w:rPr>
          <w:rFonts w:ascii="Palatino Linotype" w:hAnsi="Palatino Linotype"/>
          <w:sz w:val="20"/>
          <w:szCs w:val="20"/>
        </w:rPr>
        <w:t xml:space="preserve"> Seconde Décision</w:t>
      </w:r>
      <w:r w:rsidRPr="00DF57F5">
        <w:rPr>
          <w:rFonts w:ascii="Palatino Linotype" w:hAnsi="Palatino Linotype"/>
          <w:sz w:val="20"/>
          <w:szCs w:val="20"/>
        </w:rPr>
        <w:t>, para 53.</w:t>
      </w:r>
    </w:p>
  </w:footnote>
  <w:footnote w:id="20">
    <w:p w14:paraId="28A62A02" w14:textId="169045E2" w:rsidR="00074688" w:rsidRPr="00DF57F5" w:rsidRDefault="00074688" w:rsidP="007C0C5F">
      <w:pPr>
        <w:pStyle w:val="FootnoteText"/>
        <w:jc w:val="both"/>
        <w:rPr>
          <w:rFonts w:ascii="Palatino Linotype" w:hAnsi="Palatino Linotype"/>
          <w:sz w:val="20"/>
          <w:szCs w:val="20"/>
          <w:lang w:val="fr-CA"/>
        </w:rPr>
      </w:pPr>
      <w:r w:rsidRPr="00DF57F5">
        <w:rPr>
          <w:rStyle w:val="FootnoteReference"/>
          <w:rFonts w:ascii="Palatino Linotype" w:hAnsi="Palatino Linotype"/>
          <w:sz w:val="20"/>
          <w:szCs w:val="20"/>
          <w:lang w:val="fr-CA"/>
        </w:rPr>
        <w:footnoteRef/>
      </w:r>
      <w:r w:rsidRPr="00DF57F5">
        <w:rPr>
          <w:rFonts w:ascii="Palatino Linotype" w:hAnsi="Palatino Linotype"/>
          <w:sz w:val="20"/>
          <w:szCs w:val="20"/>
          <w:lang w:val="fr-CA"/>
        </w:rPr>
        <w:t xml:space="preserve"> </w:t>
      </w:r>
      <w:r w:rsidR="007577D3" w:rsidRPr="00DF57F5">
        <w:rPr>
          <w:rFonts w:ascii="Palatino Linotype" w:hAnsi="Palatino Linotype"/>
          <w:sz w:val="20"/>
          <w:szCs w:val="20"/>
          <w:lang w:val="fr-CA"/>
        </w:rPr>
        <w:t>Seconde Décision</w:t>
      </w:r>
      <w:r w:rsidRPr="00DF57F5">
        <w:rPr>
          <w:rFonts w:ascii="Palatino Linotype" w:hAnsi="Palatino Linotype"/>
          <w:sz w:val="20"/>
          <w:szCs w:val="20"/>
          <w:lang w:val="fr-CA"/>
        </w:rPr>
        <w:t>, para 45.</w:t>
      </w:r>
    </w:p>
  </w:footnote>
  <w:footnote w:id="21">
    <w:p w14:paraId="2DAF20A3" w14:textId="1C239E69" w:rsidR="00074688" w:rsidRPr="00DF57F5" w:rsidRDefault="00074688" w:rsidP="007C0C5F">
      <w:pPr>
        <w:pStyle w:val="FootnoteText"/>
        <w:jc w:val="both"/>
        <w:rPr>
          <w:rFonts w:ascii="Palatino Linotype" w:hAnsi="Palatino Linotype"/>
          <w:sz w:val="20"/>
          <w:szCs w:val="20"/>
          <w:lang w:val="fr-CA"/>
        </w:rPr>
      </w:pPr>
      <w:r w:rsidRPr="00DF57F5">
        <w:rPr>
          <w:rStyle w:val="FootnoteReference"/>
          <w:rFonts w:ascii="Palatino Linotype" w:hAnsi="Palatino Linotype"/>
          <w:sz w:val="20"/>
          <w:szCs w:val="20"/>
          <w:lang w:val="fr-CA"/>
        </w:rPr>
        <w:footnoteRef/>
      </w:r>
      <w:r w:rsidRPr="00DF57F5">
        <w:rPr>
          <w:rFonts w:ascii="Palatino Linotype" w:hAnsi="Palatino Linotype"/>
          <w:sz w:val="20"/>
          <w:szCs w:val="20"/>
          <w:lang w:val="fr-CA"/>
        </w:rPr>
        <w:t xml:space="preserve"> </w:t>
      </w:r>
      <w:r w:rsidR="007577D3" w:rsidRPr="00DF57F5">
        <w:rPr>
          <w:rFonts w:ascii="Palatino Linotype" w:hAnsi="Palatino Linotype"/>
          <w:sz w:val="20"/>
          <w:szCs w:val="20"/>
          <w:lang w:val="fr-CA"/>
        </w:rPr>
        <w:t>Seconde Décision</w:t>
      </w:r>
      <w:r w:rsidRPr="00DF57F5">
        <w:rPr>
          <w:rFonts w:ascii="Palatino Linotype" w:hAnsi="Palatino Linotype"/>
          <w:sz w:val="20"/>
          <w:szCs w:val="20"/>
          <w:lang w:val="fr-CA"/>
        </w:rPr>
        <w:t>, para</w:t>
      </w:r>
      <w:r w:rsidR="00B3347B" w:rsidRPr="00DF57F5">
        <w:rPr>
          <w:rFonts w:ascii="Palatino Linotype" w:hAnsi="Palatino Linotype"/>
          <w:sz w:val="20"/>
          <w:szCs w:val="20"/>
          <w:lang w:val="fr-CA"/>
        </w:rPr>
        <w:t>s</w:t>
      </w:r>
      <w:r w:rsidRPr="00DF57F5">
        <w:rPr>
          <w:rFonts w:ascii="Palatino Linotype" w:hAnsi="Palatino Linotype"/>
          <w:sz w:val="20"/>
          <w:szCs w:val="20"/>
          <w:lang w:val="fr-CA"/>
        </w:rPr>
        <w:t xml:space="preserve"> 46 et ss</w:t>
      </w:r>
      <w:r w:rsidR="00B3347B" w:rsidRPr="00DF57F5">
        <w:rPr>
          <w:rFonts w:ascii="Palatino Linotype" w:hAnsi="Palatino Linotype"/>
          <w:sz w:val="20"/>
          <w:szCs w:val="20"/>
          <w:lang w:val="fr-CA"/>
        </w:rPr>
        <w:t>, 51</w:t>
      </w:r>
      <w:r w:rsidRPr="00DF57F5">
        <w:rPr>
          <w:rFonts w:ascii="Palatino Linotype" w:hAnsi="Palatino Linotype"/>
          <w:sz w:val="20"/>
          <w:szCs w:val="20"/>
          <w:lang w:val="fr-CA"/>
        </w:rPr>
        <w:t>.</w:t>
      </w:r>
    </w:p>
  </w:footnote>
  <w:footnote w:id="22">
    <w:p w14:paraId="0981A71D" w14:textId="75A682DE" w:rsidR="009C4094" w:rsidRPr="00DF57F5" w:rsidRDefault="009C4094" w:rsidP="007C0C5F">
      <w:pPr>
        <w:pStyle w:val="FootnoteText"/>
        <w:jc w:val="both"/>
        <w:rPr>
          <w:rFonts w:ascii="Palatino Linotype" w:hAnsi="Palatino Linotype"/>
          <w:sz w:val="20"/>
          <w:szCs w:val="20"/>
          <w:lang w:val="fr-CA"/>
        </w:rPr>
      </w:pPr>
      <w:r w:rsidRPr="00DF57F5">
        <w:rPr>
          <w:rStyle w:val="FootnoteReference"/>
          <w:rFonts w:ascii="Palatino Linotype" w:hAnsi="Palatino Linotype"/>
          <w:sz w:val="20"/>
          <w:szCs w:val="20"/>
          <w:lang w:val="fr-CA"/>
        </w:rPr>
        <w:footnoteRef/>
      </w:r>
      <w:r w:rsidRPr="00DF57F5">
        <w:rPr>
          <w:rFonts w:ascii="Palatino Linotype" w:hAnsi="Palatino Linotype"/>
          <w:sz w:val="20"/>
          <w:szCs w:val="20"/>
          <w:lang w:val="fr-CA"/>
        </w:rPr>
        <w:t xml:space="preserve"> </w:t>
      </w:r>
      <w:r w:rsidR="007577D3" w:rsidRPr="00DF57F5">
        <w:rPr>
          <w:rFonts w:ascii="Palatino Linotype" w:hAnsi="Palatino Linotype"/>
          <w:sz w:val="20"/>
          <w:szCs w:val="20"/>
          <w:lang w:val="fr-CA"/>
        </w:rPr>
        <w:t>Seconde Décision</w:t>
      </w:r>
      <w:r w:rsidRPr="00DF57F5">
        <w:rPr>
          <w:rFonts w:ascii="Palatino Linotype" w:hAnsi="Palatino Linotype"/>
          <w:sz w:val="20"/>
          <w:szCs w:val="20"/>
          <w:lang w:val="fr-CA"/>
        </w:rPr>
        <w:t>, para</w:t>
      </w:r>
      <w:r w:rsidR="00B3347B" w:rsidRPr="00DF57F5">
        <w:rPr>
          <w:rFonts w:ascii="Palatino Linotype" w:hAnsi="Palatino Linotype"/>
          <w:sz w:val="20"/>
          <w:szCs w:val="20"/>
          <w:lang w:val="fr-CA"/>
        </w:rPr>
        <w:t>s</w:t>
      </w:r>
      <w:r w:rsidRPr="00DF57F5">
        <w:rPr>
          <w:rFonts w:ascii="Palatino Linotype" w:hAnsi="Palatino Linotype"/>
          <w:sz w:val="20"/>
          <w:szCs w:val="20"/>
          <w:lang w:val="fr-CA"/>
        </w:rPr>
        <w:t xml:space="preserve"> 48-49.</w:t>
      </w:r>
    </w:p>
  </w:footnote>
  <w:footnote w:id="23">
    <w:p w14:paraId="42C5483B" w14:textId="5AC42DAB" w:rsidR="00C711EC" w:rsidRPr="00DF57F5" w:rsidRDefault="00C711EC" w:rsidP="007C0C5F">
      <w:pPr>
        <w:pStyle w:val="p1"/>
        <w:jc w:val="both"/>
        <w:rPr>
          <w:rFonts w:ascii="Palatino Linotype" w:hAnsi="Palatino Linotype"/>
          <w:sz w:val="20"/>
          <w:szCs w:val="20"/>
        </w:rPr>
      </w:pPr>
      <w:r w:rsidRPr="00DF57F5">
        <w:rPr>
          <w:rStyle w:val="FootnoteReference"/>
          <w:rFonts w:ascii="Palatino Linotype" w:hAnsi="Palatino Linotype"/>
          <w:sz w:val="20"/>
          <w:szCs w:val="20"/>
          <w:lang w:val="fr-CA"/>
        </w:rPr>
        <w:footnoteRef/>
      </w:r>
      <w:r w:rsidRPr="00DF57F5">
        <w:rPr>
          <w:rFonts w:ascii="Palatino Linotype" w:hAnsi="Palatino Linotype"/>
          <w:sz w:val="20"/>
          <w:szCs w:val="20"/>
          <w:lang w:val="en-US"/>
        </w:rPr>
        <w:t xml:space="preserve"> </w:t>
      </w:r>
      <w:r w:rsidR="00960D24" w:rsidRPr="00DF57F5">
        <w:rPr>
          <w:rFonts w:ascii="Palatino Linotype" w:hAnsi="Palatino Linotype"/>
          <w:sz w:val="20"/>
          <w:szCs w:val="20"/>
          <w:lang w:val="en-US"/>
        </w:rPr>
        <w:t>Tilman Rodenha</w:t>
      </w:r>
      <w:r w:rsidR="0053066C" w:rsidRPr="00DF57F5">
        <w:rPr>
          <w:rFonts w:ascii="Palatino Linotype" w:hAnsi="Palatino Linotype"/>
          <w:sz w:val="20"/>
          <w:szCs w:val="20"/>
          <w:lang w:val="en-US"/>
        </w:rPr>
        <w:t>user,</w:t>
      </w:r>
      <w:r w:rsidR="00960D24" w:rsidRPr="00DF57F5">
        <w:rPr>
          <w:rFonts w:ascii="Palatino Linotype" w:hAnsi="Palatino Linotype"/>
          <w:sz w:val="20"/>
          <w:szCs w:val="20"/>
          <w:lang w:val="en-US"/>
        </w:rPr>
        <w:t xml:space="preserve"> “</w:t>
      </w:r>
      <w:r w:rsidRPr="00DF57F5">
        <w:rPr>
          <w:rFonts w:ascii="Palatino Linotype" w:hAnsi="Palatino Linotype"/>
          <w:sz w:val="20"/>
          <w:szCs w:val="20"/>
          <w:lang w:val="en-US"/>
        </w:rPr>
        <w:t>Squaring the circles</w:t>
      </w:r>
      <w:r w:rsidR="00960D24" w:rsidRPr="00DF57F5">
        <w:rPr>
          <w:rFonts w:ascii="Palatino Linotype" w:hAnsi="Palatino Linotype"/>
          <w:sz w:val="20"/>
          <w:szCs w:val="20"/>
          <w:lang w:val="en-US"/>
        </w:rPr>
        <w:t>” (2016)</w:t>
      </w:r>
      <w:r w:rsidR="0053066C" w:rsidRPr="00DF57F5">
        <w:rPr>
          <w:rFonts w:ascii="Palatino Linotype" w:hAnsi="Palatino Linotype"/>
          <w:sz w:val="20"/>
          <w:szCs w:val="20"/>
          <w:lang w:val="en-US"/>
        </w:rPr>
        <w:t xml:space="preserve"> Journal of International Criminal Justice</w:t>
      </w:r>
      <w:r w:rsidR="00591D13" w:rsidRPr="00DF57F5">
        <w:rPr>
          <w:rFonts w:ascii="Palatino Linotype" w:hAnsi="Palatino Linotype"/>
          <w:sz w:val="20"/>
          <w:szCs w:val="20"/>
          <w:lang w:val="en-US"/>
        </w:rPr>
        <w:t xml:space="preserve"> 1;</w:t>
      </w:r>
      <w:r w:rsidRPr="00DF57F5">
        <w:rPr>
          <w:rFonts w:ascii="Palatino Linotype" w:hAnsi="Palatino Linotype"/>
          <w:sz w:val="20"/>
          <w:szCs w:val="20"/>
          <w:lang w:val="en-US"/>
        </w:rPr>
        <w:t xml:space="preserve"> </w:t>
      </w:r>
      <w:r w:rsidR="00591D13" w:rsidRPr="00DF57F5">
        <w:rPr>
          <w:rFonts w:ascii="Palatino Linotype" w:hAnsi="Palatino Linotype"/>
          <w:sz w:val="20"/>
          <w:szCs w:val="20"/>
          <w:lang w:val="en-US"/>
        </w:rPr>
        <w:t>Sarah T. Deuitch, “</w:t>
      </w:r>
      <w:r w:rsidRPr="00DF57F5">
        <w:rPr>
          <w:rFonts w:ascii="Palatino Linotype" w:hAnsi="Palatino Linotype"/>
          <w:sz w:val="20"/>
          <w:szCs w:val="20"/>
          <w:lang w:val="en-US"/>
        </w:rPr>
        <w:t>Putting the spo</w:t>
      </w:r>
      <w:r w:rsidR="007E10A7" w:rsidRPr="00DF57F5">
        <w:rPr>
          <w:rFonts w:ascii="Palatino Linotype" w:hAnsi="Palatino Linotype"/>
          <w:sz w:val="20"/>
          <w:szCs w:val="20"/>
          <w:lang w:val="en-US"/>
        </w:rPr>
        <w:t>t</w:t>
      </w:r>
      <w:r w:rsidRPr="00DF57F5">
        <w:rPr>
          <w:rFonts w:ascii="Palatino Linotype" w:hAnsi="Palatino Linotype"/>
          <w:sz w:val="20"/>
          <w:szCs w:val="20"/>
          <w:lang w:val="en-US"/>
        </w:rPr>
        <w:t>light on ‘The Terminator’</w:t>
      </w:r>
      <w:r w:rsidR="00591D13" w:rsidRPr="00DF57F5">
        <w:rPr>
          <w:rFonts w:ascii="Palatino Linotype" w:hAnsi="Palatino Linotype"/>
          <w:sz w:val="20"/>
          <w:szCs w:val="20"/>
          <w:lang w:val="en-US"/>
        </w:rPr>
        <w:t xml:space="preserve">: </w:t>
      </w:r>
      <w:r w:rsidR="0001472C" w:rsidRPr="00DF57F5">
        <w:rPr>
          <w:rFonts w:ascii="Palatino Linotype" w:hAnsi="Palatino Linotype"/>
          <w:sz w:val="20"/>
          <w:szCs w:val="20"/>
          <w:lang w:val="en-US"/>
        </w:rPr>
        <w:t>How the ICC Prosecution of Bosco Ntaganda Could Reduce Sexual Violence During Conflict</w:t>
      </w:r>
      <w:r w:rsidR="00591D13" w:rsidRPr="00DF57F5">
        <w:rPr>
          <w:rFonts w:ascii="Palatino Linotype" w:hAnsi="Palatino Linotype"/>
          <w:sz w:val="20"/>
          <w:szCs w:val="20"/>
          <w:lang w:val="en-US"/>
        </w:rPr>
        <w:t>” (2015) 22 Wm. &amp; Mary J. Women &amp; L. 655</w:t>
      </w:r>
      <w:r w:rsidR="0001472C" w:rsidRPr="00DF57F5">
        <w:rPr>
          <w:rFonts w:ascii="Palatino Linotype" w:hAnsi="Palatino Linotype"/>
          <w:sz w:val="20"/>
          <w:szCs w:val="20"/>
          <w:lang w:val="en-US"/>
        </w:rPr>
        <w:t>; Ana Martin Beringola,</w:t>
      </w:r>
      <w:r w:rsidRPr="00DF57F5">
        <w:rPr>
          <w:rFonts w:ascii="Palatino Linotype" w:hAnsi="Palatino Linotype"/>
          <w:sz w:val="20"/>
          <w:szCs w:val="20"/>
          <w:lang w:val="en-US"/>
        </w:rPr>
        <w:t xml:space="preserve"> </w:t>
      </w:r>
      <w:r w:rsidR="0001472C" w:rsidRPr="00DF57F5">
        <w:rPr>
          <w:rFonts w:ascii="Palatino Linotype" w:hAnsi="Palatino Linotype"/>
          <w:sz w:val="20"/>
          <w:szCs w:val="20"/>
          <w:lang w:val="en-US"/>
        </w:rPr>
        <w:t>“</w:t>
      </w:r>
      <w:r w:rsidRPr="00DF57F5">
        <w:rPr>
          <w:rFonts w:ascii="Palatino Linotype" w:hAnsi="Palatino Linotype"/>
          <w:sz w:val="20"/>
          <w:szCs w:val="20"/>
          <w:lang w:val="en-US"/>
        </w:rPr>
        <w:t>Ensuring Protection of Child Soldiers From sexual Violence</w:t>
      </w:r>
      <w:r w:rsidR="00DD75D2" w:rsidRPr="00DF57F5">
        <w:rPr>
          <w:rFonts w:ascii="Palatino Linotype" w:hAnsi="Palatino Linotype"/>
          <w:sz w:val="20"/>
          <w:szCs w:val="20"/>
          <w:lang w:val="en-US"/>
        </w:rPr>
        <w:t xml:space="preserve"> </w:t>
      </w:r>
      <w:r w:rsidRPr="00DF57F5">
        <w:rPr>
          <w:rFonts w:ascii="Palatino Linotype" w:hAnsi="Palatino Linotype"/>
          <w:sz w:val="20"/>
          <w:szCs w:val="20"/>
          <w:lang w:val="en-US"/>
        </w:rPr>
        <w:t>: Relevance of the Ntaganda decision on the Confirmation of the Charges in Narrowing the Gap</w:t>
      </w:r>
      <w:r w:rsidR="0001472C" w:rsidRPr="00DF57F5">
        <w:rPr>
          <w:rFonts w:ascii="Palatino Linotype" w:hAnsi="Palatino Linotype"/>
          <w:sz w:val="20"/>
          <w:szCs w:val="20"/>
          <w:lang w:val="en-US"/>
        </w:rPr>
        <w:t>”</w:t>
      </w:r>
      <w:r w:rsidR="007C0C5F" w:rsidRPr="00DF57F5">
        <w:rPr>
          <w:rFonts w:ascii="Palatino Linotype" w:hAnsi="Palatino Linotype"/>
          <w:sz w:val="20"/>
          <w:szCs w:val="20"/>
          <w:lang w:val="en-US"/>
        </w:rPr>
        <w:t xml:space="preserve"> (2016) 8 Amsterdam L.F. 58</w:t>
      </w:r>
      <w:r w:rsidRPr="00DF57F5">
        <w:rPr>
          <w:rFonts w:ascii="Palatino Linotype" w:hAnsi="Palatino Linotype"/>
          <w:sz w:val="20"/>
          <w:szCs w:val="20"/>
          <w:lang w:val="en-US"/>
        </w:rPr>
        <w:t xml:space="preserve">. </w:t>
      </w:r>
      <w:r w:rsidRPr="00DF57F5">
        <w:rPr>
          <w:rFonts w:ascii="Palatino Linotype" w:hAnsi="Palatino Linotype"/>
          <w:sz w:val="20"/>
          <w:szCs w:val="20"/>
        </w:rPr>
        <w:t>Cela dit, Yvonne McDermott se questionnait plutô</w:t>
      </w:r>
      <w:r w:rsidR="005F32A9" w:rsidRPr="00DF57F5">
        <w:rPr>
          <w:rFonts w:ascii="Palatino Linotype" w:hAnsi="Palatino Linotype"/>
          <w:sz w:val="20"/>
          <w:szCs w:val="20"/>
        </w:rPr>
        <w:t>t sur les fondements d</w:t>
      </w:r>
      <w:r w:rsidR="00957C07" w:rsidRPr="00DF57F5">
        <w:rPr>
          <w:rFonts w:ascii="Palatino Linotype" w:hAnsi="Palatino Linotype"/>
          <w:sz w:val="20"/>
          <w:szCs w:val="20"/>
        </w:rPr>
        <w:t>e la décision du 4 janvier 2017 et sur ces potent</w:t>
      </w:r>
      <w:r w:rsidR="00537CFA" w:rsidRPr="00DF57F5">
        <w:rPr>
          <w:rFonts w:ascii="Palatino Linotype" w:hAnsi="Palatino Linotype"/>
          <w:sz w:val="20"/>
          <w:szCs w:val="20"/>
        </w:rPr>
        <w:t xml:space="preserve">ielles ramifications juridiques, « ICC extends War Crime of Rape and Sexual Slavery to Victims from Same Armed Forces as Perpetrator » en ligne : </w:t>
      </w:r>
      <w:r w:rsidR="00337689" w:rsidRPr="00DF57F5">
        <w:rPr>
          <w:rFonts w:ascii="Palatino Linotype" w:hAnsi="Palatino Linotype"/>
          <w:sz w:val="20"/>
          <w:szCs w:val="20"/>
        </w:rPr>
        <w:t>Intlawgrrl Blog &lt;</w:t>
      </w:r>
      <w:hyperlink r:id="rId1" w:history="1">
        <w:r w:rsidR="00537CFA" w:rsidRPr="00DF57F5">
          <w:rPr>
            <w:rStyle w:val="Hyperlink"/>
            <w:rFonts w:ascii="Palatino Linotype" w:hAnsi="Palatino Linotype"/>
            <w:color w:val="auto"/>
            <w:sz w:val="20"/>
            <w:szCs w:val="20"/>
          </w:rPr>
          <w:t>https://ilg2.org/author/yvonnemcdermott/</w:t>
        </w:r>
      </w:hyperlink>
      <w:r w:rsidR="00337689" w:rsidRPr="00DF57F5">
        <w:rPr>
          <w:rFonts w:ascii="Palatino Linotype" w:hAnsi="Palatino Linotype"/>
          <w:sz w:val="20"/>
          <w:szCs w:val="20"/>
        </w:rPr>
        <w:t>&gt;</w:t>
      </w:r>
      <w:r w:rsidR="00537CFA" w:rsidRPr="00DF57F5">
        <w:rPr>
          <w:rFonts w:ascii="Palatino Linotype" w:hAnsi="Palatino Linotype"/>
          <w:sz w:val="20"/>
          <w:szCs w:val="20"/>
        </w:rPr>
        <w:t xml:space="preserve"> 5 janvier 2017.</w:t>
      </w:r>
    </w:p>
  </w:footnote>
  <w:footnote w:id="24">
    <w:p w14:paraId="00C0339B" w14:textId="55A6694A" w:rsidR="00DD75D2" w:rsidRPr="00DF57F5" w:rsidRDefault="00DD75D2" w:rsidP="0053066C">
      <w:pPr>
        <w:pStyle w:val="p1"/>
        <w:jc w:val="both"/>
        <w:rPr>
          <w:rFonts w:ascii="Palatino Linotype" w:hAnsi="Palatino Linotype"/>
          <w:sz w:val="20"/>
          <w:szCs w:val="20"/>
          <w:lang w:val="en-US"/>
        </w:rPr>
      </w:pPr>
      <w:r w:rsidRPr="00DF57F5">
        <w:rPr>
          <w:rStyle w:val="FootnoteReference"/>
          <w:rFonts w:ascii="Palatino Linotype" w:hAnsi="Palatino Linotype"/>
          <w:sz w:val="20"/>
          <w:szCs w:val="20"/>
        </w:rPr>
        <w:footnoteRef/>
      </w:r>
      <w:r w:rsidRPr="00DF57F5">
        <w:rPr>
          <w:rFonts w:ascii="Palatino Linotype" w:hAnsi="Palatino Linotype"/>
          <w:sz w:val="20"/>
          <w:szCs w:val="20"/>
          <w:lang w:val="en-US"/>
        </w:rPr>
        <w:t xml:space="preserve"> </w:t>
      </w:r>
      <w:r w:rsidR="00270E44" w:rsidRPr="00DF57F5">
        <w:rPr>
          <w:rFonts w:ascii="Palatino Linotype" w:hAnsi="Palatino Linotype"/>
          <w:sz w:val="20"/>
          <w:szCs w:val="20"/>
          <w:lang w:val="en-US"/>
        </w:rPr>
        <w:t>Doris</w:t>
      </w:r>
      <w:r w:rsidR="00667781" w:rsidRPr="00DF57F5">
        <w:rPr>
          <w:rFonts w:ascii="Palatino Linotype" w:hAnsi="Palatino Linotype"/>
          <w:sz w:val="20"/>
          <w:szCs w:val="20"/>
          <w:lang w:val="en-US"/>
        </w:rPr>
        <w:t xml:space="preserve"> E.</w:t>
      </w:r>
      <w:r w:rsidR="00270E44" w:rsidRPr="00DF57F5">
        <w:rPr>
          <w:rFonts w:ascii="Palatino Linotype" w:hAnsi="Palatino Linotype"/>
          <w:sz w:val="20"/>
          <w:szCs w:val="20"/>
          <w:lang w:val="en-US"/>
        </w:rPr>
        <w:t xml:space="preserve"> Buss,</w:t>
      </w:r>
      <w:r w:rsidR="0065036C" w:rsidRPr="00DF57F5">
        <w:rPr>
          <w:rFonts w:ascii="Palatino Linotype" w:hAnsi="Palatino Linotype"/>
          <w:sz w:val="20"/>
          <w:szCs w:val="20"/>
          <w:lang w:val="en-US"/>
        </w:rPr>
        <w:t xml:space="preserve"> “Rethinking </w:t>
      </w:r>
      <w:r w:rsidR="00667781" w:rsidRPr="00DF57F5">
        <w:rPr>
          <w:rFonts w:ascii="Palatino Linotype" w:hAnsi="Palatino Linotype"/>
          <w:sz w:val="20"/>
          <w:szCs w:val="20"/>
          <w:lang w:val="en-US"/>
        </w:rPr>
        <w:t>‘</w:t>
      </w:r>
      <w:r w:rsidR="0065036C" w:rsidRPr="00DF57F5">
        <w:rPr>
          <w:rFonts w:ascii="Palatino Linotype" w:hAnsi="Palatino Linotype"/>
          <w:sz w:val="20"/>
          <w:szCs w:val="20"/>
          <w:lang w:val="en-US"/>
        </w:rPr>
        <w:t>Rape as a Weapon of War</w:t>
      </w:r>
      <w:r w:rsidR="00667781" w:rsidRPr="00DF57F5">
        <w:rPr>
          <w:rFonts w:ascii="Palatino Linotype" w:hAnsi="Palatino Linotype"/>
          <w:sz w:val="20"/>
          <w:szCs w:val="20"/>
          <w:lang w:val="en-US"/>
        </w:rPr>
        <w:t>’</w:t>
      </w:r>
      <w:r w:rsidR="0065036C" w:rsidRPr="00DF57F5">
        <w:rPr>
          <w:rFonts w:ascii="Palatino Linotype" w:hAnsi="Palatino Linotype"/>
          <w:sz w:val="20"/>
          <w:szCs w:val="20"/>
          <w:lang w:val="en-US"/>
        </w:rPr>
        <w:t>”</w:t>
      </w:r>
      <w:r w:rsidR="00960D24" w:rsidRPr="00DF57F5">
        <w:rPr>
          <w:rFonts w:ascii="Palatino Linotype" w:hAnsi="Palatino Linotype"/>
          <w:sz w:val="20"/>
          <w:szCs w:val="20"/>
          <w:lang w:val="en-US"/>
        </w:rPr>
        <w:t>, (2009) 17 Fem Leg Stud 145,</w:t>
      </w:r>
      <w:r w:rsidR="0065036C" w:rsidRPr="00DF57F5">
        <w:rPr>
          <w:rFonts w:ascii="Palatino Linotype" w:hAnsi="Palatino Linotype"/>
          <w:sz w:val="20"/>
          <w:szCs w:val="20"/>
          <w:lang w:val="en-US"/>
        </w:rPr>
        <w:t xml:space="preserve"> pp 156- 160.</w:t>
      </w:r>
    </w:p>
  </w:footnote>
  <w:footnote w:id="25">
    <w:p w14:paraId="39FA210D" w14:textId="118CA826" w:rsidR="00270E44" w:rsidRPr="00DF57F5" w:rsidRDefault="00270E44" w:rsidP="0053066C">
      <w:pPr>
        <w:pStyle w:val="FootnoteText"/>
        <w:jc w:val="both"/>
        <w:rPr>
          <w:rFonts w:ascii="Palatino Linotype" w:hAnsi="Palatino Linotype"/>
          <w:sz w:val="20"/>
          <w:szCs w:val="20"/>
          <w:lang w:val="en-CA"/>
        </w:rPr>
      </w:pPr>
      <w:r w:rsidRPr="00DF57F5">
        <w:rPr>
          <w:rStyle w:val="FootnoteReference"/>
          <w:rFonts w:ascii="Palatino Linotype" w:hAnsi="Palatino Linotype"/>
          <w:sz w:val="20"/>
          <w:szCs w:val="20"/>
        </w:rPr>
        <w:footnoteRef/>
      </w:r>
      <w:r w:rsidRPr="00DF57F5">
        <w:rPr>
          <w:rFonts w:ascii="Palatino Linotype" w:hAnsi="Palatino Linotype"/>
          <w:sz w:val="20"/>
          <w:szCs w:val="20"/>
          <w:lang w:val="en-CA"/>
        </w:rPr>
        <w:t xml:space="preserve"> </w:t>
      </w:r>
      <w:r w:rsidRPr="00DF57F5">
        <w:rPr>
          <w:rFonts w:ascii="Palatino Linotype" w:hAnsi="Palatino Linotype" w:cs="Times New Roman"/>
          <w:sz w:val="20"/>
          <w:szCs w:val="20"/>
          <w:lang w:val="en-CA"/>
        </w:rPr>
        <w:t>Karen Engle, “Feminism and Its Dis(contents) : Criminalizing Rape in Bosnia and Herzegovina” (2005) 99:4 The American Journal of International Law 778, pp 814-816.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B75"/>
    <w:rsid w:val="00000A14"/>
    <w:rsid w:val="00006A1C"/>
    <w:rsid w:val="0001472C"/>
    <w:rsid w:val="00022B95"/>
    <w:rsid w:val="00025F8D"/>
    <w:rsid w:val="00037FD0"/>
    <w:rsid w:val="0004119F"/>
    <w:rsid w:val="00041D01"/>
    <w:rsid w:val="00045AB6"/>
    <w:rsid w:val="0004639F"/>
    <w:rsid w:val="00051654"/>
    <w:rsid w:val="00074688"/>
    <w:rsid w:val="000C38E1"/>
    <w:rsid w:val="000D377A"/>
    <w:rsid w:val="000E3B04"/>
    <w:rsid w:val="00113548"/>
    <w:rsid w:val="001135B3"/>
    <w:rsid w:val="001237B5"/>
    <w:rsid w:val="0012647C"/>
    <w:rsid w:val="00145C75"/>
    <w:rsid w:val="00166422"/>
    <w:rsid w:val="00174458"/>
    <w:rsid w:val="001853A0"/>
    <w:rsid w:val="001919A1"/>
    <w:rsid w:val="001B3307"/>
    <w:rsid w:val="001B6423"/>
    <w:rsid w:val="001E7B28"/>
    <w:rsid w:val="001F14F1"/>
    <w:rsid w:val="001F69DC"/>
    <w:rsid w:val="002015AA"/>
    <w:rsid w:val="00211E67"/>
    <w:rsid w:val="00222620"/>
    <w:rsid w:val="00237A50"/>
    <w:rsid w:val="002621CC"/>
    <w:rsid w:val="00265D66"/>
    <w:rsid w:val="002707A9"/>
    <w:rsid w:val="00270E44"/>
    <w:rsid w:val="002C7C78"/>
    <w:rsid w:val="002F0047"/>
    <w:rsid w:val="00335BAB"/>
    <w:rsid w:val="00337689"/>
    <w:rsid w:val="00347098"/>
    <w:rsid w:val="00347761"/>
    <w:rsid w:val="00350453"/>
    <w:rsid w:val="003518CC"/>
    <w:rsid w:val="00362684"/>
    <w:rsid w:val="003A24CA"/>
    <w:rsid w:val="003A2CA8"/>
    <w:rsid w:val="003B5B08"/>
    <w:rsid w:val="003C3F1B"/>
    <w:rsid w:val="003D1C7F"/>
    <w:rsid w:val="003E39B4"/>
    <w:rsid w:val="003E7245"/>
    <w:rsid w:val="00405326"/>
    <w:rsid w:val="004216EB"/>
    <w:rsid w:val="00442093"/>
    <w:rsid w:val="00443817"/>
    <w:rsid w:val="00456FA4"/>
    <w:rsid w:val="004721EC"/>
    <w:rsid w:val="00487F1D"/>
    <w:rsid w:val="00491CAA"/>
    <w:rsid w:val="004A19EB"/>
    <w:rsid w:val="004B5978"/>
    <w:rsid w:val="004B782F"/>
    <w:rsid w:val="004D7296"/>
    <w:rsid w:val="004E41C3"/>
    <w:rsid w:val="004F0151"/>
    <w:rsid w:val="005053BA"/>
    <w:rsid w:val="00513185"/>
    <w:rsid w:val="00521CD7"/>
    <w:rsid w:val="0053066C"/>
    <w:rsid w:val="00531E85"/>
    <w:rsid w:val="00535410"/>
    <w:rsid w:val="0053578D"/>
    <w:rsid w:val="00537CFA"/>
    <w:rsid w:val="00540256"/>
    <w:rsid w:val="005458AC"/>
    <w:rsid w:val="00552F35"/>
    <w:rsid w:val="00573DF1"/>
    <w:rsid w:val="00577048"/>
    <w:rsid w:val="00586903"/>
    <w:rsid w:val="00591D13"/>
    <w:rsid w:val="005B22D8"/>
    <w:rsid w:val="005C7AFC"/>
    <w:rsid w:val="005F32A9"/>
    <w:rsid w:val="00616EA6"/>
    <w:rsid w:val="0061792C"/>
    <w:rsid w:val="006333E8"/>
    <w:rsid w:val="006347B5"/>
    <w:rsid w:val="0065036C"/>
    <w:rsid w:val="00655204"/>
    <w:rsid w:val="00667781"/>
    <w:rsid w:val="0068465D"/>
    <w:rsid w:val="00692F4F"/>
    <w:rsid w:val="006B377F"/>
    <w:rsid w:val="006E607A"/>
    <w:rsid w:val="006F32EC"/>
    <w:rsid w:val="00713756"/>
    <w:rsid w:val="00715170"/>
    <w:rsid w:val="00721B0A"/>
    <w:rsid w:val="00725707"/>
    <w:rsid w:val="00737096"/>
    <w:rsid w:val="007513B1"/>
    <w:rsid w:val="007577D3"/>
    <w:rsid w:val="00770BEB"/>
    <w:rsid w:val="0077162F"/>
    <w:rsid w:val="00775EE5"/>
    <w:rsid w:val="007763C5"/>
    <w:rsid w:val="007942E8"/>
    <w:rsid w:val="007A7FAB"/>
    <w:rsid w:val="007C0C5F"/>
    <w:rsid w:val="007D540C"/>
    <w:rsid w:val="007E10A7"/>
    <w:rsid w:val="007F3CCE"/>
    <w:rsid w:val="007F6CD0"/>
    <w:rsid w:val="00812DC9"/>
    <w:rsid w:val="00834C7E"/>
    <w:rsid w:val="00851B75"/>
    <w:rsid w:val="00857BA6"/>
    <w:rsid w:val="0086394F"/>
    <w:rsid w:val="008852F2"/>
    <w:rsid w:val="00887F71"/>
    <w:rsid w:val="00890DC2"/>
    <w:rsid w:val="008B39E6"/>
    <w:rsid w:val="008B7830"/>
    <w:rsid w:val="008C530F"/>
    <w:rsid w:val="008E5759"/>
    <w:rsid w:val="00903506"/>
    <w:rsid w:val="009062E5"/>
    <w:rsid w:val="0091358C"/>
    <w:rsid w:val="009216E9"/>
    <w:rsid w:val="00931FB9"/>
    <w:rsid w:val="00944907"/>
    <w:rsid w:val="00957C07"/>
    <w:rsid w:val="00960D24"/>
    <w:rsid w:val="00965BB1"/>
    <w:rsid w:val="0098316A"/>
    <w:rsid w:val="00984F62"/>
    <w:rsid w:val="00993ED4"/>
    <w:rsid w:val="009A2D4B"/>
    <w:rsid w:val="009A511E"/>
    <w:rsid w:val="009C4094"/>
    <w:rsid w:val="009F0EC9"/>
    <w:rsid w:val="009F1BC7"/>
    <w:rsid w:val="009F7686"/>
    <w:rsid w:val="00A04FCF"/>
    <w:rsid w:val="00A1785C"/>
    <w:rsid w:val="00A2010E"/>
    <w:rsid w:val="00A27E5C"/>
    <w:rsid w:val="00A33152"/>
    <w:rsid w:val="00A45C95"/>
    <w:rsid w:val="00A55687"/>
    <w:rsid w:val="00A55707"/>
    <w:rsid w:val="00A61095"/>
    <w:rsid w:val="00A80183"/>
    <w:rsid w:val="00A97156"/>
    <w:rsid w:val="00AA17E6"/>
    <w:rsid w:val="00AA62AA"/>
    <w:rsid w:val="00AE712F"/>
    <w:rsid w:val="00AF72CB"/>
    <w:rsid w:val="00B21BDA"/>
    <w:rsid w:val="00B2518E"/>
    <w:rsid w:val="00B32D91"/>
    <w:rsid w:val="00B3347B"/>
    <w:rsid w:val="00B400F3"/>
    <w:rsid w:val="00B56637"/>
    <w:rsid w:val="00B60B03"/>
    <w:rsid w:val="00B6119D"/>
    <w:rsid w:val="00B9113D"/>
    <w:rsid w:val="00B94960"/>
    <w:rsid w:val="00BC04FE"/>
    <w:rsid w:val="00C11F51"/>
    <w:rsid w:val="00C24C95"/>
    <w:rsid w:val="00C27842"/>
    <w:rsid w:val="00C4061D"/>
    <w:rsid w:val="00C474E3"/>
    <w:rsid w:val="00C674C3"/>
    <w:rsid w:val="00C711EC"/>
    <w:rsid w:val="00C80420"/>
    <w:rsid w:val="00C94539"/>
    <w:rsid w:val="00CA6AC9"/>
    <w:rsid w:val="00CD6416"/>
    <w:rsid w:val="00D066C4"/>
    <w:rsid w:val="00D10BFA"/>
    <w:rsid w:val="00D11E95"/>
    <w:rsid w:val="00D25E0F"/>
    <w:rsid w:val="00D40134"/>
    <w:rsid w:val="00D45690"/>
    <w:rsid w:val="00D503CB"/>
    <w:rsid w:val="00D57F50"/>
    <w:rsid w:val="00D978D0"/>
    <w:rsid w:val="00DD143E"/>
    <w:rsid w:val="00DD16FA"/>
    <w:rsid w:val="00DD75D2"/>
    <w:rsid w:val="00DE3DB0"/>
    <w:rsid w:val="00DF512F"/>
    <w:rsid w:val="00DF57F5"/>
    <w:rsid w:val="00DF58CA"/>
    <w:rsid w:val="00E04FA9"/>
    <w:rsid w:val="00E34111"/>
    <w:rsid w:val="00E710D6"/>
    <w:rsid w:val="00E766E7"/>
    <w:rsid w:val="00E91A03"/>
    <w:rsid w:val="00E9428E"/>
    <w:rsid w:val="00EA66A7"/>
    <w:rsid w:val="00EB6C13"/>
    <w:rsid w:val="00ED066B"/>
    <w:rsid w:val="00EF0ECA"/>
    <w:rsid w:val="00F06008"/>
    <w:rsid w:val="00F12DE0"/>
    <w:rsid w:val="00F40E0C"/>
    <w:rsid w:val="00F631B2"/>
    <w:rsid w:val="00F758A2"/>
    <w:rsid w:val="00F97AD9"/>
    <w:rsid w:val="00FA2555"/>
    <w:rsid w:val="00FB5E11"/>
    <w:rsid w:val="00FB668E"/>
    <w:rsid w:val="00FD38AB"/>
    <w:rsid w:val="00FD394B"/>
    <w:rsid w:val="00FD70EF"/>
    <w:rsid w:val="00FE40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0A40B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E7B2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D38A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24C95"/>
  </w:style>
  <w:style w:type="character" w:customStyle="1" w:styleId="FootnoteTextChar">
    <w:name w:val="Footnote Text Char"/>
    <w:basedOn w:val="DefaultParagraphFont"/>
    <w:link w:val="FootnoteText"/>
    <w:uiPriority w:val="99"/>
    <w:rsid w:val="00C24C95"/>
  </w:style>
  <w:style w:type="character" w:styleId="FootnoteReference">
    <w:name w:val="footnote reference"/>
    <w:basedOn w:val="DefaultParagraphFont"/>
    <w:uiPriority w:val="99"/>
    <w:unhideWhenUsed/>
    <w:rsid w:val="00C24C95"/>
    <w:rPr>
      <w:vertAlign w:val="superscript"/>
    </w:rPr>
  </w:style>
  <w:style w:type="paragraph" w:customStyle="1" w:styleId="p1">
    <w:name w:val="p1"/>
    <w:basedOn w:val="Normal"/>
    <w:rsid w:val="00C24C95"/>
    <w:rPr>
      <w:rFonts w:ascii="Helvetica" w:hAnsi="Helvetica" w:cs="Times New Roman"/>
      <w:sz w:val="18"/>
      <w:szCs w:val="18"/>
      <w:lang w:eastAsia="fr-FR"/>
    </w:rPr>
  </w:style>
  <w:style w:type="character" w:customStyle="1" w:styleId="apple-converted-space">
    <w:name w:val="apple-converted-space"/>
    <w:basedOn w:val="DefaultParagraphFont"/>
    <w:rsid w:val="00E766E7"/>
  </w:style>
  <w:style w:type="character" w:customStyle="1" w:styleId="s1">
    <w:name w:val="s1"/>
    <w:basedOn w:val="DefaultParagraphFont"/>
    <w:rsid w:val="00041D01"/>
    <w:rPr>
      <w:rFonts w:ascii="Palatino Linotype" w:hAnsi="Palatino Linotype" w:hint="default"/>
      <w:sz w:val="18"/>
      <w:szCs w:val="18"/>
    </w:rPr>
  </w:style>
  <w:style w:type="character" w:customStyle="1" w:styleId="Heading1Char">
    <w:name w:val="Heading 1 Char"/>
    <w:basedOn w:val="DefaultParagraphFont"/>
    <w:link w:val="Heading1"/>
    <w:uiPriority w:val="9"/>
    <w:rsid w:val="001E7B2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D38AB"/>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4E41C3"/>
    <w:pPr>
      <w:tabs>
        <w:tab w:val="center" w:pos="4320"/>
        <w:tab w:val="right" w:pos="8640"/>
      </w:tabs>
    </w:pPr>
  </w:style>
  <w:style w:type="character" w:customStyle="1" w:styleId="FooterChar">
    <w:name w:val="Footer Char"/>
    <w:basedOn w:val="DefaultParagraphFont"/>
    <w:link w:val="Footer"/>
    <w:uiPriority w:val="99"/>
    <w:rsid w:val="004E41C3"/>
  </w:style>
  <w:style w:type="character" w:styleId="PageNumber">
    <w:name w:val="page number"/>
    <w:basedOn w:val="DefaultParagraphFont"/>
    <w:uiPriority w:val="99"/>
    <w:semiHidden/>
    <w:unhideWhenUsed/>
    <w:rsid w:val="004E41C3"/>
  </w:style>
  <w:style w:type="character" w:styleId="Hyperlink">
    <w:name w:val="Hyperlink"/>
    <w:basedOn w:val="DefaultParagraphFont"/>
    <w:uiPriority w:val="99"/>
    <w:unhideWhenUsed/>
    <w:rsid w:val="00537CFA"/>
    <w:rPr>
      <w:color w:val="0563C1" w:themeColor="hyperlink"/>
      <w:u w:val="single"/>
    </w:rPr>
  </w:style>
  <w:style w:type="character" w:styleId="CommentReference">
    <w:name w:val="annotation reference"/>
    <w:basedOn w:val="DefaultParagraphFont"/>
    <w:uiPriority w:val="99"/>
    <w:semiHidden/>
    <w:unhideWhenUsed/>
    <w:rsid w:val="00713756"/>
    <w:rPr>
      <w:sz w:val="16"/>
      <w:szCs w:val="16"/>
    </w:rPr>
  </w:style>
  <w:style w:type="paragraph" w:styleId="CommentText">
    <w:name w:val="annotation text"/>
    <w:basedOn w:val="Normal"/>
    <w:link w:val="CommentTextChar"/>
    <w:uiPriority w:val="99"/>
    <w:semiHidden/>
    <w:unhideWhenUsed/>
    <w:rsid w:val="00713756"/>
    <w:rPr>
      <w:sz w:val="20"/>
      <w:szCs w:val="20"/>
    </w:rPr>
  </w:style>
  <w:style w:type="character" w:customStyle="1" w:styleId="CommentTextChar">
    <w:name w:val="Comment Text Char"/>
    <w:basedOn w:val="DefaultParagraphFont"/>
    <w:link w:val="CommentText"/>
    <w:uiPriority w:val="99"/>
    <w:semiHidden/>
    <w:rsid w:val="00713756"/>
    <w:rPr>
      <w:sz w:val="20"/>
      <w:szCs w:val="20"/>
    </w:rPr>
  </w:style>
  <w:style w:type="paragraph" w:styleId="CommentSubject">
    <w:name w:val="annotation subject"/>
    <w:basedOn w:val="CommentText"/>
    <w:next w:val="CommentText"/>
    <w:link w:val="CommentSubjectChar"/>
    <w:uiPriority w:val="99"/>
    <w:semiHidden/>
    <w:unhideWhenUsed/>
    <w:rsid w:val="00713756"/>
    <w:rPr>
      <w:b/>
      <w:bCs/>
    </w:rPr>
  </w:style>
  <w:style w:type="character" w:customStyle="1" w:styleId="CommentSubjectChar">
    <w:name w:val="Comment Subject Char"/>
    <w:basedOn w:val="CommentTextChar"/>
    <w:link w:val="CommentSubject"/>
    <w:uiPriority w:val="99"/>
    <w:semiHidden/>
    <w:rsid w:val="00713756"/>
    <w:rPr>
      <w:b/>
      <w:bCs/>
      <w:sz w:val="20"/>
      <w:szCs w:val="20"/>
    </w:rPr>
  </w:style>
  <w:style w:type="paragraph" w:styleId="BalloonText">
    <w:name w:val="Balloon Text"/>
    <w:basedOn w:val="Normal"/>
    <w:link w:val="BalloonTextChar"/>
    <w:uiPriority w:val="99"/>
    <w:semiHidden/>
    <w:unhideWhenUsed/>
    <w:rsid w:val="007137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756"/>
    <w:rPr>
      <w:rFonts w:ascii="Segoe UI" w:hAnsi="Segoe UI" w:cs="Segoe UI"/>
      <w:sz w:val="18"/>
      <w:szCs w:val="18"/>
    </w:rPr>
  </w:style>
  <w:style w:type="paragraph" w:customStyle="1" w:styleId="p2">
    <w:name w:val="p2"/>
    <w:basedOn w:val="Normal"/>
    <w:rsid w:val="008B39E6"/>
    <w:rPr>
      <w:rFonts w:ascii="Times New Roman" w:hAnsi="Times New Roman" w:cs="Times New Roman"/>
      <w:sz w:val="15"/>
      <w:szCs w:val="15"/>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29598">
      <w:bodyDiv w:val="1"/>
      <w:marLeft w:val="0"/>
      <w:marRight w:val="0"/>
      <w:marTop w:val="0"/>
      <w:marBottom w:val="0"/>
      <w:divBdr>
        <w:top w:val="none" w:sz="0" w:space="0" w:color="auto"/>
        <w:left w:val="none" w:sz="0" w:space="0" w:color="auto"/>
        <w:bottom w:val="none" w:sz="0" w:space="0" w:color="auto"/>
        <w:right w:val="none" w:sz="0" w:space="0" w:color="auto"/>
      </w:divBdr>
    </w:div>
    <w:div w:id="170729096">
      <w:bodyDiv w:val="1"/>
      <w:marLeft w:val="0"/>
      <w:marRight w:val="0"/>
      <w:marTop w:val="0"/>
      <w:marBottom w:val="0"/>
      <w:divBdr>
        <w:top w:val="none" w:sz="0" w:space="0" w:color="auto"/>
        <w:left w:val="none" w:sz="0" w:space="0" w:color="auto"/>
        <w:bottom w:val="none" w:sz="0" w:space="0" w:color="auto"/>
        <w:right w:val="none" w:sz="0" w:space="0" w:color="auto"/>
      </w:divBdr>
    </w:div>
    <w:div w:id="198203244">
      <w:bodyDiv w:val="1"/>
      <w:marLeft w:val="0"/>
      <w:marRight w:val="0"/>
      <w:marTop w:val="0"/>
      <w:marBottom w:val="0"/>
      <w:divBdr>
        <w:top w:val="none" w:sz="0" w:space="0" w:color="auto"/>
        <w:left w:val="none" w:sz="0" w:space="0" w:color="auto"/>
        <w:bottom w:val="none" w:sz="0" w:space="0" w:color="auto"/>
        <w:right w:val="none" w:sz="0" w:space="0" w:color="auto"/>
      </w:divBdr>
    </w:div>
    <w:div w:id="230163216">
      <w:bodyDiv w:val="1"/>
      <w:marLeft w:val="0"/>
      <w:marRight w:val="0"/>
      <w:marTop w:val="0"/>
      <w:marBottom w:val="0"/>
      <w:divBdr>
        <w:top w:val="none" w:sz="0" w:space="0" w:color="auto"/>
        <w:left w:val="none" w:sz="0" w:space="0" w:color="auto"/>
        <w:bottom w:val="none" w:sz="0" w:space="0" w:color="auto"/>
        <w:right w:val="none" w:sz="0" w:space="0" w:color="auto"/>
      </w:divBdr>
    </w:div>
    <w:div w:id="245460716">
      <w:bodyDiv w:val="1"/>
      <w:marLeft w:val="0"/>
      <w:marRight w:val="0"/>
      <w:marTop w:val="0"/>
      <w:marBottom w:val="0"/>
      <w:divBdr>
        <w:top w:val="none" w:sz="0" w:space="0" w:color="auto"/>
        <w:left w:val="none" w:sz="0" w:space="0" w:color="auto"/>
        <w:bottom w:val="none" w:sz="0" w:space="0" w:color="auto"/>
        <w:right w:val="none" w:sz="0" w:space="0" w:color="auto"/>
      </w:divBdr>
    </w:div>
    <w:div w:id="461925593">
      <w:bodyDiv w:val="1"/>
      <w:marLeft w:val="0"/>
      <w:marRight w:val="0"/>
      <w:marTop w:val="0"/>
      <w:marBottom w:val="0"/>
      <w:divBdr>
        <w:top w:val="none" w:sz="0" w:space="0" w:color="auto"/>
        <w:left w:val="none" w:sz="0" w:space="0" w:color="auto"/>
        <w:bottom w:val="none" w:sz="0" w:space="0" w:color="auto"/>
        <w:right w:val="none" w:sz="0" w:space="0" w:color="auto"/>
      </w:divBdr>
    </w:div>
    <w:div w:id="537930682">
      <w:bodyDiv w:val="1"/>
      <w:marLeft w:val="0"/>
      <w:marRight w:val="0"/>
      <w:marTop w:val="0"/>
      <w:marBottom w:val="0"/>
      <w:divBdr>
        <w:top w:val="none" w:sz="0" w:space="0" w:color="auto"/>
        <w:left w:val="none" w:sz="0" w:space="0" w:color="auto"/>
        <w:bottom w:val="none" w:sz="0" w:space="0" w:color="auto"/>
        <w:right w:val="none" w:sz="0" w:space="0" w:color="auto"/>
      </w:divBdr>
    </w:div>
    <w:div w:id="558899184">
      <w:bodyDiv w:val="1"/>
      <w:marLeft w:val="0"/>
      <w:marRight w:val="0"/>
      <w:marTop w:val="0"/>
      <w:marBottom w:val="0"/>
      <w:divBdr>
        <w:top w:val="none" w:sz="0" w:space="0" w:color="auto"/>
        <w:left w:val="none" w:sz="0" w:space="0" w:color="auto"/>
        <w:bottom w:val="none" w:sz="0" w:space="0" w:color="auto"/>
        <w:right w:val="none" w:sz="0" w:space="0" w:color="auto"/>
      </w:divBdr>
    </w:div>
    <w:div w:id="827481203">
      <w:bodyDiv w:val="1"/>
      <w:marLeft w:val="0"/>
      <w:marRight w:val="0"/>
      <w:marTop w:val="0"/>
      <w:marBottom w:val="0"/>
      <w:divBdr>
        <w:top w:val="none" w:sz="0" w:space="0" w:color="auto"/>
        <w:left w:val="none" w:sz="0" w:space="0" w:color="auto"/>
        <w:bottom w:val="none" w:sz="0" w:space="0" w:color="auto"/>
        <w:right w:val="none" w:sz="0" w:space="0" w:color="auto"/>
      </w:divBdr>
    </w:div>
    <w:div w:id="923340746">
      <w:bodyDiv w:val="1"/>
      <w:marLeft w:val="0"/>
      <w:marRight w:val="0"/>
      <w:marTop w:val="0"/>
      <w:marBottom w:val="0"/>
      <w:divBdr>
        <w:top w:val="none" w:sz="0" w:space="0" w:color="auto"/>
        <w:left w:val="none" w:sz="0" w:space="0" w:color="auto"/>
        <w:bottom w:val="none" w:sz="0" w:space="0" w:color="auto"/>
        <w:right w:val="none" w:sz="0" w:space="0" w:color="auto"/>
      </w:divBdr>
    </w:div>
    <w:div w:id="1014770035">
      <w:bodyDiv w:val="1"/>
      <w:marLeft w:val="0"/>
      <w:marRight w:val="0"/>
      <w:marTop w:val="0"/>
      <w:marBottom w:val="0"/>
      <w:divBdr>
        <w:top w:val="none" w:sz="0" w:space="0" w:color="auto"/>
        <w:left w:val="none" w:sz="0" w:space="0" w:color="auto"/>
        <w:bottom w:val="none" w:sz="0" w:space="0" w:color="auto"/>
        <w:right w:val="none" w:sz="0" w:space="0" w:color="auto"/>
      </w:divBdr>
    </w:div>
    <w:div w:id="1109666215">
      <w:bodyDiv w:val="1"/>
      <w:marLeft w:val="0"/>
      <w:marRight w:val="0"/>
      <w:marTop w:val="0"/>
      <w:marBottom w:val="0"/>
      <w:divBdr>
        <w:top w:val="none" w:sz="0" w:space="0" w:color="auto"/>
        <w:left w:val="none" w:sz="0" w:space="0" w:color="auto"/>
        <w:bottom w:val="none" w:sz="0" w:space="0" w:color="auto"/>
        <w:right w:val="none" w:sz="0" w:space="0" w:color="auto"/>
      </w:divBdr>
    </w:div>
    <w:div w:id="1308389859">
      <w:bodyDiv w:val="1"/>
      <w:marLeft w:val="0"/>
      <w:marRight w:val="0"/>
      <w:marTop w:val="0"/>
      <w:marBottom w:val="0"/>
      <w:divBdr>
        <w:top w:val="none" w:sz="0" w:space="0" w:color="auto"/>
        <w:left w:val="none" w:sz="0" w:space="0" w:color="auto"/>
        <w:bottom w:val="none" w:sz="0" w:space="0" w:color="auto"/>
        <w:right w:val="none" w:sz="0" w:space="0" w:color="auto"/>
      </w:divBdr>
    </w:div>
    <w:div w:id="1450275972">
      <w:bodyDiv w:val="1"/>
      <w:marLeft w:val="0"/>
      <w:marRight w:val="0"/>
      <w:marTop w:val="0"/>
      <w:marBottom w:val="0"/>
      <w:divBdr>
        <w:top w:val="none" w:sz="0" w:space="0" w:color="auto"/>
        <w:left w:val="none" w:sz="0" w:space="0" w:color="auto"/>
        <w:bottom w:val="none" w:sz="0" w:space="0" w:color="auto"/>
        <w:right w:val="none" w:sz="0" w:space="0" w:color="auto"/>
      </w:divBdr>
    </w:div>
    <w:div w:id="16920298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ilg2.org/author/yvonnemcdermott/"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7ADEF47-EEE7-48E8-A67D-C4D4D4113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1796</Words>
  <Characters>9881</Characters>
  <Application>Microsoft Office Word</Application>
  <DocSecurity>0</DocSecurity>
  <Lines>82</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Mélissa Beaulieu</dc:creator>
  <cp:keywords/>
  <dc:description/>
  <cp:lastModifiedBy>CCIL</cp:lastModifiedBy>
  <cp:revision>2</cp:revision>
  <dcterms:created xsi:type="dcterms:W3CDTF">2017-06-05T00:16:00Z</dcterms:created>
  <dcterms:modified xsi:type="dcterms:W3CDTF">2017-06-05T00:16:00Z</dcterms:modified>
</cp:coreProperties>
</file>