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00ABE" w:rsidTr="00800ABE">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800AB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800ABE">
                    <w:tc>
                      <w:tcPr>
                        <w:tcW w:w="0" w:type="auto"/>
                        <w:tcMar>
                          <w:top w:w="150" w:type="dxa"/>
                          <w:left w:w="300" w:type="dxa"/>
                          <w:bottom w:w="150" w:type="dxa"/>
                          <w:right w:w="300" w:type="dxa"/>
                        </w:tcMar>
                        <w:hideMark/>
                      </w:tcPr>
                      <w:p w:rsidR="00800ABE" w:rsidRDefault="00800ABE">
                        <w:pPr>
                          <w:jc w:val="center"/>
                          <w:rPr>
                            <w:rFonts w:ascii="Arial" w:hAnsi="Arial" w:cs="Arial"/>
                            <w:b/>
                            <w:bCs/>
                            <w:color w:val="3EBFBB"/>
                            <w:sz w:val="36"/>
                            <w:szCs w:val="36"/>
                          </w:rPr>
                        </w:pPr>
                        <w:bookmarkStart w:id="0" w:name="_GoBack"/>
                        <w:r>
                          <w:rPr>
                            <w:rFonts w:ascii="Arial" w:hAnsi="Arial" w:cs="Arial"/>
                            <w:b/>
                            <w:bCs/>
                            <w:color w:val="3EBFBB"/>
                            <w:sz w:val="24"/>
                            <w:szCs w:val="24"/>
                          </w:rPr>
                          <w:t>Extension of waiver of enforcement for CDL expiration and CDMEs </w:t>
                        </w:r>
                        <w:bookmarkEnd w:id="0"/>
                      </w:p>
                    </w:tc>
                  </w:tr>
                </w:tbl>
                <w:p w:rsidR="00800ABE" w:rsidRDefault="00800ABE">
                  <w:pPr>
                    <w:rPr>
                      <w:rFonts w:ascii="Times New Roman" w:eastAsia="Times New Roman" w:hAnsi="Times New Roman" w:cs="Times New Roman"/>
                      <w:sz w:val="20"/>
                      <w:szCs w:val="20"/>
                    </w:rPr>
                  </w:pPr>
                </w:p>
              </w:tc>
            </w:tr>
          </w:tbl>
          <w:p w:rsidR="00800ABE" w:rsidRDefault="00800ABE">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800AB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800ABE">
                    <w:tc>
                      <w:tcPr>
                        <w:tcW w:w="0" w:type="auto"/>
                        <w:tcMar>
                          <w:top w:w="150" w:type="dxa"/>
                          <w:left w:w="300" w:type="dxa"/>
                          <w:bottom w:w="150" w:type="dxa"/>
                          <w:right w:w="300" w:type="dxa"/>
                        </w:tcMar>
                      </w:tcPr>
                      <w:p w:rsidR="00800ABE" w:rsidRDefault="00800ABE">
                        <w:pPr>
                          <w:rPr>
                            <w:rFonts w:ascii="Arial" w:hAnsi="Arial" w:cs="Arial"/>
                            <w:color w:val="403F42"/>
                            <w:sz w:val="18"/>
                            <w:szCs w:val="18"/>
                          </w:rPr>
                        </w:pPr>
                        <w:r>
                          <w:rPr>
                            <w:rFonts w:ascii="Arial" w:hAnsi="Arial" w:cs="Arial"/>
                            <w:color w:val="403F42"/>
                            <w:sz w:val="18"/>
                            <w:szCs w:val="18"/>
                          </w:rPr>
                          <w:t>FMCSA announced today that the waiver -"from certain regulations applicable to interstate and intrastate commercial driver’s license (CDL) and commercial learner’s permit (CLP) holders and to other interstate drivers operating commercial motor vehicles (CMVs)” has been extended until the end of the year. </w:t>
                        </w:r>
                        <w:hyperlink r:id="rId5" w:tgtFrame="_blank" w:history="1">
                          <w:r>
                            <w:rPr>
                              <w:rStyle w:val="Hyperlink"/>
                              <w:rFonts w:ascii="Arial" w:hAnsi="Arial" w:cs="Arial"/>
                              <w:color w:val="3EBFBB"/>
                              <w:sz w:val="18"/>
                              <w:szCs w:val="18"/>
                              <w:u w:val="none"/>
                            </w:rPr>
                            <w:t>https://www.fmcsa.dot.gov/sites/fmcsa.dot.gov/files/2020-09/FMCSA%20CDL%20Waiver%20-%20FINAL%20-%20Sep%2018.pdf</w:t>
                          </w:r>
                        </w:hyperlink>
                        <w:r>
                          <w:rPr>
                            <w:rFonts w:ascii="Arial" w:hAnsi="Arial" w:cs="Arial"/>
                            <w:color w:val="403F42"/>
                            <w:sz w:val="18"/>
                            <w:szCs w:val="18"/>
                          </w:rPr>
                          <w:t> and </w:t>
                        </w:r>
                        <w:hyperlink r:id="rId6" w:tgtFrame="_blank" w:history="1">
                          <w:r>
                            <w:rPr>
                              <w:rStyle w:val="Hyperlink"/>
                              <w:rFonts w:ascii="Arial" w:hAnsi="Arial" w:cs="Arial"/>
                              <w:color w:val="3EBFBB"/>
                              <w:sz w:val="18"/>
                              <w:szCs w:val="18"/>
                              <w:u w:val="none"/>
                            </w:rPr>
                            <w:t>https://www.fmcsa.dot.gov/emergency/notice-enforcement-policy-regarding-expiring-drivers-licenses-and-medical-examiners-0</w:t>
                          </w:r>
                        </w:hyperlink>
                        <w:r>
                          <w:rPr>
                            <w:rFonts w:ascii="Arial" w:hAnsi="Arial" w:cs="Arial"/>
                            <w:color w:val="403F42"/>
                            <w:sz w:val="18"/>
                            <w:szCs w:val="18"/>
                          </w:rPr>
                          <w:t xml:space="preserve"> but essentially on a rolling basis. </w:t>
                        </w:r>
                      </w:p>
                      <w:p w:rsidR="00800ABE" w:rsidRDefault="00800ABE">
                        <w:pPr>
                          <w:rPr>
                            <w:rFonts w:ascii="Arial" w:hAnsi="Arial" w:cs="Arial"/>
                            <w:color w:val="403F42"/>
                            <w:sz w:val="18"/>
                            <w:szCs w:val="18"/>
                          </w:rPr>
                        </w:pPr>
                      </w:p>
                      <w:p w:rsidR="00800ABE" w:rsidRDefault="00800ABE">
                        <w:pPr>
                          <w:rPr>
                            <w:rFonts w:ascii="Arial" w:hAnsi="Arial" w:cs="Arial"/>
                            <w:color w:val="403F42"/>
                            <w:sz w:val="18"/>
                            <w:szCs w:val="18"/>
                          </w:rPr>
                        </w:pPr>
                        <w:r>
                          <w:rPr>
                            <w:rFonts w:ascii="Arial" w:hAnsi="Arial" w:cs="Arial"/>
                            <w:color w:val="403F42"/>
                            <w:sz w:val="18"/>
                            <w:szCs w:val="18"/>
                          </w:rPr>
                          <w:t>Waives, in accordance with the following periods of eligibility, the requirement under 49 CFR 391.45 that CDL holders, CLP holders, and non- CDL drivers have a medical examination and certification, provided that they have proof of a valid medical certification and any required medical variance (as defined in 49 CFR 390.5T such as an exemption letter or a skill performance evaluation certificate) that were issued for a period of 90 days or longer:</w:t>
                        </w:r>
                      </w:p>
                      <w:p w:rsidR="00800ABE" w:rsidRDefault="00800ABE" w:rsidP="00B501BF">
                        <w:pPr>
                          <w:numPr>
                            <w:ilvl w:val="0"/>
                            <w:numId w:val="1"/>
                          </w:numPr>
                          <w:ind w:left="600" w:hanging="240"/>
                          <w:rPr>
                            <w:rFonts w:ascii="Arial" w:hAnsi="Arial" w:cs="Arial"/>
                            <w:color w:val="212529"/>
                            <w:sz w:val="18"/>
                            <w:szCs w:val="18"/>
                          </w:rPr>
                        </w:pPr>
                        <w:r>
                          <w:rPr>
                            <w:rFonts w:ascii="Arial" w:hAnsi="Arial" w:cs="Arial"/>
                            <w:color w:val="212529"/>
                            <w:sz w:val="18"/>
                            <w:szCs w:val="18"/>
                          </w:rPr>
                          <w:t xml:space="preserve">49 CFR 391.45(b) – a CMV driver or motor carrier that allows a CMV driver to operate a CMV during a period in which the driver does not have the current medical certificate and any required medical variance as required by 49 CFR 391.45(b), in accordance with the following periods of eligibility: </w:t>
                        </w:r>
                      </w:p>
                      <w:p w:rsidR="00800ABE" w:rsidRDefault="00800ABE" w:rsidP="00B501BF">
                        <w:pPr>
                          <w:numPr>
                            <w:ilvl w:val="0"/>
                            <w:numId w:val="1"/>
                          </w:numPr>
                          <w:ind w:left="1320" w:hanging="240"/>
                          <w:rPr>
                            <w:rFonts w:ascii="Arial" w:hAnsi="Arial" w:cs="Arial"/>
                            <w:color w:val="212529"/>
                            <w:sz w:val="18"/>
                            <w:szCs w:val="18"/>
                          </w:rPr>
                        </w:pPr>
                        <w:r>
                          <w:rPr>
                            <w:rFonts w:ascii="Arial" w:hAnsi="Arial" w:cs="Arial"/>
                            <w:color w:val="212529"/>
                            <w:sz w:val="18"/>
                            <w:szCs w:val="18"/>
                          </w:rPr>
                          <w:t xml:space="preserve">For CMV drivers who have proof of a valid medical certification or medical variance that expired on or after </w:t>
                        </w:r>
                        <w:r>
                          <w:rPr>
                            <w:rFonts w:ascii="Arial" w:hAnsi="Arial" w:cs="Arial"/>
                            <w:b/>
                            <w:bCs/>
                            <w:color w:val="212529"/>
                            <w:sz w:val="18"/>
                            <w:szCs w:val="18"/>
                          </w:rPr>
                          <w:t>March 1, 2020 but before June 1, 2020, FMCSA will exercise its enforcement discretion to not take enforcement action regarding the requirement under 49 CFR 391.45(b) until October 31, 2020.</w:t>
                        </w:r>
                        <w:r>
                          <w:rPr>
                            <w:rFonts w:ascii="Arial" w:hAnsi="Arial" w:cs="Arial"/>
                            <w:color w:val="212529"/>
                            <w:sz w:val="18"/>
                            <w:szCs w:val="18"/>
                          </w:rPr>
                          <w:t xml:space="preserve"> </w:t>
                        </w:r>
                      </w:p>
                      <w:p w:rsidR="00800ABE" w:rsidRDefault="00800ABE" w:rsidP="00B501BF">
                        <w:pPr>
                          <w:numPr>
                            <w:ilvl w:val="0"/>
                            <w:numId w:val="1"/>
                          </w:numPr>
                          <w:ind w:left="1320" w:hanging="240"/>
                          <w:rPr>
                            <w:rFonts w:ascii="Arial" w:hAnsi="Arial" w:cs="Arial"/>
                            <w:color w:val="212529"/>
                            <w:sz w:val="18"/>
                            <w:szCs w:val="18"/>
                          </w:rPr>
                        </w:pPr>
                        <w:r>
                          <w:rPr>
                            <w:rFonts w:ascii="Arial" w:hAnsi="Arial" w:cs="Arial"/>
                            <w:color w:val="212529"/>
                            <w:sz w:val="18"/>
                            <w:szCs w:val="18"/>
                          </w:rPr>
                          <w:t>For CMV drivers who have proof of a valid medical certification or medical variance that</w:t>
                        </w:r>
                        <w:r>
                          <w:rPr>
                            <w:rFonts w:ascii="Arial" w:hAnsi="Arial" w:cs="Arial"/>
                            <w:b/>
                            <w:bCs/>
                            <w:color w:val="212529"/>
                            <w:sz w:val="18"/>
                            <w:szCs w:val="18"/>
                          </w:rPr>
                          <w:t xml:space="preserve"> expired on or after June 1, 2020, FMCSA will exercise its enforcement discretion to not take enforcement action regarding the requirement under 49 CFR 391.45(b) until December 31, 2020.</w:t>
                        </w:r>
                        <w:r>
                          <w:rPr>
                            <w:rFonts w:ascii="Arial" w:hAnsi="Arial" w:cs="Arial"/>
                            <w:color w:val="212529"/>
                            <w:sz w:val="18"/>
                            <w:szCs w:val="18"/>
                          </w:rPr>
                          <w:t xml:space="preserve"> </w:t>
                        </w:r>
                      </w:p>
                    </w:tc>
                  </w:tr>
                </w:tbl>
                <w:p w:rsidR="00800ABE" w:rsidRDefault="00800ABE">
                  <w:pPr>
                    <w:rPr>
                      <w:rFonts w:ascii="Times New Roman" w:eastAsia="Times New Roman" w:hAnsi="Times New Roman" w:cs="Times New Roman"/>
                      <w:sz w:val="20"/>
                      <w:szCs w:val="20"/>
                    </w:rPr>
                  </w:pPr>
                </w:p>
              </w:tc>
            </w:tr>
          </w:tbl>
          <w:p w:rsidR="00800ABE" w:rsidRDefault="00800ABE">
            <w:pPr>
              <w:jc w:val="center"/>
            </w:pPr>
          </w:p>
          <w:tbl>
            <w:tblPr>
              <w:tblW w:w="5000" w:type="pct"/>
              <w:jc w:val="center"/>
              <w:tblCellMar>
                <w:left w:w="0" w:type="dxa"/>
                <w:right w:w="0" w:type="dxa"/>
              </w:tblCellMar>
              <w:tblLook w:val="04A0" w:firstRow="1" w:lastRow="0" w:firstColumn="1" w:lastColumn="0" w:noHBand="0" w:noVBand="1"/>
            </w:tblPr>
            <w:tblGrid>
              <w:gridCol w:w="5148"/>
              <w:gridCol w:w="4212"/>
            </w:tblGrid>
            <w:tr w:rsidR="00800ABE">
              <w:trPr>
                <w:jc w:val="center"/>
              </w:trPr>
              <w:tc>
                <w:tcPr>
                  <w:tcW w:w="2750" w:type="pct"/>
                  <w:hideMark/>
                </w:tcPr>
                <w:tbl>
                  <w:tblPr>
                    <w:tblW w:w="5000" w:type="pct"/>
                    <w:tblCellMar>
                      <w:left w:w="0" w:type="dxa"/>
                      <w:right w:w="0" w:type="dxa"/>
                    </w:tblCellMar>
                    <w:tblLook w:val="04A0" w:firstRow="1" w:lastRow="0" w:firstColumn="1" w:lastColumn="0" w:noHBand="0" w:noVBand="1"/>
                  </w:tblPr>
                  <w:tblGrid>
                    <w:gridCol w:w="5148"/>
                  </w:tblGrid>
                  <w:tr w:rsidR="00800ABE">
                    <w:tc>
                      <w:tcPr>
                        <w:tcW w:w="0" w:type="auto"/>
                        <w:tcMar>
                          <w:top w:w="150" w:type="dxa"/>
                          <w:left w:w="300" w:type="dxa"/>
                          <w:bottom w:w="150" w:type="dxa"/>
                          <w:right w:w="150" w:type="dxa"/>
                        </w:tcMar>
                      </w:tcPr>
                      <w:p w:rsidR="00800ABE" w:rsidRDefault="00800ABE">
                        <w:pPr>
                          <w:jc w:val="center"/>
                          <w:rPr>
                            <w:rFonts w:ascii="Arial" w:hAnsi="Arial" w:cs="Arial"/>
                            <w:color w:val="FFFFFF"/>
                            <w:sz w:val="18"/>
                            <w:szCs w:val="18"/>
                          </w:rPr>
                        </w:pPr>
                      </w:p>
                      <w:p w:rsidR="00800ABE" w:rsidRDefault="00800ABE">
                        <w:pPr>
                          <w:jc w:val="center"/>
                          <w:rPr>
                            <w:rFonts w:ascii="Arial" w:hAnsi="Arial" w:cs="Arial"/>
                            <w:color w:val="FFFFFF"/>
                            <w:sz w:val="18"/>
                            <w:szCs w:val="18"/>
                          </w:rPr>
                        </w:pPr>
                        <w:r>
                          <w:rPr>
                            <w:rFonts w:ascii="Tahoma" w:hAnsi="Tahoma" w:cs="Tahoma"/>
                            <w:b/>
                            <w:bCs/>
                            <w:color w:val="494949"/>
                            <w:sz w:val="17"/>
                            <w:szCs w:val="17"/>
                          </w:rPr>
                          <w:t>﻿</w:t>
                        </w:r>
                        <w:r>
                          <w:rPr>
                            <w:rFonts w:ascii="Arial" w:hAnsi="Arial" w:cs="Arial"/>
                            <w:b/>
                            <w:bCs/>
                            <w:color w:val="494949"/>
                            <w:sz w:val="17"/>
                            <w:szCs w:val="17"/>
                          </w:rPr>
                          <w:t>Call Service Coordination for all your healthcare needs | Phone (888) 977-3319 | Fax (877) 769-0320</w:t>
                        </w:r>
                      </w:p>
                    </w:tc>
                  </w:tr>
                </w:tbl>
                <w:p w:rsidR="00800ABE" w:rsidRDefault="00800ABE">
                  <w:pPr>
                    <w:rPr>
                      <w:rFonts w:ascii="Times New Roman" w:eastAsia="Times New Roman" w:hAnsi="Times New Roman" w:cs="Times New Roman"/>
                      <w:sz w:val="20"/>
                      <w:szCs w:val="20"/>
                    </w:rPr>
                  </w:pPr>
                </w:p>
              </w:tc>
              <w:tc>
                <w:tcPr>
                  <w:tcW w:w="2250" w:type="pct"/>
                  <w:hideMark/>
                </w:tcPr>
                <w:tbl>
                  <w:tblPr>
                    <w:tblW w:w="5000" w:type="pct"/>
                    <w:tblCellMar>
                      <w:left w:w="0" w:type="dxa"/>
                      <w:right w:w="0" w:type="dxa"/>
                    </w:tblCellMar>
                    <w:tblLook w:val="04A0" w:firstRow="1" w:lastRow="0" w:firstColumn="1" w:lastColumn="0" w:noHBand="0" w:noVBand="1"/>
                  </w:tblPr>
                  <w:tblGrid>
                    <w:gridCol w:w="4212"/>
                  </w:tblGrid>
                  <w:tr w:rsidR="00800ABE">
                    <w:tc>
                      <w:tcPr>
                        <w:tcW w:w="0" w:type="auto"/>
                        <w:hideMark/>
                      </w:tcPr>
                      <w:p w:rsidR="00800ABE" w:rsidRDefault="00800ABE">
                        <w:pPr>
                          <w:jc w:val="center"/>
                        </w:pPr>
                        <w:r>
                          <w:rPr>
                            <w:noProof/>
                          </w:rPr>
                          <w:drawing>
                            <wp:inline distT="0" distB="0" distL="0" distR="0">
                              <wp:extent cx="1733550" cy="857250"/>
                              <wp:effectExtent l="0" t="0" r="0" b="0"/>
                              <wp:docPr id="1" name="Picture 1" descr="https://files.constantcontact.com/9e46757b001/04dcd59e-5b02-4920-9c2b-debb5ea646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9e46757b001/04dcd59e-5b02-4920-9c2b-debb5ea646f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857250"/>
                                      </a:xfrm>
                                      <a:prstGeom prst="rect">
                                        <a:avLst/>
                                      </a:prstGeom>
                                      <a:noFill/>
                                      <a:ln>
                                        <a:noFill/>
                                      </a:ln>
                                    </pic:spPr>
                                  </pic:pic>
                                </a:graphicData>
                              </a:graphic>
                            </wp:inline>
                          </w:drawing>
                        </w:r>
                      </w:p>
                    </w:tc>
                  </w:tr>
                </w:tbl>
                <w:p w:rsidR="00800ABE" w:rsidRDefault="00800ABE">
                  <w:pPr>
                    <w:rPr>
                      <w:rFonts w:ascii="Times New Roman" w:eastAsia="Times New Roman" w:hAnsi="Times New Roman" w:cs="Times New Roman"/>
                      <w:sz w:val="20"/>
                      <w:szCs w:val="20"/>
                    </w:rPr>
                  </w:pPr>
                </w:p>
              </w:tc>
            </w:tr>
          </w:tbl>
          <w:p w:rsidR="00800ABE" w:rsidRDefault="00800ABE">
            <w:pPr>
              <w:jc w:val="center"/>
              <w:rPr>
                <w:rFonts w:eastAsia="Times New Roman"/>
              </w:rPr>
            </w:pPr>
          </w:p>
        </w:tc>
      </w:tr>
    </w:tbl>
    <w:p w:rsidR="00CC292F" w:rsidRDefault="00CC292F"/>
    <w:sectPr w:rsidR="00CC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8782E"/>
    <w:multiLevelType w:val="multilevel"/>
    <w:tmpl w:val="9822C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BE"/>
    <w:rsid w:val="00800ABE"/>
    <w:rsid w:val="00CC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613E0-1306-4C19-9AF2-23CF396C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A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I0d5Cx6YI06YaGzZb6E1QNSqP8Vwm1O2Rl4lJGCq4s_7hVx7GAel3AJ6z2nzH8FBZ0RkvPdv6jDzS_cXuqFnGEaV6mo8CJ2H1dfxQvCjvFCp878d5PM-b4LtVacoMZxLZb4eQHexTU8H_8djvUlesg45vUF230t9-5IKMWlFuo5l8UW5mkUmKdmkyqk5-901xWG7INQVuyuln8neKpsOdKzraQo3IUCo0crF8IBqkS3XCuXuKvxTJBcjQEikmzm-Tvo0q4V-eaPIznFXfGZNhA==&amp;c=81wk8dlNxhiDLf-PiyunsQYQwpVx7jWCx1UR2wYoF6ISt-Wd1T7tCQ==&amp;ch=ubuDJotudqOqq-rCZqD4Y_GAyd0mBpHoFeViIzjuGc1Usv8jFcYlIg==" TargetMode="External"/><Relationship Id="rId5" Type="http://schemas.openxmlformats.org/officeDocument/2006/relationships/hyperlink" Target="http://r20.rs6.net/tn.jsp?f=001I0d5Cx6YI06YaGzZb6E1QNSqP8Vwm1O2Rl4lJGCq4s_7hVx7GAel3AJ6z2nzH8FBe1miHltySAryLgePyUq7a2RWJJmRJVDHwJnzldLGPw9fBlhSgA-HuwRYKsAXXHq5ccLix-gBK2Xtof-7blj6kzaZGGrOhUGaDHXnAo97rkpKX_cl7e12hmjDFNit23ulcB2_SMKBWoJyb0ho6bpDab8aPvzKBQlG6vd45VAhR2cEHY5tLBMuqMzN4zFpHJKtCmOMkoGUtVQhawj8AUyNA6dUVJH-Ty-d&amp;c=81wk8dlNxhiDLf-PiyunsQYQwpVx7jWCx1UR2wYoF6ISt-Wd1T7tCQ==&amp;ch=ubuDJotudqOqq-rCZqD4Y_GAyd0mBpHoFeViIzjuGc1Usv8jFcYlI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1</cp:revision>
  <dcterms:created xsi:type="dcterms:W3CDTF">2020-09-28T17:39:00Z</dcterms:created>
  <dcterms:modified xsi:type="dcterms:W3CDTF">2020-09-28T17:40:00Z</dcterms:modified>
</cp:coreProperties>
</file>