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B059D9" w14:paraId="41905463" w14:textId="77777777" w:rsidTr="00B059D9">
        <w:trPr>
          <w:jc w:val="center"/>
        </w:trPr>
        <w:tc>
          <w:tcPr>
            <w:tcW w:w="0" w:type="auto"/>
            <w:gridSpan w:val="2"/>
            <w:shd w:val="clear" w:color="auto" w:fill="FFFFFF"/>
            <w:hideMark/>
          </w:tcPr>
          <w:p w14:paraId="3ECC601F" w14:textId="4CC32CAF" w:rsidR="00B059D9" w:rsidRDefault="00B059D9">
            <w:r>
              <w:rPr>
                <w:noProof/>
                <w:color w:val="1D5782"/>
              </w:rPr>
              <w:drawing>
                <wp:inline distT="0" distB="0" distL="0" distR="0" wp14:anchorId="5406DA4D" wp14:editId="25190AE1">
                  <wp:extent cx="5715000" cy="1038225"/>
                  <wp:effectExtent l="0" t="0" r="0" b="9525"/>
                  <wp:docPr id="2" name="Picture 2" descr="Dave_Yost_Header">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e_Yost_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038225"/>
                          </a:xfrm>
                          <a:prstGeom prst="rect">
                            <a:avLst/>
                          </a:prstGeom>
                          <a:noFill/>
                          <a:ln>
                            <a:noFill/>
                          </a:ln>
                        </pic:spPr>
                      </pic:pic>
                    </a:graphicData>
                  </a:graphic>
                </wp:inline>
              </w:drawing>
            </w:r>
          </w:p>
        </w:tc>
      </w:tr>
      <w:tr w:rsidR="00B059D9" w:rsidRPr="00B059D9" w14:paraId="2B189A1D" w14:textId="77777777" w:rsidTr="00B059D9">
        <w:trPr>
          <w:jc w:val="center"/>
        </w:trPr>
        <w:tc>
          <w:tcPr>
            <w:tcW w:w="4500" w:type="dxa"/>
            <w:shd w:val="clear" w:color="auto" w:fill="FFFFFF"/>
            <w:tcMar>
              <w:top w:w="150" w:type="dxa"/>
              <w:left w:w="75" w:type="dxa"/>
              <w:bottom w:w="0" w:type="dxa"/>
              <w:right w:w="0" w:type="dxa"/>
            </w:tcMar>
            <w:hideMark/>
          </w:tcPr>
          <w:p w14:paraId="59022C9C" w14:textId="77777777" w:rsidR="00B059D9" w:rsidRPr="00B059D9" w:rsidRDefault="00B059D9">
            <w:pPr>
              <w:pStyle w:val="gdp"/>
              <w:spacing w:after="240" w:afterAutospacing="0"/>
              <w:rPr>
                <w:rFonts w:ascii="Garamond" w:hAnsi="Garamond"/>
                <w:sz w:val="18"/>
                <w:szCs w:val="18"/>
              </w:rPr>
            </w:pPr>
            <w:r w:rsidRPr="00B059D9">
              <w:rPr>
                <w:rStyle w:val="Strong"/>
                <w:rFonts w:ascii="Garamond" w:hAnsi="Garamond"/>
                <w:color w:val="000000"/>
                <w:sz w:val="18"/>
                <w:szCs w:val="18"/>
              </w:rPr>
              <w:t>FOR IMMEDIATE RELEASE:</w:t>
            </w:r>
            <w:r w:rsidRPr="00B059D9">
              <w:rPr>
                <w:rFonts w:ascii="Garamond" w:hAnsi="Garamond"/>
                <w:b/>
                <w:bCs/>
                <w:color w:val="000000"/>
                <w:sz w:val="18"/>
                <w:szCs w:val="18"/>
              </w:rPr>
              <w:br/>
            </w:r>
            <w:r w:rsidRPr="00B059D9">
              <w:rPr>
                <w:rStyle w:val="Strong"/>
                <w:rFonts w:ascii="Garamond" w:hAnsi="Garamond"/>
                <w:color w:val="000000"/>
                <w:sz w:val="18"/>
                <w:szCs w:val="18"/>
              </w:rPr>
              <w:t>January 4, 2023</w:t>
            </w:r>
          </w:p>
        </w:tc>
        <w:tc>
          <w:tcPr>
            <w:tcW w:w="4500" w:type="dxa"/>
            <w:shd w:val="clear" w:color="auto" w:fill="FFFFFF"/>
            <w:tcMar>
              <w:top w:w="150" w:type="dxa"/>
              <w:left w:w="0" w:type="dxa"/>
              <w:bottom w:w="0" w:type="dxa"/>
              <w:right w:w="75" w:type="dxa"/>
            </w:tcMar>
            <w:hideMark/>
          </w:tcPr>
          <w:p w14:paraId="437643EC" w14:textId="77777777" w:rsidR="00B059D9" w:rsidRPr="00B059D9" w:rsidRDefault="00B059D9">
            <w:pPr>
              <w:pStyle w:val="gdp"/>
              <w:spacing w:after="240" w:afterAutospacing="0"/>
              <w:jc w:val="right"/>
              <w:rPr>
                <w:rFonts w:ascii="Garamond" w:hAnsi="Garamond"/>
                <w:sz w:val="18"/>
                <w:szCs w:val="18"/>
              </w:rPr>
            </w:pPr>
            <w:r w:rsidRPr="00B059D9">
              <w:rPr>
                <w:rStyle w:val="Strong"/>
                <w:rFonts w:ascii="Garamond" w:hAnsi="Garamond"/>
                <w:color w:val="000000"/>
                <w:sz w:val="18"/>
                <w:szCs w:val="18"/>
              </w:rPr>
              <w:t>MEDIA CONTACT:</w:t>
            </w:r>
            <w:r w:rsidRPr="00B059D9">
              <w:rPr>
                <w:rFonts w:ascii="Garamond" w:hAnsi="Garamond"/>
                <w:b/>
                <w:bCs/>
                <w:color w:val="000000"/>
                <w:sz w:val="18"/>
                <w:szCs w:val="18"/>
              </w:rPr>
              <w:br/>
            </w:r>
            <w:r w:rsidRPr="00B059D9">
              <w:rPr>
                <w:rStyle w:val="Strong"/>
                <w:rFonts w:ascii="Garamond" w:hAnsi="Garamond"/>
                <w:color w:val="000000"/>
                <w:sz w:val="18"/>
                <w:szCs w:val="18"/>
              </w:rPr>
              <w:t>Kelly May: 614-813-7419</w:t>
            </w:r>
          </w:p>
        </w:tc>
      </w:tr>
      <w:tr w:rsidR="00B059D9" w14:paraId="56263472" w14:textId="77777777" w:rsidTr="00B059D9">
        <w:trPr>
          <w:jc w:val="center"/>
        </w:trPr>
        <w:tc>
          <w:tcPr>
            <w:tcW w:w="0" w:type="auto"/>
            <w:gridSpan w:val="2"/>
            <w:shd w:val="clear" w:color="auto" w:fill="FFFFFF"/>
            <w:tcMar>
              <w:top w:w="0" w:type="dxa"/>
              <w:left w:w="75" w:type="dxa"/>
              <w:bottom w:w="0" w:type="dxa"/>
              <w:right w:w="75" w:type="dxa"/>
            </w:tcMar>
            <w:hideMark/>
          </w:tcPr>
          <w:p w14:paraId="6267B874" w14:textId="77777777" w:rsidR="00B059D9" w:rsidRPr="00B059D9" w:rsidRDefault="00B059D9" w:rsidP="00B059D9">
            <w:pPr>
              <w:pStyle w:val="Heading1"/>
              <w:spacing w:before="0" w:beforeAutospacing="0" w:after="75" w:afterAutospacing="0"/>
              <w:jc w:val="center"/>
              <w:rPr>
                <w:rFonts w:ascii="Garamond" w:eastAsia="Times New Roman" w:hAnsi="Garamond"/>
                <w:sz w:val="22"/>
                <w:szCs w:val="22"/>
              </w:rPr>
            </w:pPr>
            <w:r w:rsidRPr="00B059D9">
              <w:rPr>
                <w:rFonts w:ascii="Garamond" w:eastAsia="Times New Roman" w:hAnsi="Garamond"/>
                <w:color w:val="000000"/>
                <w:sz w:val="22"/>
                <w:szCs w:val="22"/>
              </w:rPr>
              <w:t>Fraud Free in 2023: AG Yost Launches</w:t>
            </w:r>
          </w:p>
          <w:p w14:paraId="401C1BB3" w14:textId="77777777" w:rsidR="00B059D9" w:rsidRPr="00B059D9" w:rsidRDefault="00B059D9">
            <w:pPr>
              <w:pStyle w:val="Heading1"/>
              <w:spacing w:before="0" w:beforeAutospacing="0" w:after="75" w:afterAutospacing="0"/>
              <w:jc w:val="center"/>
              <w:rPr>
                <w:rFonts w:ascii="Garamond" w:eastAsia="Times New Roman" w:hAnsi="Garamond"/>
                <w:sz w:val="22"/>
                <w:szCs w:val="22"/>
              </w:rPr>
            </w:pPr>
            <w:r w:rsidRPr="00B059D9">
              <w:rPr>
                <w:rFonts w:ascii="Garamond" w:eastAsia="Times New Roman" w:hAnsi="Garamond"/>
                <w:color w:val="000000"/>
                <w:sz w:val="22"/>
                <w:szCs w:val="22"/>
              </w:rPr>
              <w:t>'Charitable University' to Help Protect Ohio Nonprofits</w:t>
            </w:r>
          </w:p>
          <w:p w14:paraId="115F688A" w14:textId="77777777" w:rsidR="00B059D9" w:rsidRPr="00B059D9" w:rsidRDefault="00B059D9">
            <w:pPr>
              <w:pStyle w:val="NormalWeb"/>
              <w:spacing w:after="150" w:afterAutospacing="0"/>
              <w:rPr>
                <w:rFonts w:ascii="Garamond" w:hAnsi="Garamond"/>
              </w:rPr>
            </w:pPr>
            <w:r w:rsidRPr="00B059D9">
              <w:rPr>
                <w:rFonts w:ascii="Garamond" w:hAnsi="Garamond"/>
                <w:color w:val="000000"/>
              </w:rPr>
              <w:t xml:space="preserve">(COLUMBUS, Ohio) — Ohio Attorney General Dave Yost today announced the launch of a new training and accountability resource for Ohio nonprofits called Charitable University or </w:t>
            </w:r>
            <w:proofErr w:type="spellStart"/>
            <w:r w:rsidRPr="00B059D9">
              <w:rPr>
                <w:rFonts w:ascii="Garamond" w:hAnsi="Garamond"/>
                <w:color w:val="000000"/>
              </w:rPr>
              <w:t>CharitableU</w:t>
            </w:r>
            <w:proofErr w:type="spellEnd"/>
            <w:r w:rsidRPr="00B059D9">
              <w:rPr>
                <w:rFonts w:ascii="Garamond" w:hAnsi="Garamond"/>
                <w:color w:val="000000"/>
              </w:rPr>
              <w:t>.</w:t>
            </w:r>
          </w:p>
          <w:p w14:paraId="143A26B0" w14:textId="77777777" w:rsidR="00B059D9" w:rsidRPr="00B059D9" w:rsidRDefault="00B059D9">
            <w:pPr>
              <w:pStyle w:val="NormalWeb"/>
              <w:spacing w:after="150" w:afterAutospacing="0"/>
              <w:rPr>
                <w:rFonts w:ascii="Garamond" w:hAnsi="Garamond"/>
              </w:rPr>
            </w:pPr>
            <w:r w:rsidRPr="00B059D9">
              <w:rPr>
                <w:rFonts w:ascii="Garamond" w:hAnsi="Garamond"/>
                <w:color w:val="000000"/>
              </w:rPr>
              <w:t xml:space="preserve">This </w:t>
            </w:r>
            <w:hyperlink r:id="rId6" w:history="1">
              <w:r w:rsidRPr="00B059D9">
                <w:rPr>
                  <w:rStyle w:val="Hyperlink"/>
                  <w:rFonts w:ascii="Garamond" w:hAnsi="Garamond"/>
                  <w:color w:val="0000EE"/>
                </w:rPr>
                <w:t>online learning platform</w:t>
              </w:r>
            </w:hyperlink>
            <w:r w:rsidRPr="00B059D9">
              <w:rPr>
                <w:rFonts w:ascii="Garamond" w:hAnsi="Garamond"/>
                <w:color w:val="000000"/>
              </w:rPr>
              <w:t xml:space="preserve"> is designed to educate members of charity boards about both their legal obligations, as well as best practices for running their organizations.</w:t>
            </w:r>
          </w:p>
          <w:p w14:paraId="15EAFC64" w14:textId="77777777" w:rsidR="00B059D9" w:rsidRPr="00B059D9" w:rsidRDefault="00B059D9">
            <w:pPr>
              <w:pStyle w:val="NormalWeb"/>
              <w:spacing w:after="150" w:afterAutospacing="0"/>
              <w:rPr>
                <w:rFonts w:ascii="Garamond" w:hAnsi="Garamond"/>
              </w:rPr>
            </w:pPr>
            <w:r w:rsidRPr="00B059D9">
              <w:rPr>
                <w:rFonts w:ascii="Garamond" w:hAnsi="Garamond"/>
                <w:color w:val="000000"/>
              </w:rPr>
              <w:t>“Every time an Ohioan gives money to charity, he or she is performing act of faith,” AG Yost said. “We want to make sure that board members and charity leaders are faithful stewards of the money they receive.”</w:t>
            </w:r>
          </w:p>
          <w:p w14:paraId="72E1429F" w14:textId="77777777" w:rsidR="00B059D9" w:rsidRPr="00B059D9" w:rsidRDefault="00B059D9">
            <w:pPr>
              <w:pStyle w:val="NormalWeb"/>
              <w:spacing w:after="150" w:afterAutospacing="0"/>
              <w:rPr>
                <w:rFonts w:ascii="Garamond" w:hAnsi="Garamond"/>
              </w:rPr>
            </w:pPr>
            <w:r w:rsidRPr="00B059D9">
              <w:rPr>
                <w:rFonts w:ascii="Garamond" w:hAnsi="Garamond"/>
                <w:color w:val="000000"/>
              </w:rPr>
              <w:t>The Ohio Attorney General’s Office oversees more than 60,000 active nonprofit organizations annually, with combined assets of more than $300 billion. The AGO’s Charitable Law section is charged with ensuring public trust in the charitable sector through transparency and accountability; enforcing standards; and holding bad actors accountable.</w:t>
            </w:r>
          </w:p>
          <w:p w14:paraId="46C5B3BD" w14:textId="77777777" w:rsidR="00B059D9" w:rsidRPr="00B059D9" w:rsidRDefault="00B059D9">
            <w:pPr>
              <w:pStyle w:val="NormalWeb"/>
              <w:spacing w:after="150" w:afterAutospacing="0"/>
              <w:rPr>
                <w:rFonts w:ascii="Garamond" w:hAnsi="Garamond"/>
              </w:rPr>
            </w:pPr>
            <w:r w:rsidRPr="00B059D9">
              <w:rPr>
                <w:rFonts w:ascii="Garamond" w:hAnsi="Garamond"/>
                <w:color w:val="000000"/>
              </w:rPr>
              <w:t xml:space="preserve">Users registering in the </w:t>
            </w:r>
            <w:hyperlink r:id="rId7" w:history="1">
              <w:proofErr w:type="spellStart"/>
              <w:r w:rsidRPr="00B059D9">
                <w:rPr>
                  <w:rStyle w:val="Hyperlink"/>
                  <w:rFonts w:ascii="Garamond" w:hAnsi="Garamond"/>
                  <w:color w:val="0000EE"/>
                </w:rPr>
                <w:t>CharitableU</w:t>
              </w:r>
              <w:proofErr w:type="spellEnd"/>
              <w:r w:rsidRPr="00B059D9">
                <w:rPr>
                  <w:rStyle w:val="Hyperlink"/>
                  <w:rFonts w:ascii="Garamond" w:hAnsi="Garamond"/>
                  <w:color w:val="0000EE"/>
                </w:rPr>
                <w:t xml:space="preserve"> system</w:t>
              </w:r>
            </w:hyperlink>
            <w:r w:rsidRPr="00B059D9">
              <w:rPr>
                <w:rFonts w:ascii="Garamond" w:hAnsi="Garamond"/>
                <w:color w:val="000000"/>
              </w:rPr>
              <w:t xml:space="preserve"> will find a series of short webinars and resources that are critical for effective leadership. Trainings on the platform cover the following “pillars”: board governance, financial operations and internal controls, filings and recordkeeping, and fundraising. Additional webinars will be added to each </w:t>
            </w:r>
            <w:proofErr w:type="spellStart"/>
            <w:r w:rsidRPr="00B059D9">
              <w:rPr>
                <w:rFonts w:ascii="Garamond" w:hAnsi="Garamond"/>
                <w:color w:val="000000"/>
              </w:rPr>
              <w:t>CharitableU</w:t>
            </w:r>
            <w:proofErr w:type="spellEnd"/>
            <w:r w:rsidRPr="00B059D9">
              <w:rPr>
                <w:rFonts w:ascii="Garamond" w:hAnsi="Garamond"/>
                <w:color w:val="000000"/>
              </w:rPr>
              <w:t xml:space="preserve"> curriculum pillar throughout the year.</w:t>
            </w:r>
          </w:p>
          <w:p w14:paraId="298D3BBE" w14:textId="77777777" w:rsidR="00B059D9" w:rsidRPr="00B059D9" w:rsidRDefault="00B059D9">
            <w:pPr>
              <w:pStyle w:val="NormalWeb"/>
              <w:spacing w:after="150" w:afterAutospacing="0"/>
              <w:rPr>
                <w:rFonts w:ascii="Garamond" w:hAnsi="Garamond"/>
              </w:rPr>
            </w:pPr>
            <w:r w:rsidRPr="00B059D9">
              <w:rPr>
                <w:rFonts w:ascii="Garamond" w:hAnsi="Garamond"/>
                <w:color w:val="000000"/>
              </w:rPr>
              <w:t xml:space="preserve">To encourage organizations to be fraud free in 2023, completion of </w:t>
            </w:r>
            <w:proofErr w:type="spellStart"/>
            <w:r w:rsidRPr="00B059D9">
              <w:rPr>
                <w:rFonts w:ascii="Garamond" w:hAnsi="Garamond"/>
                <w:color w:val="000000"/>
              </w:rPr>
              <w:t>CharitableU</w:t>
            </w:r>
            <w:proofErr w:type="spellEnd"/>
            <w:r w:rsidRPr="00B059D9">
              <w:rPr>
                <w:rFonts w:ascii="Garamond" w:hAnsi="Garamond"/>
                <w:color w:val="000000"/>
              </w:rPr>
              <w:t xml:space="preserve"> will now be required for nonprofits who wish to apply for grant funds available from the Attorney General’s Office.</w:t>
            </w:r>
          </w:p>
          <w:p w14:paraId="2A39B8F3" w14:textId="77777777" w:rsidR="00B059D9" w:rsidRPr="00B059D9" w:rsidRDefault="00B059D9">
            <w:pPr>
              <w:pStyle w:val="NormalWeb"/>
              <w:spacing w:after="150" w:afterAutospacing="0"/>
              <w:rPr>
                <w:rFonts w:ascii="Garamond" w:hAnsi="Garamond"/>
              </w:rPr>
            </w:pPr>
            <w:r w:rsidRPr="00B059D9">
              <w:rPr>
                <w:rFonts w:ascii="Garamond" w:hAnsi="Garamond"/>
                <w:color w:val="000000"/>
              </w:rPr>
              <w:t xml:space="preserve">For transparency, organizations who complete </w:t>
            </w:r>
            <w:proofErr w:type="spellStart"/>
            <w:r w:rsidRPr="00B059D9">
              <w:rPr>
                <w:rFonts w:ascii="Garamond" w:hAnsi="Garamond"/>
                <w:color w:val="000000"/>
              </w:rPr>
              <w:t>CharitableU</w:t>
            </w:r>
            <w:proofErr w:type="spellEnd"/>
            <w:r w:rsidRPr="00B059D9">
              <w:rPr>
                <w:rFonts w:ascii="Garamond" w:hAnsi="Garamond"/>
                <w:color w:val="000000"/>
              </w:rPr>
              <w:t xml:space="preserve"> will be listed on the </w:t>
            </w:r>
            <w:proofErr w:type="spellStart"/>
            <w:r w:rsidRPr="00B059D9">
              <w:rPr>
                <w:rFonts w:ascii="Garamond" w:hAnsi="Garamond"/>
                <w:color w:val="000000"/>
              </w:rPr>
              <w:t>CharitableU</w:t>
            </w:r>
            <w:proofErr w:type="spellEnd"/>
            <w:r w:rsidRPr="00B059D9">
              <w:rPr>
                <w:rFonts w:ascii="Garamond" w:hAnsi="Garamond"/>
                <w:color w:val="000000"/>
              </w:rPr>
              <w:t xml:space="preserve"> website. Users will receive a certificate for completing the training, which will expire after three years as laws and best practices continually evolve.</w:t>
            </w:r>
          </w:p>
          <w:p w14:paraId="0378FC5A" w14:textId="77777777" w:rsidR="00B059D9" w:rsidRPr="00B059D9" w:rsidRDefault="00B059D9">
            <w:pPr>
              <w:pStyle w:val="NormalWeb"/>
              <w:spacing w:after="150" w:afterAutospacing="0"/>
              <w:rPr>
                <w:rFonts w:ascii="Garamond" w:hAnsi="Garamond"/>
                <w:sz w:val="20"/>
                <w:szCs w:val="20"/>
              </w:rPr>
            </w:pPr>
            <w:r w:rsidRPr="00B059D9">
              <w:rPr>
                <w:rFonts w:ascii="Garamond" w:hAnsi="Garamond"/>
                <w:color w:val="000000"/>
                <w:sz w:val="20"/>
                <w:szCs w:val="20"/>
              </w:rPr>
              <w:t>Hear more from AG Yost:</w:t>
            </w:r>
          </w:p>
          <w:p w14:paraId="5375B367" w14:textId="77777777" w:rsidR="00B059D9" w:rsidRPr="00B059D9" w:rsidRDefault="00B059D9">
            <w:pPr>
              <w:pStyle w:val="NormalWeb"/>
              <w:spacing w:after="150" w:afterAutospacing="0"/>
              <w:rPr>
                <w:rFonts w:ascii="Garamond" w:hAnsi="Garamond"/>
                <w:sz w:val="20"/>
                <w:szCs w:val="20"/>
              </w:rPr>
            </w:pPr>
            <w:hyperlink r:id="rId8" w:history="1">
              <w:r w:rsidRPr="00B059D9">
                <w:rPr>
                  <w:rStyle w:val="Hyperlink"/>
                  <w:rFonts w:ascii="Garamond" w:hAnsi="Garamond"/>
                  <w:color w:val="0000EE"/>
                  <w:sz w:val="20"/>
                  <w:szCs w:val="20"/>
                </w:rPr>
                <w:t>“Where there’s allegations of abuse, we do investigations of charities…”</w:t>
              </w:r>
            </w:hyperlink>
            <w:r w:rsidRPr="00B059D9">
              <w:rPr>
                <w:rStyle w:val="Emphasis"/>
                <w:rFonts w:ascii="Garamond" w:hAnsi="Garamond"/>
                <w:color w:val="000000"/>
                <w:sz w:val="20"/>
                <w:szCs w:val="20"/>
              </w:rPr>
              <w:t> </w:t>
            </w:r>
          </w:p>
          <w:p w14:paraId="657064C9" w14:textId="77777777" w:rsidR="00B059D9" w:rsidRPr="00B059D9" w:rsidRDefault="00B059D9">
            <w:pPr>
              <w:pStyle w:val="NormalWeb"/>
              <w:spacing w:after="150" w:afterAutospacing="0"/>
              <w:rPr>
                <w:rFonts w:ascii="Garamond" w:hAnsi="Garamond"/>
                <w:sz w:val="20"/>
                <w:szCs w:val="20"/>
              </w:rPr>
            </w:pPr>
            <w:hyperlink r:id="rId9" w:history="1">
              <w:r w:rsidRPr="00B059D9">
                <w:rPr>
                  <w:rStyle w:val="Hyperlink"/>
                  <w:rFonts w:ascii="Garamond" w:hAnsi="Garamond"/>
                  <w:color w:val="0000EE"/>
                  <w:sz w:val="20"/>
                  <w:szCs w:val="20"/>
                </w:rPr>
                <w:t>“The most important thing is you’re dealing with other people’s money…”</w:t>
              </w:r>
            </w:hyperlink>
          </w:p>
          <w:p w14:paraId="23D76237" w14:textId="77777777" w:rsidR="00B059D9" w:rsidRPr="00B059D9" w:rsidRDefault="00B059D9">
            <w:pPr>
              <w:pStyle w:val="NormalWeb"/>
              <w:spacing w:after="150" w:afterAutospacing="0"/>
              <w:rPr>
                <w:rFonts w:ascii="Garamond" w:hAnsi="Garamond"/>
                <w:sz w:val="20"/>
                <w:szCs w:val="20"/>
              </w:rPr>
            </w:pPr>
            <w:hyperlink r:id="rId10" w:history="1">
              <w:r w:rsidRPr="00B059D9">
                <w:rPr>
                  <w:rStyle w:val="Hyperlink"/>
                  <w:rFonts w:ascii="Garamond" w:hAnsi="Garamond"/>
                  <w:color w:val="0000EE"/>
                  <w:sz w:val="20"/>
                  <w:szCs w:val="20"/>
                </w:rPr>
                <w:t>“It says to the world out there that you cared enough to go take a</w:t>
              </w:r>
            </w:hyperlink>
            <w:hyperlink r:id="rId11" w:history="1">
              <w:r w:rsidRPr="00B059D9">
                <w:rPr>
                  <w:rStyle w:val="Hyperlink"/>
                  <w:rFonts w:ascii="Garamond" w:hAnsi="Garamond"/>
                  <w:color w:val="0000EE"/>
                  <w:sz w:val="20"/>
                  <w:szCs w:val="20"/>
                </w:rPr>
                <w:t xml:space="preserve"> course…”</w:t>
              </w:r>
            </w:hyperlink>
          </w:p>
          <w:p w14:paraId="18DFA0BD" w14:textId="77777777" w:rsidR="00B059D9" w:rsidRPr="00B059D9" w:rsidRDefault="00B059D9">
            <w:pPr>
              <w:pStyle w:val="Heading3"/>
              <w:spacing w:before="45" w:beforeAutospacing="0" w:after="150" w:afterAutospacing="0"/>
              <w:jc w:val="center"/>
              <w:rPr>
                <w:rFonts w:ascii="Garamond" w:eastAsia="Times New Roman" w:hAnsi="Garamond"/>
                <w:sz w:val="22"/>
                <w:szCs w:val="22"/>
              </w:rPr>
            </w:pPr>
            <w:r w:rsidRPr="00B059D9">
              <w:rPr>
                <w:rFonts w:ascii="Garamond" w:eastAsia="Times New Roman" w:hAnsi="Garamond"/>
                <w:color w:val="000000"/>
                <w:sz w:val="22"/>
                <w:szCs w:val="22"/>
              </w:rPr>
              <w:t>–30–</w:t>
            </w:r>
          </w:p>
        </w:tc>
      </w:tr>
      <w:tr w:rsidR="00B059D9" w14:paraId="0D965679" w14:textId="77777777" w:rsidTr="00B059D9">
        <w:trPr>
          <w:jc w:val="center"/>
        </w:trPr>
        <w:tc>
          <w:tcPr>
            <w:tcW w:w="0" w:type="auto"/>
            <w:gridSpan w:val="2"/>
            <w:shd w:val="clear" w:color="auto" w:fill="FFFFFF"/>
            <w:hideMark/>
          </w:tcPr>
          <w:p w14:paraId="12B6E5B0" w14:textId="5E081F97" w:rsidR="00B059D9" w:rsidRDefault="00B059D9">
            <w:r>
              <w:rPr>
                <w:noProof/>
                <w:color w:val="1D5782"/>
              </w:rPr>
              <w:drawing>
                <wp:inline distT="0" distB="0" distL="0" distR="0" wp14:anchorId="3EEDAB2B" wp14:editId="1D338F2B">
                  <wp:extent cx="5715000" cy="1343025"/>
                  <wp:effectExtent l="0" t="0" r="0" b="9525"/>
                  <wp:docPr id="1" name="Picture 1" descr="Dave_Yost_Foo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e_Yost_Foo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343025"/>
                          </a:xfrm>
                          <a:prstGeom prst="rect">
                            <a:avLst/>
                          </a:prstGeom>
                          <a:noFill/>
                          <a:ln>
                            <a:noFill/>
                          </a:ln>
                        </pic:spPr>
                      </pic:pic>
                    </a:graphicData>
                  </a:graphic>
                </wp:inline>
              </w:drawing>
            </w:r>
          </w:p>
        </w:tc>
      </w:tr>
    </w:tbl>
    <w:p w14:paraId="23C2F489" w14:textId="77777777" w:rsidR="00FF3CB1" w:rsidRDefault="00FF3CB1" w:rsidP="00B059D9"/>
    <w:sectPr w:rsidR="00FF3CB1" w:rsidSect="00B059D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D9"/>
    <w:rsid w:val="00B059D9"/>
    <w:rsid w:val="00EB6C10"/>
    <w:rsid w:val="00FF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3B36"/>
  <w15:chartTrackingRefBased/>
  <w15:docId w15:val="{D49D84CA-6F16-4F6F-B48F-40CB6D1F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9D9"/>
    <w:pPr>
      <w:spacing w:after="0" w:line="240" w:lineRule="auto"/>
    </w:pPr>
    <w:rPr>
      <w:rFonts w:ascii="Calibri" w:hAnsi="Calibri" w:cs="Calibri"/>
    </w:rPr>
  </w:style>
  <w:style w:type="paragraph" w:styleId="Heading1">
    <w:name w:val="heading 1"/>
    <w:basedOn w:val="Normal"/>
    <w:link w:val="Heading1Char"/>
    <w:uiPriority w:val="9"/>
    <w:qFormat/>
    <w:rsid w:val="00B059D9"/>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B059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9D9"/>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B059D9"/>
    <w:rPr>
      <w:rFonts w:ascii="Calibri" w:hAnsi="Calibri" w:cs="Calibri"/>
      <w:b/>
      <w:bCs/>
      <w:sz w:val="27"/>
      <w:szCs w:val="27"/>
    </w:rPr>
  </w:style>
  <w:style w:type="character" w:styleId="Hyperlink">
    <w:name w:val="Hyperlink"/>
    <w:basedOn w:val="DefaultParagraphFont"/>
    <w:uiPriority w:val="99"/>
    <w:semiHidden/>
    <w:unhideWhenUsed/>
    <w:rsid w:val="00B059D9"/>
    <w:rPr>
      <w:color w:val="0000FF"/>
      <w:u w:val="single"/>
    </w:rPr>
  </w:style>
  <w:style w:type="paragraph" w:styleId="NormalWeb">
    <w:name w:val="Normal (Web)"/>
    <w:basedOn w:val="Normal"/>
    <w:uiPriority w:val="99"/>
    <w:semiHidden/>
    <w:unhideWhenUsed/>
    <w:rsid w:val="00B059D9"/>
    <w:pPr>
      <w:spacing w:before="100" w:beforeAutospacing="1" w:after="100" w:afterAutospacing="1"/>
    </w:pPr>
  </w:style>
  <w:style w:type="paragraph" w:customStyle="1" w:styleId="gdp">
    <w:name w:val="gd_p"/>
    <w:basedOn w:val="Normal"/>
    <w:uiPriority w:val="99"/>
    <w:semiHidden/>
    <w:rsid w:val="00B059D9"/>
    <w:pPr>
      <w:spacing w:before="100" w:beforeAutospacing="1" w:after="100" w:afterAutospacing="1"/>
    </w:pPr>
  </w:style>
  <w:style w:type="character" w:styleId="Strong">
    <w:name w:val="Strong"/>
    <w:basedOn w:val="DefaultParagraphFont"/>
    <w:uiPriority w:val="22"/>
    <w:qFormat/>
    <w:rsid w:val="00B059D9"/>
    <w:rPr>
      <w:b/>
      <w:bCs/>
    </w:rPr>
  </w:style>
  <w:style w:type="character" w:styleId="Emphasis">
    <w:name w:val="Emphasis"/>
    <w:basedOn w:val="DefaultParagraphFont"/>
    <w:uiPriority w:val="20"/>
    <w:qFormat/>
    <w:rsid w:val="00B059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2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lnks.gd%2Fl%2FeyJhbGciOiJIUzI1NiJ9.eyJidWxsZXRpbl9saW5rX2lkIjoxMDMsInVyaSI6ImJwMjpjbGljayIsImJ1bGxldGluX2lkIjoiMjAyMzAxMDQuNjkyMTc1OTEiLCJ1cmwiOiJodHRwczovL3d3dy55b3V0dWJlLmNvbS93YXRjaD92PXlJWlprZGhRdnNJIn0.-vaGt_3Is064vUQT-TGNwEsRfDtgf_uIw6I2Di_Y-a0%2Fs%2F2916783913%2Fbr%2F151703619305-l&amp;data=05%7C01%7Cjames.shaw%40ohioago.gov%7C2486410286ce4bda1cfc08daee750012%7C16bb85b3d21e4dd2a07c7c114cf57b55%7C0%7C0%7C638084483594786460%7CUnknown%7CTWFpbGZsb3d8eyJWIjoiMC4wLjAwMDAiLCJQIjoiV2luMzIiLCJBTiI6Ik1haWwiLCJXVCI6Mn0%3D%7C3000%7C%7C%7C&amp;sdata=psz0kwsAGkRdJfLO4oDITcdmfk%2F0x4iHeDlbKJU4yVA%3D&amp;reserved=0"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gcc02.safelinks.protection.outlook.com/?url=https%3A%2F%2Flnks.gd%2Fl%2FeyJhbGciOiJIUzI1NiJ9.eyJidWxsZXRpbl9saW5rX2lkIjoxMDIsInVyaSI6ImJwMjpjbGljayIsImJ1bGxldGluX2lkIjoiMjAyMzAxMDQuNjkyMTc1OTEiLCJ1cmwiOiJodHRwczovL2NoYXJpdGFibGV1bml2ZXJzaXR5LmlucXVpc2lxbG1zLmNvbS9EZWZhdWx0LmFzcHgifQ._LYCXK44pm8extpcAzVgzicr9AELWjrkC9whgzsI0dw%2Fs%2F2916783913%2Fbr%2F151703619305-l&amp;data=05%7C01%7Cjames.shaw%40ohioago.gov%7C2486410286ce4bda1cfc08daee750012%7C16bb85b3d21e4dd2a07c7c114cf57b55%7C0%7C0%7C638084483594786460%7CUnknown%7CTWFpbGZsb3d8eyJWIjoiMC4wLjAwMDAiLCJQIjoiV2luMzIiLCJBTiI6Ik1haWwiLCJXVCI6Mn0%3D%7C3000%7C%7C%7C&amp;sdata=Wk%2FyHlXAcR%2FR5B%2B7t5BTBWm8Ft2q9ABbS7IIESOzWfA%3D&amp;reserved=0" TargetMode="External"/><Relationship Id="rId12" Type="http://schemas.openxmlformats.org/officeDocument/2006/relationships/hyperlink" Target="https://gcc02.safelinks.protection.outlook.com/?url=https%3A%2F%2Flnks.gd%2Fl%2FeyJhbGciOiJIUzI1NiJ9.eyJidWxsZXRpbl9saW5rX2lkIjoxMDcsInVyaSI6ImJwMjpjbGljayIsImJ1bGxldGluX2lkIjoiMjAyMzAxMDQuNjkyMTc1OTEiLCJ1cmwiOiJodHRwczovL3d3dy5vaGlvYXR0b3JuZXlnZW5lcmFsLmdvdi8ifQ.NnP87F9RnsjVzMLRWpIfLT4Wtae3Qx7MT3v_Sk2_vR0%2Fs%2F2916783913%2Fbr%2F151703619305-l&amp;data=05%7C01%7Cjames.shaw%40ohioago.gov%7C2486410286ce4bda1cfc08daee750012%7C16bb85b3d21e4dd2a07c7c114cf57b55%7C0%7C0%7C638084483594786460%7CUnknown%7CTWFpbGZsb3d8eyJWIjoiMC4wLjAwMDAiLCJQIjoiV2luMzIiLCJBTiI6Ik1haWwiLCJXVCI6Mn0%3D%7C3000%7C%7C%7C&amp;sdata=fkqZesjwAVuNZJQIJihm6KposlDUJbjmepbTo2hckFc%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lnks.gd%2Fl%2FeyJhbGciOiJIUzI1NiJ9.eyJidWxsZXRpbl9saW5rX2lkIjoxMDEsInVyaSI6ImJwMjpjbGljayIsImJ1bGxldGluX2lkIjoiMjAyMzAxMDQuNjkyMTc1OTEiLCJ1cmwiOiJodHRwczovL2NoYXJpdGFibGUub2hpb2Fnby5nb3YvQ2hhcml0YWJsZS1Vbml2ZXJzaXR5In0.NrgB36xgGAp7CV-R8pTjbWv5FKahALsT3b29qdlwqjE%2Fs%2F2916783913%2Fbr%2F151703619305-l&amp;data=05%7C01%7Cjames.shaw%40ohioago.gov%7C2486410286ce4bda1cfc08daee750012%7C16bb85b3d21e4dd2a07c7c114cf57b55%7C0%7C0%7C638084483594786460%7CUnknown%7CTWFpbGZsb3d8eyJWIjoiMC4wLjAwMDAiLCJQIjoiV2luMzIiLCJBTiI6Ik1haWwiLCJXVCI6Mn0%3D%7C3000%7C%7C%7C&amp;sdata=pQgolT5tNDB4mg643BjICUlQtJSW80AgC0kw6GgKvV0%3D&amp;reserved=0" TargetMode="External"/><Relationship Id="rId11" Type="http://schemas.openxmlformats.org/officeDocument/2006/relationships/hyperlink" Target="https://gcc02.safelinks.protection.outlook.com/?url=https%3A%2F%2Flnks.gd%2Fl%2FeyJhbGciOiJIUzI1NiJ9.eyJidWxsZXRpbl9saW5rX2lkIjoxMDYsInVyaSI6ImJwMjpjbGljayIsImJ1bGxldGluX2lkIjoiMjAyMzAxMDQuNjkyMTc1OTEiLCJ1cmwiOiJodHRwczovL3d3dy55b3V0dWJlLmNvbS93YXRjaD92PTlkY2lOQ0VQemtRIn0.flfhkO5le_t-BtbZR8IzfFyZCLWgmfUcfmUW-2442ys%2Fs%2F2916783913%2Fbr%2F151703619305-l&amp;data=05%7C01%7Cjames.shaw%40ohioago.gov%7C2486410286ce4bda1cfc08daee750012%7C16bb85b3d21e4dd2a07c7c114cf57b55%7C0%7C0%7C638084483594786460%7CUnknown%7CTWFpbGZsb3d8eyJWIjoiMC4wLjAwMDAiLCJQIjoiV2luMzIiLCJBTiI6Ik1haWwiLCJXVCI6Mn0%3D%7C3000%7C%7C%7C&amp;sdata=caJ7eM3Q0VyKwdJwXYXJWT2M3QWY6okwnRax6hBuCQ8%3D&amp;reserved=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gcc02.safelinks.protection.outlook.com/?url=https%3A%2F%2Flnks.gd%2Fl%2FeyJhbGciOiJIUzI1NiJ9.eyJidWxsZXRpbl9saW5rX2lkIjoxMDUsInVyaSI6ImJwMjpjbGljayIsImJ1bGxldGluX2lkIjoiMjAyMzAxMDQuNjkyMTc1OTEiLCJ1cmwiOiJodHRwczovL3d3dy55b3V0dWJlLmNvbS93YXRjaD92PTlkY2lOQ0VQemtRIn0.SM64xpy2HtAtJygevT4wQhJ5r-de7LurKW7ePXzK-QQ%2Fs%2F2916783913%2Fbr%2F151703619305-l&amp;data=05%7C01%7Cjames.shaw%40ohioago.gov%7C2486410286ce4bda1cfc08daee750012%7C16bb85b3d21e4dd2a07c7c114cf57b55%7C0%7C0%7C638084483594786460%7CUnknown%7CTWFpbGZsb3d8eyJWIjoiMC4wLjAwMDAiLCJQIjoiV2luMzIiLCJBTiI6Ik1haWwiLCJXVCI6Mn0%3D%7C3000%7C%7C%7C&amp;sdata=EN4kaItDaPbG1DvDii1pugLjjZcdcOnBPNTLUOHK6vY%3D&amp;reserved=0" TargetMode="External"/><Relationship Id="rId4" Type="http://schemas.openxmlformats.org/officeDocument/2006/relationships/hyperlink" Target="https://gcc02.safelinks.protection.outlook.com/?url=https%3A%2F%2Flnks.gd%2Fl%2FeyJhbGciOiJIUzI1NiJ9.eyJidWxsZXRpbl9saW5rX2lkIjoxMDAsInVyaSI6ImJwMjpjbGljayIsImJ1bGxldGluX2lkIjoiMjAyMzAxMDQuNjkyMTc1OTEiLCJ1cmwiOiJodHRwczovL3d3dy5vaGlvYXR0b3JuZXlnZW5lcmFsLmdvdi8ifQ.fBzztI0y89hRMnfOtUjpMijZIA1Cho3Aa1-xoeAelm0%2Fs%2F2916783913%2Fbr%2F151703619305-l&amp;data=05%7C01%7Cjames.shaw%40ohioago.gov%7C2486410286ce4bda1cfc08daee750012%7C16bb85b3d21e4dd2a07c7c114cf57b55%7C0%7C0%7C638084483594786460%7CUnknown%7CTWFpbGZsb3d8eyJWIjoiMC4wLjAwMDAiLCJQIjoiV2luMzIiLCJBTiI6Ik1haWwiLCJXVCI6Mn0%3D%7C3000%7C%7C%7C&amp;sdata=pOfJnPiHzi9Mx1pKU63XLWxGxJCQ20dd%2BSKtrCUHaIo%3D&amp;reserved=0" TargetMode="External"/><Relationship Id="rId9" Type="http://schemas.openxmlformats.org/officeDocument/2006/relationships/hyperlink" Target="https://gcc02.safelinks.protection.outlook.com/?url=https%3A%2F%2Flnks.gd%2Fl%2FeyJhbGciOiJIUzI1NiJ9.eyJidWxsZXRpbl9saW5rX2lkIjoxMDQsInVyaSI6ImJwMjpjbGljayIsImJ1bGxldGluX2lkIjoiMjAyMzAxMDQuNjkyMTc1OTEiLCJ1cmwiOiJodHRwczovL3d3dy55b3V0dWJlLmNvbS93YXRjaD92PXczMlpLVzdyRVRnIn0.Pawz4ggEzFCPf1evycsKCm4AJqCB88r9NwfbVUVxheU%2Fs%2F2916783913%2Fbr%2F151703619305-l&amp;data=05%7C01%7Cjames.shaw%40ohioago.gov%7C2486410286ce4bda1cfc08daee750012%7C16bb85b3d21e4dd2a07c7c114cf57b55%7C0%7C0%7C638084483594786460%7CUnknown%7CTWFpbGZsb3d8eyJWIjoiMC4wLjAwMDAiLCJQIjoiV2luMzIiLCJBTiI6Ik1haWwiLCJXVCI6Mn0%3D%7C3000%7C%7C%7C&amp;sdata=%2FGUIbW0SZBDjjOJDW0aEtBKSMbhIWeiP%2FTPrGkIPavA%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Chamber</dc:creator>
  <cp:keywords/>
  <dc:description/>
  <cp:lastModifiedBy>Knox Chamber</cp:lastModifiedBy>
  <cp:revision>1</cp:revision>
  <dcterms:created xsi:type="dcterms:W3CDTF">2023-01-30T19:42:00Z</dcterms:created>
  <dcterms:modified xsi:type="dcterms:W3CDTF">2023-01-30T19:51:00Z</dcterms:modified>
</cp:coreProperties>
</file>