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B664" w14:textId="5D41C4C7" w:rsidR="00D24E8D" w:rsidRDefault="00D24E8D" w:rsidP="00D24E8D">
      <w:pPr>
        <w:pStyle w:val="Heading1"/>
        <w:spacing w:before="0" w:beforeAutospacing="0" w:after="300" w:afterAutospacing="0"/>
        <w:jc w:val="center"/>
        <w:rPr>
          <w:rStyle w:val="Strong"/>
          <w:rFonts w:ascii="Garamond" w:eastAsia="Times New Roman" w:hAnsi="Garamond"/>
          <w:b/>
          <w:bCs/>
          <w:sz w:val="36"/>
          <w:szCs w:val="36"/>
        </w:rPr>
      </w:pPr>
      <w:r>
        <w:rPr>
          <w:rFonts w:ascii="Garamond" w:eastAsia="Times New Roman" w:hAnsi="Garamond"/>
          <w:noProof/>
          <w:color w:val="232323"/>
          <w:sz w:val="24"/>
          <w:szCs w:val="24"/>
        </w:rPr>
        <w:drawing>
          <wp:inline distT="0" distB="0" distL="0" distR="0" wp14:anchorId="036016BF" wp14:editId="1433BB9A">
            <wp:extent cx="3038475" cy="67313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38741" cy="673198"/>
                    </a:xfrm>
                    <a:prstGeom prst="rect">
                      <a:avLst/>
                    </a:prstGeom>
                    <a:noFill/>
                    <a:ln>
                      <a:noFill/>
                    </a:ln>
                  </pic:spPr>
                </pic:pic>
              </a:graphicData>
            </a:graphic>
          </wp:inline>
        </w:drawing>
      </w:r>
    </w:p>
    <w:p w14:paraId="73C1CF4D" w14:textId="77777777" w:rsidR="00D24E8D" w:rsidRPr="00D24E8D" w:rsidRDefault="00D24E8D" w:rsidP="00D24E8D">
      <w:pPr>
        <w:pStyle w:val="Heading1"/>
        <w:spacing w:before="0" w:beforeAutospacing="0" w:after="300" w:afterAutospacing="0"/>
        <w:jc w:val="center"/>
        <w:rPr>
          <w:sz w:val="44"/>
          <w:szCs w:val="44"/>
        </w:rPr>
      </w:pPr>
      <w:r w:rsidRPr="00D24E8D">
        <w:rPr>
          <w:rStyle w:val="Strong"/>
          <w:rFonts w:ascii="Garamond" w:eastAsia="Times New Roman" w:hAnsi="Garamond"/>
          <w:b/>
          <w:bCs/>
          <w:sz w:val="32"/>
          <w:szCs w:val="32"/>
        </w:rPr>
        <w:t xml:space="preserve">Husted Announces </w:t>
      </w:r>
      <w:proofErr w:type="spellStart"/>
      <w:r w:rsidRPr="00D24E8D">
        <w:rPr>
          <w:rStyle w:val="Strong"/>
          <w:rFonts w:ascii="Garamond" w:eastAsia="Times New Roman" w:hAnsi="Garamond"/>
          <w:b/>
          <w:bCs/>
          <w:sz w:val="32"/>
          <w:szCs w:val="32"/>
        </w:rPr>
        <w:t>TechCred</w:t>
      </w:r>
      <w:proofErr w:type="spellEnd"/>
      <w:r w:rsidRPr="00D24E8D">
        <w:rPr>
          <w:rStyle w:val="Strong"/>
          <w:rFonts w:ascii="Garamond" w:eastAsia="Times New Roman" w:hAnsi="Garamond"/>
          <w:b/>
          <w:bCs/>
          <w:sz w:val="32"/>
          <w:szCs w:val="32"/>
        </w:rPr>
        <w:t xml:space="preserve"> Results for November</w:t>
      </w:r>
    </w:p>
    <w:p w14:paraId="6D3AA6EB" w14:textId="77777777" w:rsidR="00D24E8D" w:rsidRPr="00D24E8D" w:rsidRDefault="00D24E8D" w:rsidP="00D24E8D">
      <w:pPr>
        <w:pStyle w:val="Heading2"/>
        <w:spacing w:before="0" w:beforeAutospacing="0" w:after="270" w:afterAutospacing="0"/>
        <w:jc w:val="center"/>
        <w:rPr>
          <w:rFonts w:ascii="Garamond" w:eastAsia="Times New Roman" w:hAnsi="Garamond"/>
          <w:sz w:val="32"/>
          <w:szCs w:val="32"/>
        </w:rPr>
      </w:pPr>
      <w:r w:rsidRPr="00D24E8D">
        <w:rPr>
          <w:rStyle w:val="Emphasis"/>
          <w:rFonts w:ascii="Garamond" w:eastAsia="Times New Roman" w:hAnsi="Garamond"/>
          <w:sz w:val="32"/>
          <w:szCs w:val="32"/>
        </w:rPr>
        <w:t>January Application Period is Open</w:t>
      </w:r>
    </w:p>
    <w:p w14:paraId="7E227F93" w14:textId="77777777" w:rsidR="00D24E8D" w:rsidRPr="00D24E8D" w:rsidRDefault="00D24E8D" w:rsidP="00D24E8D">
      <w:pPr>
        <w:pStyle w:val="NormalWeb"/>
        <w:spacing w:before="0" w:beforeAutospacing="0" w:after="225" w:afterAutospacing="0"/>
        <w:rPr>
          <w:rFonts w:ascii="Garamond" w:hAnsi="Garamond"/>
          <w:color w:val="232323"/>
        </w:rPr>
      </w:pPr>
      <w:r w:rsidRPr="00D24E8D">
        <w:rPr>
          <w:rFonts w:ascii="Garamond" w:hAnsi="Garamond"/>
          <w:color w:val="232323"/>
        </w:rPr>
        <w:t xml:space="preserve">Ohio Lt. Governor Jon Husted, who serves as Director of the Governor’s Office of Workforce Transformation, today announced the results of November’s round of </w:t>
      </w:r>
      <w:proofErr w:type="spellStart"/>
      <w:r w:rsidRPr="00D24E8D">
        <w:rPr>
          <w:rFonts w:ascii="Garamond" w:hAnsi="Garamond"/>
          <w:color w:val="232323"/>
        </w:rPr>
        <w:t>TechCred</w:t>
      </w:r>
      <w:proofErr w:type="spellEnd"/>
      <w:r w:rsidRPr="00D24E8D">
        <w:rPr>
          <w:rFonts w:ascii="Garamond" w:hAnsi="Garamond"/>
          <w:color w:val="232323"/>
        </w:rPr>
        <w:t xml:space="preserve">, in which </w:t>
      </w:r>
      <w:r w:rsidRPr="00D24E8D">
        <w:rPr>
          <w:rStyle w:val="Strong"/>
          <w:rFonts w:ascii="Garamond" w:hAnsi="Garamond"/>
          <w:color w:val="232323"/>
        </w:rPr>
        <w:t>349 employers</w:t>
      </w:r>
      <w:r w:rsidRPr="00D24E8D">
        <w:rPr>
          <w:rFonts w:ascii="Garamond" w:hAnsi="Garamond"/>
          <w:color w:val="232323"/>
        </w:rPr>
        <w:t xml:space="preserve"> were approved for funding, providing the opportunity for </w:t>
      </w:r>
      <w:r w:rsidRPr="00D24E8D">
        <w:rPr>
          <w:rStyle w:val="Strong"/>
          <w:rFonts w:ascii="Garamond" w:hAnsi="Garamond"/>
          <w:color w:val="232323"/>
        </w:rPr>
        <w:t>Ohioans to earn 4,466 tech-focused credentials.</w:t>
      </w:r>
      <w:r w:rsidRPr="00D24E8D">
        <w:rPr>
          <w:rFonts w:ascii="Garamond" w:hAnsi="Garamond"/>
          <w:color w:val="232323"/>
        </w:rPr>
        <w:t xml:space="preserve"> This most recent round marks the 17th application period of the program with manufacturing topping the list of industries applying for tech-infused credentials.</w:t>
      </w:r>
    </w:p>
    <w:p w14:paraId="0C853480" w14:textId="77777777" w:rsidR="00D24E8D" w:rsidRPr="00D24E8D" w:rsidRDefault="00D24E8D" w:rsidP="00D24E8D">
      <w:pPr>
        <w:pStyle w:val="NormalWeb"/>
        <w:spacing w:before="0" w:beforeAutospacing="0" w:after="225" w:afterAutospacing="0"/>
        <w:rPr>
          <w:rFonts w:ascii="Garamond" w:hAnsi="Garamond"/>
          <w:color w:val="232323"/>
        </w:rPr>
      </w:pPr>
      <w:r w:rsidRPr="00D24E8D">
        <w:rPr>
          <w:rFonts w:ascii="Garamond" w:hAnsi="Garamond"/>
          <w:color w:val="232323"/>
        </w:rPr>
        <w:t>"</w:t>
      </w:r>
      <w:proofErr w:type="spellStart"/>
      <w:r w:rsidRPr="00D24E8D">
        <w:rPr>
          <w:rFonts w:ascii="Garamond" w:hAnsi="Garamond"/>
          <w:color w:val="232323"/>
        </w:rPr>
        <w:t>TechCred</w:t>
      </w:r>
      <w:proofErr w:type="spellEnd"/>
      <w:r w:rsidRPr="00D24E8D">
        <w:rPr>
          <w:rFonts w:ascii="Garamond" w:hAnsi="Garamond"/>
          <w:color w:val="232323"/>
        </w:rPr>
        <w:t xml:space="preserve"> continues to grow and become a powerful tool for Ohio businesses and our workforce,’ said Lt. Governor Jon Husted. “The numbers speak volumes about how </w:t>
      </w:r>
      <w:proofErr w:type="spellStart"/>
      <w:r w:rsidRPr="00D24E8D">
        <w:rPr>
          <w:rFonts w:ascii="Garamond" w:hAnsi="Garamond"/>
          <w:color w:val="232323"/>
        </w:rPr>
        <w:t>TechCred</w:t>
      </w:r>
      <w:proofErr w:type="spellEnd"/>
      <w:r w:rsidRPr="00D24E8D">
        <w:rPr>
          <w:rFonts w:ascii="Garamond" w:hAnsi="Garamond"/>
          <w:color w:val="232323"/>
        </w:rPr>
        <w:t xml:space="preserve"> is succeeding in growing our workforce and upskilling Ohioans in today’s tech-infused economy.”</w:t>
      </w:r>
    </w:p>
    <w:p w14:paraId="6D3BBCFB" w14:textId="77777777" w:rsidR="00D24E8D" w:rsidRPr="00D24E8D" w:rsidRDefault="00D24E8D" w:rsidP="00D24E8D">
      <w:pPr>
        <w:pStyle w:val="NormalWeb"/>
        <w:spacing w:before="0" w:beforeAutospacing="0" w:after="225" w:afterAutospacing="0"/>
        <w:rPr>
          <w:rFonts w:ascii="Garamond" w:hAnsi="Garamond"/>
          <w:color w:val="232323"/>
        </w:rPr>
      </w:pPr>
      <w:r w:rsidRPr="00D24E8D">
        <w:rPr>
          <w:rFonts w:ascii="Garamond" w:hAnsi="Garamond"/>
          <w:color w:val="232323"/>
        </w:rPr>
        <w:t xml:space="preserve">With the approvals announced today, a total of </w:t>
      </w:r>
      <w:r w:rsidRPr="00D24E8D">
        <w:rPr>
          <w:rStyle w:val="Strong"/>
          <w:rFonts w:ascii="Garamond" w:hAnsi="Garamond"/>
          <w:color w:val="232323"/>
        </w:rPr>
        <w:t>2,173</w:t>
      </w:r>
      <w:r w:rsidRPr="00D24E8D">
        <w:rPr>
          <w:rFonts w:ascii="Garamond" w:hAnsi="Garamond"/>
          <w:color w:val="232323"/>
        </w:rPr>
        <w:t xml:space="preserve"> </w:t>
      </w:r>
      <w:r w:rsidRPr="00D24E8D">
        <w:rPr>
          <w:rStyle w:val="Strong"/>
          <w:rFonts w:ascii="Garamond" w:hAnsi="Garamond"/>
          <w:color w:val="232323"/>
        </w:rPr>
        <w:t>Ohio employers</w:t>
      </w:r>
      <w:r w:rsidRPr="00D24E8D">
        <w:rPr>
          <w:rFonts w:ascii="Garamond" w:hAnsi="Garamond"/>
          <w:color w:val="232323"/>
        </w:rPr>
        <w:t xml:space="preserve"> have been approved for funding through the </w:t>
      </w:r>
      <w:proofErr w:type="spellStart"/>
      <w:r w:rsidRPr="00D24E8D">
        <w:rPr>
          <w:rFonts w:ascii="Garamond" w:hAnsi="Garamond"/>
          <w:color w:val="232323"/>
        </w:rPr>
        <w:t>TechCred</w:t>
      </w:r>
      <w:proofErr w:type="spellEnd"/>
      <w:r w:rsidRPr="00D24E8D">
        <w:rPr>
          <w:rFonts w:ascii="Garamond" w:hAnsi="Garamond"/>
          <w:color w:val="232323"/>
        </w:rPr>
        <w:t xml:space="preserve"> program, supporting the </w:t>
      </w:r>
      <w:r w:rsidRPr="00D24E8D">
        <w:rPr>
          <w:rStyle w:val="Strong"/>
          <w:rFonts w:ascii="Garamond" w:hAnsi="Garamond"/>
          <w:color w:val="232323"/>
        </w:rPr>
        <w:t>earning of 57,233 tech-focused credentials by employees.</w:t>
      </w:r>
    </w:p>
    <w:tbl>
      <w:tblPr>
        <w:tblW w:w="5000" w:type="pct"/>
        <w:tblCellMar>
          <w:left w:w="0" w:type="dxa"/>
          <w:right w:w="0" w:type="dxa"/>
        </w:tblCellMar>
        <w:tblLook w:val="04A0" w:firstRow="1" w:lastRow="0" w:firstColumn="1" w:lastColumn="0" w:noHBand="0" w:noVBand="1"/>
      </w:tblPr>
      <w:tblGrid>
        <w:gridCol w:w="10800"/>
      </w:tblGrid>
      <w:tr w:rsidR="00D24E8D" w:rsidRPr="00D24E8D" w14:paraId="2170ED6F" w14:textId="77777777" w:rsidTr="00D24E8D">
        <w:tc>
          <w:tcPr>
            <w:tcW w:w="0" w:type="auto"/>
            <w:vAlign w:val="center"/>
            <w:hideMark/>
          </w:tcPr>
          <w:p w14:paraId="27CDE903" w14:textId="342B4B22" w:rsidR="00D24E8D" w:rsidRPr="00D24E8D" w:rsidRDefault="00D24E8D">
            <w:pPr>
              <w:jc w:val="center"/>
              <w:rPr>
                <w:sz w:val="20"/>
                <w:szCs w:val="20"/>
              </w:rPr>
            </w:pPr>
            <w:r w:rsidRPr="00D24E8D">
              <w:rPr>
                <w:noProof/>
                <w:sz w:val="20"/>
                <w:szCs w:val="20"/>
              </w:rPr>
              <w:drawing>
                <wp:inline distT="0" distB="0" distL="0" distR="0" wp14:anchorId="18555669" wp14:editId="6040E202">
                  <wp:extent cx="5619750" cy="809625"/>
                  <wp:effectExtent l="0" t="0" r="0" b="9525"/>
                  <wp:docPr id="1" name="Picture 1" descr="Tech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809625"/>
                          </a:xfrm>
                          <a:prstGeom prst="rect">
                            <a:avLst/>
                          </a:prstGeom>
                          <a:noFill/>
                          <a:ln>
                            <a:noFill/>
                          </a:ln>
                        </pic:spPr>
                      </pic:pic>
                    </a:graphicData>
                  </a:graphic>
                </wp:inline>
              </w:drawing>
            </w:r>
          </w:p>
        </w:tc>
      </w:tr>
    </w:tbl>
    <w:p w14:paraId="045190E5" w14:textId="77777777" w:rsidR="00D24E8D" w:rsidRPr="00D24E8D" w:rsidRDefault="00D24E8D" w:rsidP="00D24E8D">
      <w:pPr>
        <w:pStyle w:val="NormalWeb"/>
        <w:spacing w:before="240" w:beforeAutospacing="0" w:after="225" w:afterAutospacing="0"/>
        <w:rPr>
          <w:rFonts w:ascii="Garamond" w:hAnsi="Garamond"/>
          <w:color w:val="232323"/>
        </w:rPr>
      </w:pPr>
      <w:r w:rsidRPr="00D24E8D">
        <w:rPr>
          <w:rFonts w:ascii="Garamond" w:hAnsi="Garamond"/>
          <w:color w:val="232323"/>
        </w:rPr>
        <w:t xml:space="preserve">This program helps businesses address their workforce needs by upskilling current and prospective employees. Businesses of all sizes, from any industry, are eligible for up to $30,000 per round and up to $180,000 per year. </w:t>
      </w:r>
    </w:p>
    <w:p w14:paraId="4830654D" w14:textId="77777777" w:rsidR="00D24E8D" w:rsidRPr="00D24E8D" w:rsidRDefault="00D24E8D" w:rsidP="00D24E8D">
      <w:pPr>
        <w:pStyle w:val="NormalWeb"/>
        <w:spacing w:before="0" w:beforeAutospacing="0" w:after="225" w:afterAutospacing="0"/>
        <w:rPr>
          <w:rFonts w:ascii="Garamond" w:hAnsi="Garamond"/>
          <w:color w:val="232323"/>
        </w:rPr>
      </w:pPr>
      <w:r w:rsidRPr="00D24E8D">
        <w:rPr>
          <w:rStyle w:val="Strong"/>
          <w:rFonts w:ascii="Garamond" w:hAnsi="Garamond"/>
          <w:color w:val="232323"/>
        </w:rPr>
        <w:t xml:space="preserve">2023 Application Periods for </w:t>
      </w:r>
      <w:proofErr w:type="spellStart"/>
      <w:r w:rsidRPr="00D24E8D">
        <w:rPr>
          <w:rStyle w:val="Strong"/>
          <w:rFonts w:ascii="Garamond" w:hAnsi="Garamond"/>
          <w:color w:val="232323"/>
        </w:rPr>
        <w:t>TechCred</w:t>
      </w:r>
      <w:proofErr w:type="spellEnd"/>
      <w:r w:rsidRPr="00D24E8D">
        <w:rPr>
          <w:rStyle w:val="Strong"/>
          <w:rFonts w:ascii="Garamond" w:hAnsi="Garamond"/>
          <w:color w:val="232323"/>
        </w:rPr>
        <w:t>:</w:t>
      </w:r>
    </w:p>
    <w:p w14:paraId="03AB1916" w14:textId="77777777" w:rsidR="00D24E8D" w:rsidRPr="00D24E8D" w:rsidRDefault="00D24E8D" w:rsidP="00D24E8D">
      <w:pPr>
        <w:pStyle w:val="NormalWeb"/>
        <w:spacing w:before="0" w:beforeAutospacing="0" w:after="225" w:afterAutospacing="0"/>
        <w:rPr>
          <w:rFonts w:ascii="Garamond" w:hAnsi="Garamond"/>
          <w:color w:val="232323"/>
        </w:rPr>
      </w:pPr>
      <w:r w:rsidRPr="00D24E8D">
        <w:rPr>
          <w:rStyle w:val="Emphasis"/>
          <w:rFonts w:ascii="Garamond" w:hAnsi="Garamond"/>
          <w:color w:val="232323"/>
        </w:rPr>
        <w:t xml:space="preserve">January 3 – 31, 2023 </w:t>
      </w:r>
    </w:p>
    <w:p w14:paraId="55EE19DD" w14:textId="77777777" w:rsidR="00D24E8D" w:rsidRPr="00D24E8D" w:rsidRDefault="00D24E8D" w:rsidP="00D24E8D">
      <w:pPr>
        <w:pStyle w:val="NormalWeb"/>
        <w:spacing w:before="0" w:beforeAutospacing="0" w:after="225" w:afterAutospacing="0"/>
        <w:rPr>
          <w:rFonts w:ascii="Garamond" w:hAnsi="Garamond"/>
          <w:color w:val="232323"/>
        </w:rPr>
      </w:pPr>
      <w:r w:rsidRPr="00D24E8D">
        <w:rPr>
          <w:rStyle w:val="Emphasis"/>
          <w:rFonts w:ascii="Garamond" w:hAnsi="Garamond"/>
          <w:color w:val="232323"/>
        </w:rPr>
        <w:t>March 1-31, 2023</w:t>
      </w:r>
    </w:p>
    <w:p w14:paraId="2A6307F5" w14:textId="77777777" w:rsidR="00D24E8D" w:rsidRPr="00D24E8D" w:rsidRDefault="00D24E8D" w:rsidP="00D24E8D">
      <w:pPr>
        <w:pStyle w:val="NormalWeb"/>
        <w:spacing w:before="0" w:beforeAutospacing="0" w:after="225" w:afterAutospacing="0"/>
        <w:rPr>
          <w:rFonts w:ascii="Garamond" w:hAnsi="Garamond"/>
          <w:color w:val="232323"/>
        </w:rPr>
      </w:pPr>
      <w:r w:rsidRPr="00D24E8D">
        <w:rPr>
          <w:rStyle w:val="Emphasis"/>
          <w:rFonts w:ascii="Garamond" w:hAnsi="Garamond"/>
          <w:color w:val="232323"/>
        </w:rPr>
        <w:t>May 1-31, 2023</w:t>
      </w:r>
    </w:p>
    <w:p w14:paraId="3434FF39" w14:textId="77777777" w:rsidR="00D24E8D" w:rsidRPr="00D24E8D" w:rsidRDefault="00D24E8D" w:rsidP="00D24E8D">
      <w:pPr>
        <w:pStyle w:val="NormalWeb"/>
        <w:spacing w:before="0" w:beforeAutospacing="0" w:after="225" w:afterAutospacing="0"/>
        <w:rPr>
          <w:rFonts w:ascii="Garamond" w:hAnsi="Garamond"/>
          <w:color w:val="232323"/>
        </w:rPr>
      </w:pPr>
      <w:r w:rsidRPr="00D24E8D">
        <w:rPr>
          <w:rStyle w:val="Emphasis"/>
          <w:rFonts w:ascii="Garamond" w:hAnsi="Garamond"/>
          <w:color w:val="232323"/>
        </w:rPr>
        <w:t>July 3-31, 2023</w:t>
      </w:r>
    </w:p>
    <w:p w14:paraId="702FF08A" w14:textId="77777777" w:rsidR="00D24E8D" w:rsidRPr="00D24E8D" w:rsidRDefault="00D24E8D" w:rsidP="00D24E8D">
      <w:pPr>
        <w:pStyle w:val="NormalWeb"/>
        <w:spacing w:before="0" w:beforeAutospacing="0" w:after="225" w:afterAutospacing="0"/>
        <w:rPr>
          <w:rFonts w:ascii="Garamond" w:hAnsi="Garamond"/>
          <w:color w:val="232323"/>
        </w:rPr>
      </w:pPr>
      <w:r w:rsidRPr="00D24E8D">
        <w:rPr>
          <w:rStyle w:val="Emphasis"/>
          <w:rFonts w:ascii="Garamond" w:hAnsi="Garamond"/>
          <w:color w:val="232323"/>
        </w:rPr>
        <w:t>September 1-29, 2023</w:t>
      </w:r>
    </w:p>
    <w:p w14:paraId="7A2BDF3B" w14:textId="77777777" w:rsidR="00D24E8D" w:rsidRPr="00D24E8D" w:rsidRDefault="00D24E8D" w:rsidP="00D24E8D">
      <w:pPr>
        <w:pStyle w:val="NormalWeb"/>
        <w:spacing w:before="0" w:beforeAutospacing="0" w:after="225" w:afterAutospacing="0"/>
        <w:rPr>
          <w:rFonts w:ascii="Garamond" w:hAnsi="Garamond"/>
          <w:color w:val="232323"/>
        </w:rPr>
      </w:pPr>
      <w:r w:rsidRPr="00D24E8D">
        <w:rPr>
          <w:rStyle w:val="Emphasis"/>
          <w:rFonts w:ascii="Garamond" w:hAnsi="Garamond"/>
          <w:color w:val="232323"/>
        </w:rPr>
        <w:t>November 1-30, 2023</w:t>
      </w:r>
    </w:p>
    <w:p w14:paraId="001FD971" w14:textId="77777777" w:rsidR="00D24E8D" w:rsidRPr="00D24E8D" w:rsidRDefault="00D24E8D" w:rsidP="00D24E8D">
      <w:pPr>
        <w:pStyle w:val="NormalWeb"/>
        <w:spacing w:before="0" w:beforeAutospacing="0" w:after="225" w:afterAutospacing="0"/>
        <w:rPr>
          <w:rFonts w:ascii="Garamond" w:hAnsi="Garamond"/>
          <w:color w:val="232323"/>
        </w:rPr>
      </w:pPr>
      <w:r w:rsidRPr="00D24E8D">
        <w:rPr>
          <w:rFonts w:ascii="Garamond" w:hAnsi="Garamond"/>
          <w:color w:val="232323"/>
        </w:rPr>
        <w:t xml:space="preserve">As a reminder, the current application period for businesses opened </w:t>
      </w:r>
      <w:r w:rsidRPr="00D24E8D">
        <w:rPr>
          <w:rStyle w:val="Strong"/>
          <w:rFonts w:ascii="Garamond" w:hAnsi="Garamond"/>
          <w:color w:val="232323"/>
        </w:rPr>
        <w:t xml:space="preserve">January 3, 2023, and will close January 31, 2023, at 3:00 PM. Apply now at </w:t>
      </w:r>
      <w:hyperlink r:id="rId7" w:history="1">
        <w:r w:rsidRPr="00D24E8D">
          <w:rPr>
            <w:rStyle w:val="Hyperlink"/>
            <w:rFonts w:ascii="Garamond" w:hAnsi="Garamond"/>
            <w:color w:val="1D5782"/>
          </w:rPr>
          <w:t>TechCred.Ohio.Gov.</w:t>
        </w:r>
      </w:hyperlink>
    </w:p>
    <w:p w14:paraId="60E57307" w14:textId="77777777" w:rsidR="00D24E8D" w:rsidRPr="00D24E8D" w:rsidRDefault="00D24E8D" w:rsidP="00D24E8D">
      <w:pPr>
        <w:pStyle w:val="NormalWeb"/>
        <w:spacing w:before="0" w:beforeAutospacing="0" w:after="225" w:afterAutospacing="0"/>
        <w:rPr>
          <w:rFonts w:ascii="Garamond" w:hAnsi="Garamond"/>
          <w:color w:val="232323"/>
        </w:rPr>
      </w:pPr>
      <w:r w:rsidRPr="00D24E8D">
        <w:rPr>
          <w:rFonts w:ascii="Garamond" w:hAnsi="Garamond"/>
          <w:color w:val="232323"/>
        </w:rPr>
        <w:t xml:space="preserve">“2022 was a banner year for the </w:t>
      </w:r>
      <w:proofErr w:type="spellStart"/>
      <w:r w:rsidRPr="00D24E8D">
        <w:rPr>
          <w:rFonts w:ascii="Garamond" w:hAnsi="Garamond"/>
          <w:color w:val="232323"/>
        </w:rPr>
        <w:t>TechCred</w:t>
      </w:r>
      <w:proofErr w:type="spellEnd"/>
      <w:r w:rsidRPr="00D24E8D">
        <w:rPr>
          <w:rFonts w:ascii="Garamond" w:hAnsi="Garamond"/>
          <w:color w:val="232323"/>
        </w:rPr>
        <w:t xml:space="preserve"> program with hundreds of employers and thousands of employees participating,” said Lydia Mihalik, director of the Ohio Department of Development. “With six application periods coming up in 2023, we will continue to boost the skill level of Ohio’s workforce and help businesses grow.”</w:t>
      </w:r>
    </w:p>
    <w:p w14:paraId="5D7ACF79" w14:textId="77777777" w:rsidR="00D24E8D" w:rsidRPr="00D24E8D" w:rsidRDefault="00D24E8D" w:rsidP="00D24E8D">
      <w:pPr>
        <w:pStyle w:val="NormalWeb"/>
        <w:spacing w:before="0" w:beforeAutospacing="0" w:after="225" w:afterAutospacing="0"/>
        <w:rPr>
          <w:rFonts w:ascii="Garamond" w:hAnsi="Garamond"/>
          <w:color w:val="232323"/>
        </w:rPr>
      </w:pPr>
      <w:r w:rsidRPr="00D24E8D">
        <w:rPr>
          <w:rFonts w:ascii="Garamond" w:hAnsi="Garamond"/>
          <w:color w:val="232323"/>
        </w:rPr>
        <w:t xml:space="preserve">“The </w:t>
      </w:r>
      <w:proofErr w:type="spellStart"/>
      <w:r w:rsidRPr="00D24E8D">
        <w:rPr>
          <w:rFonts w:ascii="Garamond" w:hAnsi="Garamond"/>
          <w:color w:val="232323"/>
        </w:rPr>
        <w:t>TechCred</w:t>
      </w:r>
      <w:proofErr w:type="spellEnd"/>
      <w:r w:rsidRPr="00D24E8D">
        <w:rPr>
          <w:rFonts w:ascii="Garamond" w:hAnsi="Garamond"/>
          <w:color w:val="232323"/>
        </w:rPr>
        <w:t xml:space="preserve"> numbers speak for themselves,” said Ohio Department of Higher Education Chancellor Randy Gardner. “Ohio’s economy and workforce continue to be strengthened by the thousands of tech-focused credentials earned by employees through this successful program.”</w:t>
      </w:r>
    </w:p>
    <w:p w14:paraId="485DC0EF" w14:textId="4B764DD1" w:rsidR="00FF3CB1" w:rsidRPr="00D24E8D" w:rsidRDefault="00D24E8D" w:rsidP="00D24E8D">
      <w:pPr>
        <w:rPr>
          <w:sz w:val="20"/>
          <w:szCs w:val="20"/>
        </w:rPr>
      </w:pPr>
      <w:r w:rsidRPr="00D24E8D">
        <w:rPr>
          <w:rFonts w:ascii="Garamond" w:hAnsi="Garamond"/>
          <w:color w:val="232323"/>
        </w:rPr>
        <w:t xml:space="preserve">Individuals and training providers interested in learning more about the program can visit: </w:t>
      </w:r>
      <w:hyperlink r:id="rId8" w:history="1">
        <w:r w:rsidRPr="00D24E8D">
          <w:rPr>
            <w:rStyle w:val="Hyperlink"/>
            <w:rFonts w:ascii="Garamond" w:hAnsi="Garamond"/>
            <w:color w:val="1D5782"/>
          </w:rPr>
          <w:t>TechCred.Ohio.Gov.</w:t>
        </w:r>
      </w:hyperlink>
    </w:p>
    <w:sectPr w:rsidR="00FF3CB1" w:rsidRPr="00D24E8D" w:rsidSect="00EB6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8D"/>
    <w:rsid w:val="00D24E8D"/>
    <w:rsid w:val="00EB6C10"/>
    <w:rsid w:val="00F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5B73"/>
  <w15:chartTrackingRefBased/>
  <w15:docId w15:val="{CB9037DD-8DCF-44D0-B420-0557CD53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8D"/>
    <w:pPr>
      <w:spacing w:after="0" w:line="240" w:lineRule="auto"/>
    </w:pPr>
    <w:rPr>
      <w:rFonts w:ascii="Calibri" w:hAnsi="Calibri" w:cs="Calibri"/>
    </w:rPr>
  </w:style>
  <w:style w:type="paragraph" w:styleId="Heading1">
    <w:name w:val="heading 1"/>
    <w:basedOn w:val="Normal"/>
    <w:link w:val="Heading1Char"/>
    <w:uiPriority w:val="9"/>
    <w:qFormat/>
    <w:rsid w:val="00D24E8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24E8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E8D"/>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24E8D"/>
    <w:rPr>
      <w:rFonts w:ascii="Calibri" w:hAnsi="Calibri" w:cs="Calibri"/>
      <w:b/>
      <w:bCs/>
      <w:sz w:val="36"/>
      <w:szCs w:val="36"/>
    </w:rPr>
  </w:style>
  <w:style w:type="character" w:styleId="Hyperlink">
    <w:name w:val="Hyperlink"/>
    <w:basedOn w:val="DefaultParagraphFont"/>
    <w:uiPriority w:val="99"/>
    <w:semiHidden/>
    <w:unhideWhenUsed/>
    <w:rsid w:val="00D24E8D"/>
    <w:rPr>
      <w:color w:val="0563C1"/>
      <w:u w:val="single"/>
    </w:rPr>
  </w:style>
  <w:style w:type="paragraph" w:styleId="NormalWeb">
    <w:name w:val="Normal (Web)"/>
    <w:basedOn w:val="Normal"/>
    <w:uiPriority w:val="99"/>
    <w:semiHidden/>
    <w:unhideWhenUsed/>
    <w:rsid w:val="00D24E8D"/>
    <w:pPr>
      <w:spacing w:before="100" w:beforeAutospacing="1" w:after="100" w:afterAutospacing="1"/>
    </w:pPr>
  </w:style>
  <w:style w:type="character" w:styleId="Strong">
    <w:name w:val="Strong"/>
    <w:basedOn w:val="DefaultParagraphFont"/>
    <w:uiPriority w:val="22"/>
    <w:qFormat/>
    <w:rsid w:val="00D24E8D"/>
    <w:rPr>
      <w:b/>
      <w:bCs/>
    </w:rPr>
  </w:style>
  <w:style w:type="character" w:styleId="Emphasis">
    <w:name w:val="Emphasis"/>
    <w:basedOn w:val="DefaultParagraphFont"/>
    <w:uiPriority w:val="20"/>
    <w:qFormat/>
    <w:rsid w:val="00D24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zAxMDUuNjkyOTQ0NTEiLCJ1cmwiOiJodHRwczovL3RlY2hjcmVkLm9oaW8uZ292LyJ9.D6Qus4rTofOomrzLLkvBu2x4YUc-EM-pnes4h4RW8sc/s/2932009612/br/151824390075-l" TargetMode="External"/><Relationship Id="rId3" Type="http://schemas.openxmlformats.org/officeDocument/2006/relationships/webSettings" Target="webSettings.xml"/><Relationship Id="rId7" Type="http://schemas.openxmlformats.org/officeDocument/2006/relationships/hyperlink" Target="https://lnks.gd/l/eyJhbGciOiJIUzI1NiJ9.eyJidWxsZXRpbl9saW5rX2lkIjoxMDAsInVyaSI6ImJwMjpjbGljayIsImJ1bGxldGluX2lkIjoiMjAyMzAxMDUuNjkyOTQ0NTEiLCJ1cmwiOiJodHRwczovL3RlY2hjcmVkLm9oaW8uZ292LyJ9.Q46-qDo4VxRLySnSKk-7N4mbzAq_QgDBPzBFK04_vBA/s/2932009612/br/15182439007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D9211D.88C9B93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Chamber</dc:creator>
  <cp:keywords/>
  <dc:description/>
  <cp:lastModifiedBy>Knox Chamber</cp:lastModifiedBy>
  <cp:revision>1</cp:revision>
  <dcterms:created xsi:type="dcterms:W3CDTF">2023-01-30T19:40:00Z</dcterms:created>
  <dcterms:modified xsi:type="dcterms:W3CDTF">2023-01-30T19:50:00Z</dcterms:modified>
</cp:coreProperties>
</file>