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53" w:rsidRPr="00915956" w:rsidRDefault="00B60A22" w:rsidP="00432143">
      <w:pPr>
        <w:pStyle w:val="NoSpacing"/>
        <w:jc w:val="center"/>
        <w:rPr>
          <w:b/>
          <w:sz w:val="32"/>
          <w:szCs w:val="32"/>
        </w:rPr>
      </w:pPr>
      <w:r w:rsidRPr="00915956">
        <w:rPr>
          <w:b/>
          <w:sz w:val="32"/>
          <w:szCs w:val="32"/>
        </w:rPr>
        <w:t>Weekly Traffic Fatality Update</w:t>
      </w:r>
    </w:p>
    <w:p w:rsidR="00432143" w:rsidRPr="00915956" w:rsidRDefault="00432143" w:rsidP="00432143">
      <w:pPr>
        <w:pStyle w:val="NoSpacing"/>
        <w:jc w:val="center"/>
        <w:rPr>
          <w:i/>
          <w:sz w:val="28"/>
          <w:szCs w:val="28"/>
        </w:rPr>
      </w:pPr>
      <w:r w:rsidRPr="00915956">
        <w:rPr>
          <w:i/>
          <w:sz w:val="28"/>
          <w:szCs w:val="28"/>
        </w:rPr>
        <w:t xml:space="preserve">(Year-to-Date Counts </w:t>
      </w:r>
      <w:r w:rsidR="00DA28D1">
        <w:rPr>
          <w:i/>
          <w:sz w:val="28"/>
          <w:szCs w:val="28"/>
        </w:rPr>
        <w:t>through</w:t>
      </w:r>
      <w:r w:rsidR="004065EE">
        <w:rPr>
          <w:i/>
          <w:sz w:val="28"/>
          <w:szCs w:val="28"/>
        </w:rPr>
        <w:t xml:space="preserve"> </w:t>
      </w:r>
      <w:r w:rsidR="00B92B9D">
        <w:rPr>
          <w:i/>
          <w:sz w:val="28"/>
          <w:szCs w:val="28"/>
        </w:rPr>
        <w:t>Dec</w:t>
      </w:r>
      <w:r w:rsidR="00A018B3">
        <w:rPr>
          <w:i/>
          <w:sz w:val="28"/>
          <w:szCs w:val="28"/>
        </w:rPr>
        <w:t xml:space="preserve">ember </w:t>
      </w:r>
      <w:proofErr w:type="gramStart"/>
      <w:r w:rsidR="00E11A75">
        <w:rPr>
          <w:i/>
          <w:sz w:val="28"/>
          <w:szCs w:val="28"/>
        </w:rPr>
        <w:t>11</w:t>
      </w:r>
      <w:r w:rsidR="00394279" w:rsidRPr="00394279">
        <w:rPr>
          <w:i/>
          <w:sz w:val="28"/>
          <w:szCs w:val="28"/>
          <w:vertAlign w:val="superscript"/>
        </w:rPr>
        <w:t>th</w:t>
      </w:r>
      <w:proofErr w:type="gramEnd"/>
      <w:r w:rsidR="00697EBF">
        <w:rPr>
          <w:i/>
          <w:sz w:val="28"/>
          <w:szCs w:val="28"/>
        </w:rPr>
        <w:t>)</w:t>
      </w:r>
    </w:p>
    <w:p w:rsidR="00432143" w:rsidRPr="00432143" w:rsidRDefault="00432143" w:rsidP="00432143">
      <w:pPr>
        <w:pStyle w:val="NoSpacing"/>
        <w:jc w:val="center"/>
        <w:rPr>
          <w:sz w:val="32"/>
          <w:szCs w:val="32"/>
        </w:rPr>
      </w:pPr>
    </w:p>
    <w:p w:rsidR="00B60A22" w:rsidRDefault="002F67E6" w:rsidP="00B60A2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In 202</w:t>
      </w:r>
      <w:r w:rsidR="00035776">
        <w:rPr>
          <w:b/>
        </w:rPr>
        <w:t>2 t</w:t>
      </w:r>
      <w:r>
        <w:rPr>
          <w:b/>
        </w:rPr>
        <w:t xml:space="preserve">hrough </w:t>
      </w:r>
      <w:r w:rsidR="00B92B9D">
        <w:rPr>
          <w:b/>
        </w:rPr>
        <w:t>Dec</w:t>
      </w:r>
      <w:r w:rsidR="00A018B3">
        <w:rPr>
          <w:b/>
        </w:rPr>
        <w:t>em</w:t>
      </w:r>
      <w:r w:rsidR="0000661E">
        <w:rPr>
          <w:b/>
        </w:rPr>
        <w:t xml:space="preserve">ber </w:t>
      </w:r>
      <w:proofErr w:type="gramStart"/>
      <w:r w:rsidR="00E11A75">
        <w:rPr>
          <w:b/>
        </w:rPr>
        <w:t>11</w:t>
      </w:r>
      <w:r w:rsidR="00394279" w:rsidRPr="00394279">
        <w:rPr>
          <w:b/>
          <w:vertAlign w:val="superscript"/>
        </w:rPr>
        <w:t>th</w:t>
      </w:r>
      <w:proofErr w:type="gramEnd"/>
      <w:r w:rsidR="00697EBF">
        <w:rPr>
          <w:b/>
        </w:rPr>
        <w:t>,</w:t>
      </w:r>
      <w:r w:rsidR="00285091">
        <w:rPr>
          <w:b/>
        </w:rPr>
        <w:t xml:space="preserve"> there </w:t>
      </w:r>
      <w:r>
        <w:rPr>
          <w:b/>
        </w:rPr>
        <w:t>were</w:t>
      </w:r>
      <w:r w:rsidR="00285091">
        <w:rPr>
          <w:b/>
        </w:rPr>
        <w:t xml:space="preserve"> </w:t>
      </w:r>
      <w:r w:rsidR="00E90D25">
        <w:rPr>
          <w:b/>
        </w:rPr>
        <w:t>4</w:t>
      </w:r>
      <w:r w:rsidR="00E11A75">
        <w:rPr>
          <w:b/>
        </w:rPr>
        <w:t>24</w:t>
      </w:r>
      <w:r w:rsidR="00B60A22">
        <w:rPr>
          <w:b/>
        </w:rPr>
        <w:t xml:space="preserve"> traffic</w:t>
      </w:r>
      <w:r>
        <w:rPr>
          <w:b/>
        </w:rPr>
        <w:t xml:space="preserve">-related deaths on Minnesota roadways.  This is </w:t>
      </w:r>
      <w:r w:rsidR="005D28A3">
        <w:rPr>
          <w:b/>
        </w:rPr>
        <w:t>10</w:t>
      </w:r>
      <w:r w:rsidR="00697EBF">
        <w:rPr>
          <w:b/>
        </w:rPr>
        <w:t xml:space="preserve"> percent</w:t>
      </w:r>
      <w:r w:rsidR="008D163B">
        <w:rPr>
          <w:b/>
        </w:rPr>
        <w:t xml:space="preserve"> less than </w:t>
      </w:r>
      <w:r w:rsidR="00035776">
        <w:rPr>
          <w:b/>
        </w:rPr>
        <w:t>there w</w:t>
      </w:r>
      <w:r w:rsidR="00B1197F">
        <w:rPr>
          <w:b/>
        </w:rPr>
        <w:t>ere</w:t>
      </w:r>
      <w:r w:rsidR="00035776">
        <w:rPr>
          <w:b/>
        </w:rPr>
        <w:t xml:space="preserve"> at</w:t>
      </w:r>
      <w:r w:rsidR="005913EC">
        <w:rPr>
          <w:b/>
        </w:rPr>
        <w:t xml:space="preserve"> this time </w:t>
      </w:r>
      <w:r w:rsidR="00B1197F">
        <w:rPr>
          <w:b/>
        </w:rPr>
        <w:t>last year</w:t>
      </w:r>
      <w:r w:rsidR="008D163B">
        <w:rPr>
          <w:b/>
        </w:rPr>
        <w:t xml:space="preserve"> </w:t>
      </w:r>
      <w:r w:rsidR="00697EBF">
        <w:rPr>
          <w:b/>
        </w:rPr>
        <w:t>(</w:t>
      </w:r>
      <w:r w:rsidR="009900F5">
        <w:rPr>
          <w:b/>
        </w:rPr>
        <w:t>4</w:t>
      </w:r>
      <w:r w:rsidR="00E11A75">
        <w:rPr>
          <w:b/>
        </w:rPr>
        <w:t>71</w:t>
      </w:r>
      <w:r w:rsidR="00697EBF">
        <w:rPr>
          <w:b/>
        </w:rPr>
        <w:t>)</w:t>
      </w:r>
      <w:r w:rsidR="004065EE">
        <w:rPr>
          <w:b/>
        </w:rPr>
        <w:t>,</w:t>
      </w:r>
      <w:r w:rsidR="003A0B20">
        <w:rPr>
          <w:b/>
        </w:rPr>
        <w:t xml:space="preserve"> but higher than each of the previous f</w:t>
      </w:r>
      <w:r w:rsidR="0053178F">
        <w:rPr>
          <w:b/>
        </w:rPr>
        <w:t>ive</w:t>
      </w:r>
      <w:r w:rsidR="003A0B20">
        <w:rPr>
          <w:b/>
        </w:rPr>
        <w:t xml:space="preserve"> years;</w:t>
      </w:r>
      <w:r w:rsidR="004065EE">
        <w:rPr>
          <w:b/>
        </w:rPr>
        <w:t xml:space="preserve"> </w:t>
      </w:r>
      <w:r w:rsidR="0052694B">
        <w:rPr>
          <w:b/>
        </w:rPr>
        <w:t>1</w:t>
      </w:r>
      <w:r w:rsidR="00E11A75">
        <w:rPr>
          <w:b/>
        </w:rPr>
        <w:t>3</w:t>
      </w:r>
      <w:r w:rsidR="00DB7854">
        <w:rPr>
          <w:b/>
        </w:rPr>
        <w:t xml:space="preserve"> percent</w:t>
      </w:r>
      <w:r w:rsidR="00FB0741">
        <w:rPr>
          <w:b/>
        </w:rPr>
        <w:t xml:space="preserve"> more </w:t>
      </w:r>
      <w:r w:rsidR="00BA2592">
        <w:rPr>
          <w:b/>
        </w:rPr>
        <w:t>th</w:t>
      </w:r>
      <w:r w:rsidR="00FB0741">
        <w:rPr>
          <w:b/>
        </w:rPr>
        <w:t>an</w:t>
      </w:r>
      <w:r w:rsidR="00BA2592">
        <w:rPr>
          <w:b/>
        </w:rPr>
        <w:t xml:space="preserve"> in</w:t>
      </w:r>
      <w:r w:rsidR="00FB0741">
        <w:rPr>
          <w:b/>
        </w:rPr>
        <w:t xml:space="preserve"> 20</w:t>
      </w:r>
      <w:r w:rsidR="00DB7854">
        <w:rPr>
          <w:b/>
        </w:rPr>
        <w:t>20 (</w:t>
      </w:r>
      <w:r w:rsidR="006933C3">
        <w:rPr>
          <w:b/>
        </w:rPr>
        <w:t>3</w:t>
      </w:r>
      <w:r w:rsidR="00E11A75">
        <w:rPr>
          <w:b/>
        </w:rPr>
        <w:t>74</w:t>
      </w:r>
      <w:r w:rsidR="00DB7854">
        <w:rPr>
          <w:b/>
        </w:rPr>
        <w:t xml:space="preserve">), </w:t>
      </w:r>
      <w:r w:rsidR="001358F2">
        <w:rPr>
          <w:b/>
        </w:rPr>
        <w:t>2</w:t>
      </w:r>
      <w:r w:rsidR="00E90D25">
        <w:rPr>
          <w:b/>
        </w:rPr>
        <w:t>2</w:t>
      </w:r>
      <w:r w:rsidR="00DB7854">
        <w:rPr>
          <w:b/>
        </w:rPr>
        <w:t xml:space="preserve"> percent more than in 2019 (</w:t>
      </w:r>
      <w:r w:rsidR="009900F5">
        <w:rPr>
          <w:b/>
        </w:rPr>
        <w:t>3</w:t>
      </w:r>
      <w:r w:rsidR="00B92B9D">
        <w:rPr>
          <w:b/>
        </w:rPr>
        <w:t>4</w:t>
      </w:r>
      <w:r w:rsidR="00E11A75">
        <w:rPr>
          <w:b/>
        </w:rPr>
        <w:t>7</w:t>
      </w:r>
      <w:r w:rsidR="00DB7854">
        <w:rPr>
          <w:b/>
        </w:rPr>
        <w:t>)</w:t>
      </w:r>
      <w:r w:rsidR="003F4AE0">
        <w:rPr>
          <w:b/>
        </w:rPr>
        <w:t xml:space="preserve">, </w:t>
      </w:r>
      <w:r w:rsidR="00BA2592">
        <w:rPr>
          <w:b/>
        </w:rPr>
        <w:t xml:space="preserve">and </w:t>
      </w:r>
      <w:r w:rsidR="00B92B9D">
        <w:rPr>
          <w:b/>
        </w:rPr>
        <w:t>20</w:t>
      </w:r>
      <w:r w:rsidR="00DB7854">
        <w:rPr>
          <w:b/>
        </w:rPr>
        <w:t xml:space="preserve"> percent more</w:t>
      </w:r>
      <w:r w:rsidR="00BA2592">
        <w:rPr>
          <w:b/>
        </w:rPr>
        <w:t xml:space="preserve"> than in 2018</w:t>
      </w:r>
      <w:r w:rsidR="00DB7854">
        <w:rPr>
          <w:b/>
        </w:rPr>
        <w:t xml:space="preserve"> (</w:t>
      </w:r>
      <w:r w:rsidR="009E24B6">
        <w:rPr>
          <w:b/>
        </w:rPr>
        <w:t>3</w:t>
      </w:r>
      <w:r w:rsidR="00E11A75">
        <w:rPr>
          <w:b/>
        </w:rPr>
        <w:t>5</w:t>
      </w:r>
      <w:r w:rsidR="00E90D25">
        <w:rPr>
          <w:b/>
        </w:rPr>
        <w:t>4</w:t>
      </w:r>
      <w:r w:rsidR="00DB7854">
        <w:rPr>
          <w:b/>
        </w:rPr>
        <w:t>)</w:t>
      </w:r>
      <w:r w:rsidR="00697EBF">
        <w:rPr>
          <w:b/>
        </w:rPr>
        <w:t xml:space="preserve">.  </w:t>
      </w:r>
      <w:r w:rsidR="00035776">
        <w:rPr>
          <w:b/>
        </w:rPr>
        <w:t xml:space="preserve">  </w:t>
      </w:r>
      <w:r w:rsidR="00B60A22">
        <w:rPr>
          <w:b/>
        </w:rPr>
        <w:t xml:space="preserve"> </w:t>
      </w:r>
    </w:p>
    <w:p w:rsidR="00B1197F" w:rsidRDefault="00BD0D0B" w:rsidP="00B60A2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</w:t>
      </w:r>
      <w:r w:rsidR="00B1197F">
        <w:rPr>
          <w:b/>
        </w:rPr>
        <w:t>peed-related deaths</w:t>
      </w:r>
      <w:r w:rsidR="00D7181F">
        <w:rPr>
          <w:b/>
        </w:rPr>
        <w:t xml:space="preserve"> (</w:t>
      </w:r>
      <w:r w:rsidR="002500B8">
        <w:rPr>
          <w:b/>
        </w:rPr>
        <w:t>1</w:t>
      </w:r>
      <w:r w:rsidR="00810964">
        <w:rPr>
          <w:b/>
        </w:rPr>
        <w:t>11</w:t>
      </w:r>
      <w:r w:rsidR="00D7181F">
        <w:rPr>
          <w:b/>
        </w:rPr>
        <w:t>)</w:t>
      </w:r>
      <w:r w:rsidR="00B1197F">
        <w:rPr>
          <w:b/>
        </w:rPr>
        <w:t xml:space="preserve"> are </w:t>
      </w:r>
      <w:r w:rsidR="00405E9F">
        <w:rPr>
          <w:b/>
        </w:rPr>
        <w:t>3</w:t>
      </w:r>
      <w:r w:rsidR="0040034D">
        <w:rPr>
          <w:b/>
        </w:rPr>
        <w:t>3</w:t>
      </w:r>
      <w:r w:rsidR="00B1197F">
        <w:rPr>
          <w:b/>
        </w:rPr>
        <w:t xml:space="preserve"> percent less than </w:t>
      </w:r>
      <w:r w:rsidR="00A62630">
        <w:rPr>
          <w:b/>
        </w:rPr>
        <w:t xml:space="preserve">at this time </w:t>
      </w:r>
      <w:r w:rsidR="00B1197F">
        <w:rPr>
          <w:b/>
        </w:rPr>
        <w:t>last year</w:t>
      </w:r>
      <w:r w:rsidR="00D7181F">
        <w:rPr>
          <w:b/>
        </w:rPr>
        <w:t xml:space="preserve"> (1</w:t>
      </w:r>
      <w:r w:rsidR="0040034D">
        <w:rPr>
          <w:b/>
        </w:rPr>
        <w:t>6</w:t>
      </w:r>
      <w:r w:rsidR="00810964">
        <w:rPr>
          <w:b/>
        </w:rPr>
        <w:t>5</w:t>
      </w:r>
      <w:r w:rsidR="00D7181F">
        <w:rPr>
          <w:b/>
        </w:rPr>
        <w:t>)</w:t>
      </w:r>
      <w:r w:rsidR="00B1197F">
        <w:rPr>
          <w:b/>
        </w:rPr>
        <w:t xml:space="preserve">, </w:t>
      </w:r>
      <w:r w:rsidR="00810964">
        <w:rPr>
          <w:b/>
        </w:rPr>
        <w:t>two</w:t>
      </w:r>
      <w:r w:rsidR="00554140">
        <w:rPr>
          <w:b/>
        </w:rPr>
        <w:t xml:space="preserve"> less</w:t>
      </w:r>
      <w:r w:rsidR="00BE6310">
        <w:rPr>
          <w:b/>
        </w:rPr>
        <w:t xml:space="preserve"> </w:t>
      </w:r>
      <w:r w:rsidR="00554140">
        <w:rPr>
          <w:b/>
        </w:rPr>
        <w:t>than</w:t>
      </w:r>
      <w:r w:rsidR="00BA2592">
        <w:rPr>
          <w:b/>
        </w:rPr>
        <w:t xml:space="preserve"> in</w:t>
      </w:r>
      <w:r>
        <w:rPr>
          <w:b/>
        </w:rPr>
        <w:t xml:space="preserve"> </w:t>
      </w:r>
      <w:r w:rsidR="00BA2592">
        <w:rPr>
          <w:b/>
        </w:rPr>
        <w:t>2020</w:t>
      </w:r>
      <w:r w:rsidR="00D7181F">
        <w:rPr>
          <w:b/>
        </w:rPr>
        <w:t xml:space="preserve"> (</w:t>
      </w:r>
      <w:r w:rsidR="00BE6310">
        <w:rPr>
          <w:b/>
        </w:rPr>
        <w:t>1</w:t>
      </w:r>
      <w:r w:rsidR="00554140">
        <w:rPr>
          <w:b/>
        </w:rPr>
        <w:t>1</w:t>
      </w:r>
      <w:r w:rsidR="00810964">
        <w:rPr>
          <w:b/>
        </w:rPr>
        <w:t>3</w:t>
      </w:r>
      <w:r w:rsidR="00D7181F">
        <w:rPr>
          <w:b/>
        </w:rPr>
        <w:t>)</w:t>
      </w:r>
      <w:r w:rsidR="00BA2592">
        <w:rPr>
          <w:b/>
        </w:rPr>
        <w:t>,</w:t>
      </w:r>
      <w:r w:rsidR="00EF5D10">
        <w:rPr>
          <w:b/>
        </w:rPr>
        <w:t xml:space="preserve"> and </w:t>
      </w:r>
      <w:r w:rsidR="002E4AA4">
        <w:rPr>
          <w:b/>
        </w:rPr>
        <w:t>5</w:t>
      </w:r>
      <w:r w:rsidR="00810964">
        <w:rPr>
          <w:b/>
        </w:rPr>
        <w:t>9</w:t>
      </w:r>
      <w:r w:rsidR="00EF5D10">
        <w:rPr>
          <w:b/>
        </w:rPr>
        <w:t xml:space="preserve"> percent more than in 2019</w:t>
      </w:r>
      <w:r w:rsidR="00D7181F">
        <w:rPr>
          <w:b/>
        </w:rPr>
        <w:t xml:space="preserve"> (</w:t>
      </w:r>
      <w:r w:rsidR="00810964">
        <w:rPr>
          <w:b/>
        </w:rPr>
        <w:t>70</w:t>
      </w:r>
      <w:r w:rsidR="00D7181F">
        <w:rPr>
          <w:b/>
        </w:rPr>
        <w:t>)</w:t>
      </w:r>
      <w:r>
        <w:rPr>
          <w:b/>
        </w:rPr>
        <w:t xml:space="preserve">.  </w:t>
      </w:r>
      <w:r w:rsidR="003F4AE0">
        <w:rPr>
          <w:b/>
        </w:rPr>
        <w:t>Unbelted fatalities (</w:t>
      </w:r>
      <w:r w:rsidR="0040034D">
        <w:rPr>
          <w:b/>
        </w:rPr>
        <w:t>8</w:t>
      </w:r>
      <w:r w:rsidR="007C45E7">
        <w:rPr>
          <w:b/>
        </w:rPr>
        <w:t>1</w:t>
      </w:r>
      <w:r w:rsidR="003F4AE0">
        <w:rPr>
          <w:b/>
        </w:rPr>
        <w:t xml:space="preserve">) are </w:t>
      </w:r>
      <w:r w:rsidR="0052694B">
        <w:rPr>
          <w:b/>
        </w:rPr>
        <w:t>2</w:t>
      </w:r>
      <w:r w:rsidR="007C45E7">
        <w:rPr>
          <w:b/>
        </w:rPr>
        <w:t>4</w:t>
      </w:r>
      <w:r w:rsidR="003F4AE0">
        <w:rPr>
          <w:b/>
        </w:rPr>
        <w:t xml:space="preserve"> percent lower than at this time last year (</w:t>
      </w:r>
      <w:r w:rsidR="002E4AA4">
        <w:rPr>
          <w:b/>
        </w:rPr>
        <w:t>10</w:t>
      </w:r>
      <w:r w:rsidR="007C45E7">
        <w:rPr>
          <w:b/>
        </w:rPr>
        <w:t>7</w:t>
      </w:r>
      <w:r w:rsidR="003F4AE0">
        <w:rPr>
          <w:b/>
        </w:rPr>
        <w:t xml:space="preserve">), </w:t>
      </w:r>
      <w:r w:rsidR="002E4AA4">
        <w:rPr>
          <w:b/>
        </w:rPr>
        <w:t>1</w:t>
      </w:r>
      <w:r w:rsidR="007C45E7">
        <w:rPr>
          <w:b/>
        </w:rPr>
        <w:t>6</w:t>
      </w:r>
      <w:r w:rsidR="00337776">
        <w:rPr>
          <w:b/>
        </w:rPr>
        <w:t xml:space="preserve"> percent</w:t>
      </w:r>
      <w:r w:rsidR="00DB7854">
        <w:rPr>
          <w:b/>
        </w:rPr>
        <w:t xml:space="preserve"> </w:t>
      </w:r>
      <w:r w:rsidR="00044098">
        <w:rPr>
          <w:b/>
        </w:rPr>
        <w:t>less</w:t>
      </w:r>
      <w:r w:rsidR="00DB7854">
        <w:rPr>
          <w:b/>
        </w:rPr>
        <w:t xml:space="preserve"> than</w:t>
      </w:r>
      <w:r w:rsidR="003F4AE0">
        <w:rPr>
          <w:b/>
        </w:rPr>
        <w:t xml:space="preserve"> in 2020 (</w:t>
      </w:r>
      <w:r w:rsidR="00554140">
        <w:rPr>
          <w:b/>
        </w:rPr>
        <w:t>9</w:t>
      </w:r>
      <w:r w:rsidR="007C45E7">
        <w:rPr>
          <w:b/>
        </w:rPr>
        <w:t>6</w:t>
      </w:r>
      <w:r w:rsidR="003F4AE0">
        <w:rPr>
          <w:b/>
        </w:rPr>
        <w:t xml:space="preserve">), and </w:t>
      </w:r>
      <w:r w:rsidR="002E4AA4">
        <w:rPr>
          <w:b/>
        </w:rPr>
        <w:t>1</w:t>
      </w:r>
      <w:r w:rsidR="0040034D">
        <w:rPr>
          <w:b/>
        </w:rPr>
        <w:t>9</w:t>
      </w:r>
      <w:r w:rsidR="003F4AE0">
        <w:rPr>
          <w:b/>
        </w:rPr>
        <w:t xml:space="preserve"> percent higher than in 2019 (</w:t>
      </w:r>
      <w:r w:rsidR="00BE6310">
        <w:rPr>
          <w:b/>
        </w:rPr>
        <w:t>6</w:t>
      </w:r>
      <w:r w:rsidR="007C45E7">
        <w:rPr>
          <w:b/>
        </w:rPr>
        <w:t>8</w:t>
      </w:r>
      <w:r w:rsidR="003F4AE0">
        <w:rPr>
          <w:b/>
        </w:rPr>
        <w:t>).</w:t>
      </w:r>
    </w:p>
    <w:p w:rsidR="00163DF4" w:rsidRDefault="00163DF4" w:rsidP="00B60A2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Pedestrian deaths (</w:t>
      </w:r>
      <w:r w:rsidR="00BE6310">
        <w:rPr>
          <w:b/>
        </w:rPr>
        <w:t>3</w:t>
      </w:r>
      <w:r w:rsidR="00B51CC1">
        <w:rPr>
          <w:b/>
        </w:rPr>
        <w:t>9</w:t>
      </w:r>
      <w:r>
        <w:rPr>
          <w:b/>
        </w:rPr>
        <w:t xml:space="preserve">) are </w:t>
      </w:r>
      <w:r w:rsidR="00B51CC1">
        <w:rPr>
          <w:b/>
        </w:rPr>
        <w:t>28</w:t>
      </w:r>
      <w:r>
        <w:rPr>
          <w:b/>
        </w:rPr>
        <w:t xml:space="preserve"> percent lower than they were at this time last year (</w:t>
      </w:r>
      <w:r w:rsidR="002A73DC">
        <w:rPr>
          <w:b/>
        </w:rPr>
        <w:t>5</w:t>
      </w:r>
      <w:r w:rsidR="0040034D">
        <w:rPr>
          <w:b/>
        </w:rPr>
        <w:t>4</w:t>
      </w:r>
      <w:r>
        <w:rPr>
          <w:b/>
        </w:rPr>
        <w:t xml:space="preserve">), </w:t>
      </w:r>
      <w:r w:rsidR="004F786A">
        <w:rPr>
          <w:b/>
        </w:rPr>
        <w:t>a</w:t>
      </w:r>
      <w:r w:rsidR="00B51CC1">
        <w:rPr>
          <w:b/>
        </w:rPr>
        <w:t>nd the</w:t>
      </w:r>
      <w:r w:rsidR="005A613F">
        <w:rPr>
          <w:b/>
        </w:rPr>
        <w:t xml:space="preserve"> </w:t>
      </w:r>
      <w:r>
        <w:rPr>
          <w:b/>
        </w:rPr>
        <w:t>lowe</w:t>
      </w:r>
      <w:r w:rsidR="00B51CC1">
        <w:rPr>
          <w:b/>
        </w:rPr>
        <w:t>st they</w:t>
      </w:r>
      <w:r w:rsidR="00405E9F">
        <w:rPr>
          <w:b/>
        </w:rPr>
        <w:t xml:space="preserve"> </w:t>
      </w:r>
      <w:r w:rsidR="00B51CC1">
        <w:rPr>
          <w:b/>
        </w:rPr>
        <w:t>have been since 2018 (39)</w:t>
      </w:r>
      <w:r>
        <w:rPr>
          <w:b/>
        </w:rPr>
        <w:t>.</w:t>
      </w:r>
    </w:p>
    <w:p w:rsidR="0066358C" w:rsidRDefault="0066358C" w:rsidP="0066358C">
      <w:pPr>
        <w:pStyle w:val="ListParagraph"/>
        <w:rPr>
          <w:b/>
        </w:rPr>
      </w:pPr>
    </w:p>
    <w:p w:rsidR="005C594E" w:rsidRPr="00841619" w:rsidRDefault="00B51CC1" w:rsidP="00841619">
      <w:pPr>
        <w:rPr>
          <w:b/>
        </w:rPr>
      </w:pPr>
      <w:r>
        <w:rPr>
          <w:noProof/>
        </w:rPr>
        <w:drawing>
          <wp:inline distT="0" distB="0" distL="0" distR="0" wp14:anchorId="70F4ECE6" wp14:editId="50CB0759">
            <wp:extent cx="4876800" cy="3030855"/>
            <wp:effectExtent l="0" t="0" r="0" b="1714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418BB" w:rsidRDefault="002418BB" w:rsidP="00E93993">
      <w:pPr>
        <w:pStyle w:val="ListParagraph"/>
        <w:ind w:left="0"/>
        <w:rPr>
          <w:noProof/>
        </w:rPr>
      </w:pPr>
    </w:p>
    <w:p w:rsidR="00054760" w:rsidRDefault="00054760" w:rsidP="00E93993">
      <w:pPr>
        <w:pStyle w:val="ListParagraph"/>
        <w:ind w:left="0"/>
        <w:rPr>
          <w:noProof/>
        </w:rPr>
      </w:pPr>
    </w:p>
    <w:p w:rsidR="0076349F" w:rsidRDefault="00B51CC1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2F86065C" wp14:editId="3B85C383">
            <wp:extent cx="5153025" cy="328612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349F" w:rsidRDefault="00B51CC1">
      <w:pPr>
        <w:rPr>
          <w:b/>
        </w:rPr>
      </w:pPr>
      <w:r>
        <w:rPr>
          <w:noProof/>
        </w:rPr>
        <w:drawing>
          <wp:inline distT="0" distB="0" distL="0" distR="0" wp14:anchorId="674FAB05" wp14:editId="26F149C4">
            <wp:extent cx="5120005" cy="3028950"/>
            <wp:effectExtent l="0" t="0" r="444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349F" w:rsidRDefault="0076349F">
      <w:pPr>
        <w:rPr>
          <w:b/>
        </w:rPr>
      </w:pPr>
    </w:p>
    <w:p w:rsidR="0076349F" w:rsidRDefault="0076349F" w:rsidP="00E93993">
      <w:pPr>
        <w:pStyle w:val="ListParagraph"/>
        <w:ind w:left="0"/>
        <w:rPr>
          <w:b/>
        </w:rPr>
      </w:pPr>
    </w:p>
    <w:p w:rsidR="0076349F" w:rsidRDefault="0076349F" w:rsidP="00E93993">
      <w:pPr>
        <w:pStyle w:val="ListParagraph"/>
        <w:ind w:left="0"/>
        <w:rPr>
          <w:b/>
        </w:rPr>
      </w:pPr>
    </w:p>
    <w:p w:rsidR="00BD61D3" w:rsidRDefault="00BD61D3">
      <w:pPr>
        <w:rPr>
          <w:b/>
        </w:rPr>
      </w:pPr>
      <w:r>
        <w:rPr>
          <w:b/>
        </w:rPr>
        <w:br w:type="page"/>
      </w:r>
    </w:p>
    <w:p w:rsidR="002F25BF" w:rsidRDefault="00A313C7" w:rsidP="00A82A2F">
      <w:pPr>
        <w:pStyle w:val="ListParagraph"/>
        <w:ind w:left="0"/>
        <w:rPr>
          <w:b/>
        </w:rPr>
      </w:pPr>
      <w:r>
        <w:rPr>
          <w:b/>
        </w:rPr>
        <w:lastRenderedPageBreak/>
        <w:t xml:space="preserve">List of Fatalities Reported Between </w:t>
      </w:r>
      <w:r w:rsidR="007E68D9">
        <w:rPr>
          <w:b/>
        </w:rPr>
        <w:t>Dec</w:t>
      </w:r>
      <w:r w:rsidR="002F25BF">
        <w:rPr>
          <w:b/>
        </w:rPr>
        <w:t xml:space="preserve">ember </w:t>
      </w:r>
      <w:r w:rsidR="007E68D9">
        <w:rPr>
          <w:b/>
        </w:rPr>
        <w:t>5</w:t>
      </w:r>
      <w:r w:rsidR="00090373" w:rsidRPr="00090373">
        <w:rPr>
          <w:b/>
          <w:vertAlign w:val="superscript"/>
        </w:rPr>
        <w:t>th</w:t>
      </w:r>
      <w:r w:rsidR="00D22E20">
        <w:rPr>
          <w:b/>
        </w:rPr>
        <w:t xml:space="preserve"> </w:t>
      </w:r>
      <w:r w:rsidR="00750C9A">
        <w:rPr>
          <w:b/>
        </w:rPr>
        <w:t xml:space="preserve">and </w:t>
      </w:r>
      <w:r w:rsidR="00090373">
        <w:rPr>
          <w:b/>
        </w:rPr>
        <w:t>Dec</w:t>
      </w:r>
      <w:r w:rsidR="00437FA5">
        <w:rPr>
          <w:b/>
        </w:rPr>
        <w:t>ember</w:t>
      </w:r>
      <w:r w:rsidR="00F754B2">
        <w:rPr>
          <w:b/>
        </w:rPr>
        <w:t xml:space="preserve"> </w:t>
      </w:r>
      <w:r w:rsidR="007E68D9">
        <w:rPr>
          <w:b/>
        </w:rPr>
        <w:t>11</w:t>
      </w:r>
      <w:r w:rsidR="00DD0AC0" w:rsidRPr="00DD0AC0">
        <w:rPr>
          <w:b/>
          <w:vertAlign w:val="superscript"/>
        </w:rPr>
        <w:t>th</w:t>
      </w:r>
      <w:r w:rsidR="00750C9A">
        <w:rPr>
          <w:b/>
        </w:rPr>
        <w:t>,</w:t>
      </w:r>
      <w:r>
        <w:rPr>
          <w:b/>
        </w:rPr>
        <w:t xml:space="preserve"> 202</w:t>
      </w:r>
      <w:r w:rsidR="007D6A67">
        <w:rPr>
          <w:b/>
        </w:rPr>
        <w:t>2</w:t>
      </w:r>
    </w:p>
    <w:p w:rsidR="005E6B62" w:rsidRDefault="005E6B62" w:rsidP="00E93993">
      <w:pPr>
        <w:pStyle w:val="ListParagraph"/>
        <w:ind w:left="0"/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278"/>
        <w:gridCol w:w="1660"/>
        <w:gridCol w:w="6422"/>
      </w:tblGrid>
      <w:tr w:rsidR="007E68D9" w:rsidRPr="007E68D9" w:rsidTr="007E68D9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8D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Date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8D9">
              <w:rPr>
                <w:rFonts w:ascii="Calibri" w:eastAsia="Times New Roman" w:hAnsi="Calibri" w:cs="Calibri"/>
                <w:b/>
                <w:bCs/>
                <w:color w:val="000000"/>
              </w:rPr>
              <w:t>County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8D9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</w:tr>
      <w:tr w:rsidR="007E68D9" w:rsidRPr="007E68D9" w:rsidTr="007E68D9">
        <w:trPr>
          <w:trHeight w:val="99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12/5/2022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Dakota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 xml:space="preserve">A 19-year-old male pedestrian </w:t>
            </w:r>
            <w:proofErr w:type="gramStart"/>
            <w:r w:rsidRPr="007E68D9">
              <w:rPr>
                <w:rFonts w:ascii="Calibri" w:eastAsia="Times New Roman" w:hAnsi="Calibri" w:cs="Calibri"/>
                <w:color w:val="000000"/>
              </w:rPr>
              <w:t>was killed</w:t>
            </w:r>
            <w:proofErr w:type="gramEnd"/>
            <w:r w:rsidRPr="007E68D9">
              <w:rPr>
                <w:rFonts w:ascii="Calibri" w:eastAsia="Times New Roman" w:hAnsi="Calibri" w:cs="Calibri"/>
                <w:color w:val="000000"/>
              </w:rPr>
              <w:t xml:space="preserve"> when he failed to yield the right-of-way, attempted to cross a state highway, and was struck by an oncoming vehicle. The pedestrian </w:t>
            </w:r>
            <w:proofErr w:type="gramStart"/>
            <w:r w:rsidRPr="007E68D9">
              <w:rPr>
                <w:rFonts w:ascii="Calibri" w:eastAsia="Times New Roman" w:hAnsi="Calibri" w:cs="Calibri"/>
                <w:color w:val="000000"/>
              </w:rPr>
              <w:t>is suspected</w:t>
            </w:r>
            <w:proofErr w:type="gramEnd"/>
            <w:r w:rsidRPr="007E68D9">
              <w:rPr>
                <w:rFonts w:ascii="Calibri" w:eastAsia="Times New Roman" w:hAnsi="Calibri" w:cs="Calibri"/>
                <w:color w:val="000000"/>
              </w:rPr>
              <w:t xml:space="preserve"> of distraction.</w:t>
            </w:r>
          </w:p>
        </w:tc>
      </w:tr>
      <w:tr w:rsidR="007E68D9" w:rsidRPr="007E68D9" w:rsidTr="007E68D9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12/5/2022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Otter Tail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A 74-year-old male pedestrian was killed when, walking in the traffic lane of a state highway, he was struck by a vehicle.</w:t>
            </w:r>
          </w:p>
        </w:tc>
      </w:tr>
      <w:tr w:rsidR="007E68D9" w:rsidRPr="007E68D9" w:rsidTr="007E68D9">
        <w:trPr>
          <w:trHeight w:val="9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68D9">
              <w:rPr>
                <w:rFonts w:ascii="Calibri" w:eastAsia="Times New Roman" w:hAnsi="Calibri" w:cs="Calibri"/>
              </w:rPr>
              <w:t>12/7/2022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68D9">
              <w:rPr>
                <w:rFonts w:ascii="Calibri" w:eastAsia="Times New Roman" w:hAnsi="Calibri" w:cs="Calibri"/>
              </w:rPr>
              <w:t>Murray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E68D9">
              <w:rPr>
                <w:rFonts w:ascii="Calibri" w:eastAsia="Times New Roman" w:hAnsi="Calibri" w:cs="Calibri"/>
              </w:rPr>
              <w:t xml:space="preserve">A 40-year-old unbelted male driver </w:t>
            </w:r>
            <w:proofErr w:type="gramStart"/>
            <w:r w:rsidRPr="007E68D9">
              <w:rPr>
                <w:rFonts w:ascii="Calibri" w:eastAsia="Times New Roman" w:hAnsi="Calibri" w:cs="Calibri"/>
              </w:rPr>
              <w:t>was killed</w:t>
            </w:r>
            <w:proofErr w:type="gramEnd"/>
            <w:r w:rsidRPr="007E68D9">
              <w:rPr>
                <w:rFonts w:ascii="Calibri" w:eastAsia="Times New Roman" w:hAnsi="Calibri" w:cs="Calibri"/>
              </w:rPr>
              <w:t xml:space="preserve"> when, exceeding the speed limit on a county road, he ran off the road and rolled his vehicle. The driver </w:t>
            </w:r>
            <w:proofErr w:type="gramStart"/>
            <w:r w:rsidRPr="007E68D9">
              <w:rPr>
                <w:rFonts w:ascii="Calibri" w:eastAsia="Times New Roman" w:hAnsi="Calibri" w:cs="Calibri"/>
              </w:rPr>
              <w:t>is suspected</w:t>
            </w:r>
            <w:proofErr w:type="gramEnd"/>
            <w:r w:rsidRPr="007E68D9">
              <w:rPr>
                <w:rFonts w:ascii="Calibri" w:eastAsia="Times New Roman" w:hAnsi="Calibri" w:cs="Calibri"/>
              </w:rPr>
              <w:t xml:space="preserve"> of alcohol and drug usage.</w:t>
            </w:r>
          </w:p>
        </w:tc>
      </w:tr>
      <w:tr w:rsidR="007E68D9" w:rsidRPr="007E68D9" w:rsidTr="007E68D9">
        <w:trPr>
          <w:trHeight w:val="9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12/9/2022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Ramsey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 xml:space="preserve">A 56-year-old male pedestrian was killed when </w:t>
            </w:r>
            <w:proofErr w:type="gramStart"/>
            <w:r w:rsidRPr="007E68D9">
              <w:rPr>
                <w:rFonts w:ascii="Calibri" w:eastAsia="Times New Roman" w:hAnsi="Calibri" w:cs="Calibri"/>
                <w:color w:val="000000"/>
              </w:rPr>
              <w:t>he was struck by a vehicle at the intersection of a county road and a city street</w:t>
            </w:r>
            <w:proofErr w:type="gramEnd"/>
            <w:r w:rsidRPr="007E68D9">
              <w:rPr>
                <w:rFonts w:ascii="Calibri" w:eastAsia="Times New Roman" w:hAnsi="Calibri" w:cs="Calibri"/>
                <w:color w:val="000000"/>
              </w:rPr>
              <w:t>. The vehicle left the scene before law enforcement arrived.</w:t>
            </w:r>
          </w:p>
        </w:tc>
      </w:tr>
      <w:tr w:rsidR="007E68D9" w:rsidRPr="007E68D9" w:rsidTr="007E68D9">
        <w:trPr>
          <w:trHeight w:val="9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12/10/2022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Stearns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A 17-year-old male driver was killed when, traveling on a city street, he lost control, crossed the centerline, ran off the road, and his vehicle rolled.</w:t>
            </w:r>
          </w:p>
        </w:tc>
      </w:tr>
      <w:tr w:rsidR="007E68D9" w:rsidRPr="007E68D9" w:rsidTr="007E68D9">
        <w:trPr>
          <w:trHeight w:val="12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12/11/2022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Hennepin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A 22-year-old male driver was killed when, exceeding the speed limit on a city street, he lost control, crossed the centerline, ran off the road, struck a tree, re-entered the road, ran off the road on the other side, and struck a parked car.</w:t>
            </w:r>
          </w:p>
        </w:tc>
      </w:tr>
      <w:tr w:rsidR="007E68D9" w:rsidRPr="007E68D9" w:rsidTr="007E68D9">
        <w:trPr>
          <w:trHeight w:val="9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12/11/2022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Hennepin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 xml:space="preserve">Online news articles report that a male driver </w:t>
            </w:r>
            <w:proofErr w:type="gramStart"/>
            <w:r w:rsidRPr="007E68D9">
              <w:rPr>
                <w:rFonts w:ascii="Calibri" w:eastAsia="Times New Roman" w:hAnsi="Calibri" w:cs="Calibri"/>
                <w:color w:val="000000"/>
              </w:rPr>
              <w:t>was killed</w:t>
            </w:r>
            <w:proofErr w:type="gramEnd"/>
            <w:r w:rsidRPr="007E68D9">
              <w:rPr>
                <w:rFonts w:ascii="Calibri" w:eastAsia="Times New Roman" w:hAnsi="Calibri" w:cs="Calibri"/>
                <w:color w:val="000000"/>
              </w:rPr>
              <w:t xml:space="preserve"> when his vehicle collided with another vehicle at the intersection of a county road and a city street.</w:t>
            </w:r>
          </w:p>
        </w:tc>
      </w:tr>
    </w:tbl>
    <w:p w:rsidR="007E68D9" w:rsidRDefault="007E68D9" w:rsidP="00E93993">
      <w:pPr>
        <w:pStyle w:val="ListParagraph"/>
        <w:ind w:left="0"/>
      </w:pPr>
    </w:p>
    <w:p w:rsidR="007E68D9" w:rsidRDefault="007E68D9" w:rsidP="00E93993">
      <w:pPr>
        <w:pStyle w:val="ListParagraph"/>
        <w:ind w:left="0"/>
      </w:pPr>
    </w:p>
    <w:p w:rsidR="00BF3206" w:rsidRDefault="00BF3206" w:rsidP="00E93993">
      <w:pPr>
        <w:pStyle w:val="ListParagraph"/>
        <w:ind w:left="0"/>
        <w:rPr>
          <w:b/>
        </w:rPr>
      </w:pPr>
      <w:r>
        <w:rPr>
          <w:b/>
        </w:rPr>
        <w:t>2022 Fatalities by TZD Region</w:t>
      </w:r>
    </w:p>
    <w:p w:rsidR="005E6B62" w:rsidRDefault="005E6B62" w:rsidP="00E93993">
      <w:pPr>
        <w:pStyle w:val="ListParagraph"/>
        <w:ind w:left="0"/>
      </w:pPr>
    </w:p>
    <w:tbl>
      <w:tblPr>
        <w:tblW w:w="7260" w:type="dxa"/>
        <w:tblLook w:val="04A0" w:firstRow="1" w:lastRow="0" w:firstColumn="1" w:lastColumn="0" w:noHBand="0" w:noVBand="1"/>
      </w:tblPr>
      <w:tblGrid>
        <w:gridCol w:w="1500"/>
        <w:gridCol w:w="371"/>
        <w:gridCol w:w="1549"/>
        <w:gridCol w:w="500"/>
        <w:gridCol w:w="1420"/>
        <w:gridCol w:w="645"/>
        <w:gridCol w:w="1275"/>
      </w:tblGrid>
      <w:tr w:rsidR="007E68D9" w:rsidRPr="007E68D9" w:rsidTr="007E68D9">
        <w:trPr>
          <w:trHeight w:val="300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TZD Region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This Week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This Quarter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Year-To-Date</w:t>
            </w:r>
          </w:p>
        </w:tc>
      </w:tr>
      <w:tr w:rsidR="007E68D9" w:rsidRPr="007E68D9" w:rsidTr="007E68D9">
        <w:trPr>
          <w:trHeight w:val="300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Percent</w:t>
            </w:r>
          </w:p>
        </w:tc>
      </w:tr>
      <w:tr w:rsidR="007E68D9" w:rsidRPr="007E68D9" w:rsidTr="007E68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Metro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57.1%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41.5%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40.8%</w:t>
            </w:r>
          </w:p>
        </w:tc>
      </w:tr>
      <w:tr w:rsidR="007E68D9" w:rsidRPr="007E68D9" w:rsidTr="007E68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East Central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14.3%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13.4%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16.3%</w:t>
            </w:r>
          </w:p>
        </w:tc>
      </w:tr>
      <w:tr w:rsidR="007E68D9" w:rsidRPr="007E68D9" w:rsidTr="007E68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Southeast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7.3%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9.9%</w:t>
            </w:r>
          </w:p>
        </w:tc>
      </w:tr>
      <w:tr w:rsidR="007E68D9" w:rsidRPr="007E68D9" w:rsidTr="007E68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Southwest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14.3%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12.2%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8.3%</w:t>
            </w:r>
          </w:p>
        </w:tc>
        <w:bookmarkStart w:id="0" w:name="_GoBack"/>
        <w:bookmarkEnd w:id="0"/>
      </w:tr>
      <w:tr w:rsidR="007E68D9" w:rsidRPr="007E68D9" w:rsidTr="007E68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South Central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6.1%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7.8%</w:t>
            </w:r>
          </w:p>
        </w:tc>
      </w:tr>
      <w:tr w:rsidR="007E68D9" w:rsidRPr="007E68D9" w:rsidTr="007E68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Northeast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11.0%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7.5%</w:t>
            </w:r>
          </w:p>
        </w:tc>
      </w:tr>
      <w:tr w:rsidR="007E68D9" w:rsidRPr="007E68D9" w:rsidTr="007E68D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West Central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14.3%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8.5%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7.3%</w:t>
            </w:r>
          </w:p>
        </w:tc>
      </w:tr>
      <w:tr w:rsidR="007E68D9" w:rsidRPr="007E68D9" w:rsidTr="007E68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Northwest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2.1%</w:t>
            </w:r>
          </w:p>
        </w:tc>
      </w:tr>
      <w:tr w:rsidR="007E68D9" w:rsidRPr="007E68D9" w:rsidTr="007E68D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68D9" w:rsidRPr="007E68D9" w:rsidRDefault="007E68D9" w:rsidP="007E68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8D9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8D9">
              <w:rPr>
                <w:rFonts w:ascii="Calibri" w:eastAsia="Times New Roman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100.0%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8D9">
              <w:rPr>
                <w:rFonts w:ascii="Calibri" w:eastAsia="Times New Roman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68D9">
              <w:rPr>
                <w:rFonts w:ascii="Calibri" w:eastAsia="Times New Roman" w:hAnsi="Calibri" w:cs="Calibri"/>
                <w:color w:val="000000"/>
              </w:rPr>
              <w:t>100.0%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8D9">
              <w:rPr>
                <w:rFonts w:ascii="Calibri" w:eastAsia="Times New Roman" w:hAnsi="Calibri" w:cs="Calibri"/>
                <w:b/>
                <w:bCs/>
                <w:color w:val="000000"/>
              </w:rPr>
              <w:t>424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68D9" w:rsidRPr="007E68D9" w:rsidRDefault="007E68D9" w:rsidP="007E68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E68D9">
              <w:rPr>
                <w:rFonts w:ascii="Calibri" w:eastAsia="Times New Roman" w:hAnsi="Calibri" w:cs="Calibri"/>
                <w:b/>
                <w:bCs/>
                <w:color w:val="000000"/>
              </w:rPr>
              <w:t>100.0%</w:t>
            </w:r>
          </w:p>
        </w:tc>
      </w:tr>
    </w:tbl>
    <w:p w:rsidR="007E68D9" w:rsidRPr="005E6B62" w:rsidRDefault="007E68D9" w:rsidP="00E93993">
      <w:pPr>
        <w:pStyle w:val="ListParagraph"/>
        <w:ind w:left="0"/>
      </w:pPr>
    </w:p>
    <w:sectPr w:rsidR="007E68D9" w:rsidRPr="005E6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D0B6F"/>
    <w:multiLevelType w:val="hybridMultilevel"/>
    <w:tmpl w:val="C5EC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A22"/>
    <w:rsid w:val="000035FE"/>
    <w:rsid w:val="0000661E"/>
    <w:rsid w:val="0000747F"/>
    <w:rsid w:val="00011282"/>
    <w:rsid w:val="000211A0"/>
    <w:rsid w:val="000254B9"/>
    <w:rsid w:val="000314A7"/>
    <w:rsid w:val="00035776"/>
    <w:rsid w:val="00044098"/>
    <w:rsid w:val="000462EF"/>
    <w:rsid w:val="000532FC"/>
    <w:rsid w:val="00054760"/>
    <w:rsid w:val="00064035"/>
    <w:rsid w:val="00064FA8"/>
    <w:rsid w:val="000706C4"/>
    <w:rsid w:val="0008069C"/>
    <w:rsid w:val="00090373"/>
    <w:rsid w:val="000A2AE2"/>
    <w:rsid w:val="000A7141"/>
    <w:rsid w:val="000B2105"/>
    <w:rsid w:val="000D03AF"/>
    <w:rsid w:val="000D2D8B"/>
    <w:rsid w:val="000F0A53"/>
    <w:rsid w:val="00100559"/>
    <w:rsid w:val="001074F5"/>
    <w:rsid w:val="00111A15"/>
    <w:rsid w:val="00123E80"/>
    <w:rsid w:val="00132666"/>
    <w:rsid w:val="00134FDE"/>
    <w:rsid w:val="001358F2"/>
    <w:rsid w:val="0014747D"/>
    <w:rsid w:val="00150916"/>
    <w:rsid w:val="00163DF4"/>
    <w:rsid w:val="00163F62"/>
    <w:rsid w:val="00184536"/>
    <w:rsid w:val="00186F10"/>
    <w:rsid w:val="00192988"/>
    <w:rsid w:val="00193A93"/>
    <w:rsid w:val="001B3786"/>
    <w:rsid w:val="001D1415"/>
    <w:rsid w:val="001E5409"/>
    <w:rsid w:val="001E7D24"/>
    <w:rsid w:val="002056B6"/>
    <w:rsid w:val="00212027"/>
    <w:rsid w:val="002208BF"/>
    <w:rsid w:val="00221FCF"/>
    <w:rsid w:val="00227F17"/>
    <w:rsid w:val="002418BB"/>
    <w:rsid w:val="00243806"/>
    <w:rsid w:val="002451E1"/>
    <w:rsid w:val="002472CD"/>
    <w:rsid w:val="002500B8"/>
    <w:rsid w:val="00255F95"/>
    <w:rsid w:val="002619E5"/>
    <w:rsid w:val="00266018"/>
    <w:rsid w:val="00285091"/>
    <w:rsid w:val="0029327E"/>
    <w:rsid w:val="002A73DC"/>
    <w:rsid w:val="002B3E6C"/>
    <w:rsid w:val="002B68DA"/>
    <w:rsid w:val="002B6EC3"/>
    <w:rsid w:val="002C622F"/>
    <w:rsid w:val="002E44D8"/>
    <w:rsid w:val="002E4AA4"/>
    <w:rsid w:val="002F25BF"/>
    <w:rsid w:val="002F4E3A"/>
    <w:rsid w:val="002F67E6"/>
    <w:rsid w:val="00306121"/>
    <w:rsid w:val="00314651"/>
    <w:rsid w:val="0032778A"/>
    <w:rsid w:val="003318E8"/>
    <w:rsid w:val="0033560D"/>
    <w:rsid w:val="00337776"/>
    <w:rsid w:val="00344625"/>
    <w:rsid w:val="0034742F"/>
    <w:rsid w:val="00360089"/>
    <w:rsid w:val="003605B3"/>
    <w:rsid w:val="00387E54"/>
    <w:rsid w:val="00393EDE"/>
    <w:rsid w:val="00394279"/>
    <w:rsid w:val="003A0B20"/>
    <w:rsid w:val="003B7FD6"/>
    <w:rsid w:val="003C0B7F"/>
    <w:rsid w:val="003C1A51"/>
    <w:rsid w:val="003D0E04"/>
    <w:rsid w:val="003D768F"/>
    <w:rsid w:val="003E1E33"/>
    <w:rsid w:val="003E2148"/>
    <w:rsid w:val="003E57ED"/>
    <w:rsid w:val="003E7FDC"/>
    <w:rsid w:val="003F4AE0"/>
    <w:rsid w:val="003F5D7E"/>
    <w:rsid w:val="003F71F2"/>
    <w:rsid w:val="003F7281"/>
    <w:rsid w:val="0040034D"/>
    <w:rsid w:val="0040233B"/>
    <w:rsid w:val="00402D07"/>
    <w:rsid w:val="00404FDF"/>
    <w:rsid w:val="00405E9F"/>
    <w:rsid w:val="004065EE"/>
    <w:rsid w:val="00406E9D"/>
    <w:rsid w:val="0042626B"/>
    <w:rsid w:val="004274F1"/>
    <w:rsid w:val="0043006E"/>
    <w:rsid w:val="0043129D"/>
    <w:rsid w:val="00432143"/>
    <w:rsid w:val="00433F9C"/>
    <w:rsid w:val="00437FA5"/>
    <w:rsid w:val="00446C85"/>
    <w:rsid w:val="00460A79"/>
    <w:rsid w:val="00463132"/>
    <w:rsid w:val="00495E20"/>
    <w:rsid w:val="00496220"/>
    <w:rsid w:val="004A458E"/>
    <w:rsid w:val="004C24A5"/>
    <w:rsid w:val="004E51A4"/>
    <w:rsid w:val="004F6674"/>
    <w:rsid w:val="004F786A"/>
    <w:rsid w:val="0052015B"/>
    <w:rsid w:val="0052694B"/>
    <w:rsid w:val="005307F3"/>
    <w:rsid w:val="00530F49"/>
    <w:rsid w:val="0053178F"/>
    <w:rsid w:val="005342D4"/>
    <w:rsid w:val="00536256"/>
    <w:rsid w:val="005364AA"/>
    <w:rsid w:val="0053667C"/>
    <w:rsid w:val="00541FC7"/>
    <w:rsid w:val="00546FFF"/>
    <w:rsid w:val="00547E40"/>
    <w:rsid w:val="00551490"/>
    <w:rsid w:val="00554140"/>
    <w:rsid w:val="00570F97"/>
    <w:rsid w:val="005913EC"/>
    <w:rsid w:val="005A25D3"/>
    <w:rsid w:val="005A4EC9"/>
    <w:rsid w:val="005A613F"/>
    <w:rsid w:val="005A6D78"/>
    <w:rsid w:val="005B47B9"/>
    <w:rsid w:val="005B4C4E"/>
    <w:rsid w:val="005B5BA6"/>
    <w:rsid w:val="005C594E"/>
    <w:rsid w:val="005C66EC"/>
    <w:rsid w:val="005D28A3"/>
    <w:rsid w:val="005E6B62"/>
    <w:rsid w:val="005E78EC"/>
    <w:rsid w:val="005F50AB"/>
    <w:rsid w:val="0060265B"/>
    <w:rsid w:val="00635D63"/>
    <w:rsid w:val="006360DB"/>
    <w:rsid w:val="00654017"/>
    <w:rsid w:val="0066358C"/>
    <w:rsid w:val="006933C3"/>
    <w:rsid w:val="00697EBF"/>
    <w:rsid w:val="006A3F44"/>
    <w:rsid w:val="006A4C76"/>
    <w:rsid w:val="006C3599"/>
    <w:rsid w:val="006C6E47"/>
    <w:rsid w:val="006C71D8"/>
    <w:rsid w:val="006E2657"/>
    <w:rsid w:val="006F024B"/>
    <w:rsid w:val="006F0566"/>
    <w:rsid w:val="00707D15"/>
    <w:rsid w:val="00720712"/>
    <w:rsid w:val="0072282F"/>
    <w:rsid w:val="00750C9A"/>
    <w:rsid w:val="007518F0"/>
    <w:rsid w:val="0075439F"/>
    <w:rsid w:val="0076349F"/>
    <w:rsid w:val="00772CD2"/>
    <w:rsid w:val="00786C72"/>
    <w:rsid w:val="0078731C"/>
    <w:rsid w:val="007A3262"/>
    <w:rsid w:val="007A56E5"/>
    <w:rsid w:val="007B286C"/>
    <w:rsid w:val="007C0D8F"/>
    <w:rsid w:val="007C45E7"/>
    <w:rsid w:val="007C718A"/>
    <w:rsid w:val="007D6A67"/>
    <w:rsid w:val="007E68D9"/>
    <w:rsid w:val="007F0A63"/>
    <w:rsid w:val="00810964"/>
    <w:rsid w:val="00822FEB"/>
    <w:rsid w:val="00841619"/>
    <w:rsid w:val="00857AE9"/>
    <w:rsid w:val="008668C8"/>
    <w:rsid w:val="00877491"/>
    <w:rsid w:val="008847C5"/>
    <w:rsid w:val="008A7654"/>
    <w:rsid w:val="008A7902"/>
    <w:rsid w:val="008B504B"/>
    <w:rsid w:val="008D163B"/>
    <w:rsid w:val="008E1D88"/>
    <w:rsid w:val="008F4C40"/>
    <w:rsid w:val="00905564"/>
    <w:rsid w:val="00915956"/>
    <w:rsid w:val="00923917"/>
    <w:rsid w:val="00924649"/>
    <w:rsid w:val="0093502C"/>
    <w:rsid w:val="00937153"/>
    <w:rsid w:val="00942514"/>
    <w:rsid w:val="009745A8"/>
    <w:rsid w:val="00975915"/>
    <w:rsid w:val="009900F5"/>
    <w:rsid w:val="00991471"/>
    <w:rsid w:val="00991E37"/>
    <w:rsid w:val="0099280C"/>
    <w:rsid w:val="009A4088"/>
    <w:rsid w:val="009B11F4"/>
    <w:rsid w:val="009D1E35"/>
    <w:rsid w:val="009D1F4C"/>
    <w:rsid w:val="009D2C4D"/>
    <w:rsid w:val="009D4D3A"/>
    <w:rsid w:val="009E212A"/>
    <w:rsid w:val="009E24B6"/>
    <w:rsid w:val="009F08C1"/>
    <w:rsid w:val="009F4BE5"/>
    <w:rsid w:val="009F5840"/>
    <w:rsid w:val="00A00C45"/>
    <w:rsid w:val="00A018B3"/>
    <w:rsid w:val="00A24794"/>
    <w:rsid w:val="00A27B93"/>
    <w:rsid w:val="00A313C7"/>
    <w:rsid w:val="00A31C0F"/>
    <w:rsid w:val="00A53209"/>
    <w:rsid w:val="00A54025"/>
    <w:rsid w:val="00A61DC1"/>
    <w:rsid w:val="00A62630"/>
    <w:rsid w:val="00A74143"/>
    <w:rsid w:val="00A82A2F"/>
    <w:rsid w:val="00A844FD"/>
    <w:rsid w:val="00A942D2"/>
    <w:rsid w:val="00AA1B7E"/>
    <w:rsid w:val="00AB7977"/>
    <w:rsid w:val="00AC2A7E"/>
    <w:rsid w:val="00AC79CB"/>
    <w:rsid w:val="00B0062B"/>
    <w:rsid w:val="00B07D79"/>
    <w:rsid w:val="00B1197F"/>
    <w:rsid w:val="00B13B10"/>
    <w:rsid w:val="00B43577"/>
    <w:rsid w:val="00B505A9"/>
    <w:rsid w:val="00B50772"/>
    <w:rsid w:val="00B50F12"/>
    <w:rsid w:val="00B51CC1"/>
    <w:rsid w:val="00B54B05"/>
    <w:rsid w:val="00B60A22"/>
    <w:rsid w:val="00B63849"/>
    <w:rsid w:val="00B67631"/>
    <w:rsid w:val="00B7778E"/>
    <w:rsid w:val="00B92B9D"/>
    <w:rsid w:val="00B9403C"/>
    <w:rsid w:val="00BA1431"/>
    <w:rsid w:val="00BA2592"/>
    <w:rsid w:val="00BA33E6"/>
    <w:rsid w:val="00BC33A7"/>
    <w:rsid w:val="00BC436B"/>
    <w:rsid w:val="00BC440B"/>
    <w:rsid w:val="00BC7550"/>
    <w:rsid w:val="00BD0778"/>
    <w:rsid w:val="00BD0D0B"/>
    <w:rsid w:val="00BD4611"/>
    <w:rsid w:val="00BD61D3"/>
    <w:rsid w:val="00BE13CA"/>
    <w:rsid w:val="00BE6310"/>
    <w:rsid w:val="00BF3206"/>
    <w:rsid w:val="00BF6019"/>
    <w:rsid w:val="00C01FF1"/>
    <w:rsid w:val="00C03BEB"/>
    <w:rsid w:val="00C03E02"/>
    <w:rsid w:val="00C07460"/>
    <w:rsid w:val="00C105D0"/>
    <w:rsid w:val="00C12DB3"/>
    <w:rsid w:val="00C21650"/>
    <w:rsid w:val="00C40023"/>
    <w:rsid w:val="00C42751"/>
    <w:rsid w:val="00C55C9B"/>
    <w:rsid w:val="00C77705"/>
    <w:rsid w:val="00C94D53"/>
    <w:rsid w:val="00C950D2"/>
    <w:rsid w:val="00CB038F"/>
    <w:rsid w:val="00CC6223"/>
    <w:rsid w:val="00CD0C1D"/>
    <w:rsid w:val="00CD562F"/>
    <w:rsid w:val="00CE40F2"/>
    <w:rsid w:val="00CE41B2"/>
    <w:rsid w:val="00CF71D6"/>
    <w:rsid w:val="00D10633"/>
    <w:rsid w:val="00D106FB"/>
    <w:rsid w:val="00D22E20"/>
    <w:rsid w:val="00D2314F"/>
    <w:rsid w:val="00D3141C"/>
    <w:rsid w:val="00D7181F"/>
    <w:rsid w:val="00D854ED"/>
    <w:rsid w:val="00D96B2B"/>
    <w:rsid w:val="00DA28D1"/>
    <w:rsid w:val="00DA69DD"/>
    <w:rsid w:val="00DB1A8E"/>
    <w:rsid w:val="00DB7854"/>
    <w:rsid w:val="00DC7462"/>
    <w:rsid w:val="00DD0AC0"/>
    <w:rsid w:val="00DF28B6"/>
    <w:rsid w:val="00E03FD8"/>
    <w:rsid w:val="00E11A75"/>
    <w:rsid w:val="00E21D41"/>
    <w:rsid w:val="00E34321"/>
    <w:rsid w:val="00E34C6B"/>
    <w:rsid w:val="00E451FD"/>
    <w:rsid w:val="00E51DEA"/>
    <w:rsid w:val="00E567A4"/>
    <w:rsid w:val="00E64379"/>
    <w:rsid w:val="00E74826"/>
    <w:rsid w:val="00E84790"/>
    <w:rsid w:val="00E8604D"/>
    <w:rsid w:val="00E90D25"/>
    <w:rsid w:val="00E91957"/>
    <w:rsid w:val="00E9249A"/>
    <w:rsid w:val="00E93877"/>
    <w:rsid w:val="00E93993"/>
    <w:rsid w:val="00EA064B"/>
    <w:rsid w:val="00EB6559"/>
    <w:rsid w:val="00ED333C"/>
    <w:rsid w:val="00ED5DD7"/>
    <w:rsid w:val="00EE1A1A"/>
    <w:rsid w:val="00EE47D9"/>
    <w:rsid w:val="00EE5CF3"/>
    <w:rsid w:val="00EF4469"/>
    <w:rsid w:val="00EF48A5"/>
    <w:rsid w:val="00EF5D10"/>
    <w:rsid w:val="00EF76FA"/>
    <w:rsid w:val="00F05FFA"/>
    <w:rsid w:val="00F27B5C"/>
    <w:rsid w:val="00F307D4"/>
    <w:rsid w:val="00F4048E"/>
    <w:rsid w:val="00F607BC"/>
    <w:rsid w:val="00F64433"/>
    <w:rsid w:val="00F754B2"/>
    <w:rsid w:val="00F955D8"/>
    <w:rsid w:val="00FB0741"/>
    <w:rsid w:val="00FB2D2D"/>
    <w:rsid w:val="00FC0429"/>
    <w:rsid w:val="00FC6B8F"/>
    <w:rsid w:val="00FC70E7"/>
    <w:rsid w:val="00FD3B6C"/>
    <w:rsid w:val="00FD4178"/>
    <w:rsid w:val="00FD77C9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7E90"/>
  <w15:chartTrackingRefBased/>
  <w15:docId w15:val="{F740ADE1-1BA9-49DD-A678-C85D312C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1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A22"/>
    <w:pPr>
      <w:ind w:left="720"/>
      <w:contextualSpacing/>
    </w:pPr>
  </w:style>
  <w:style w:type="paragraph" w:styleId="NoSpacing">
    <w:name w:val="No Spacing"/>
    <w:uiPriority w:val="1"/>
    <w:qFormat/>
    <w:rsid w:val="0043214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321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S-File-Server\BHarmon$\Weekly%20Fatality%20Update\Provisional%20Data\Weekly%20Fatality%20Comparison%202022%20Dec%2011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S-File-Server\BHarmon$\Weekly%20Fatality%20Update\Provisional%20Data\Weekly%20Fatality%20Comparison%202022%20Dec%2011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S-File-Server\BHarmon$\Weekly%20Fatality%20Update\Provisional%20Data\Weekly%20Fatality%20Comparison%202022%20Dec%2011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MN Traffic Fatalities
Jan 01-Dec 11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Sheet1!$B$5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Sheet1!$C$4</c:f>
              <c:strCache>
                <c:ptCount val="1"/>
                <c:pt idx="0">
                  <c:v>Fatalities</c:v>
                </c:pt>
              </c:strCache>
            </c:strRef>
          </c:cat>
          <c:val>
            <c:numRef>
              <c:f>Sheet1!$C$5</c:f>
              <c:numCache>
                <c:formatCode>General</c:formatCode>
                <c:ptCount val="1"/>
                <c:pt idx="0">
                  <c:v>370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BA-4E57-82FB-C034ACFFB203}"/>
            </c:ext>
          </c:extLst>
        </c:ser>
        <c:ser>
          <c:idx val="1"/>
          <c:order val="1"/>
          <c:tx>
            <c:strRef>
              <c:f>Sheet1!$B$6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Sheet1!$C$4</c:f>
              <c:strCache>
                <c:ptCount val="1"/>
                <c:pt idx="0">
                  <c:v>Fatalities</c:v>
                </c:pt>
              </c:strCache>
            </c:strRef>
          </c:cat>
          <c:val>
            <c:numRef>
              <c:f>Sheet1!$C$6</c:f>
              <c:numCache>
                <c:formatCode>General</c:formatCode>
                <c:ptCount val="1"/>
                <c:pt idx="0">
                  <c:v>338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BA-4E57-82FB-C034ACFFB203}"/>
            </c:ext>
          </c:extLst>
        </c:ser>
        <c:ser>
          <c:idx val="2"/>
          <c:order val="2"/>
          <c:tx>
            <c:strRef>
              <c:f>Sheet1!$B$7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Sheet1!$C$4</c:f>
              <c:strCache>
                <c:ptCount val="1"/>
                <c:pt idx="0">
                  <c:v>Fatalities</c:v>
                </c:pt>
              </c:strCache>
            </c:strRef>
          </c:cat>
          <c:val>
            <c:numRef>
              <c:f>Sheet1!$C$7</c:f>
              <c:numCache>
                <c:formatCode>General</c:formatCode>
                <c:ptCount val="1"/>
                <c:pt idx="0">
                  <c:v>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BA-4E57-82FB-C034ACFFB203}"/>
            </c:ext>
          </c:extLst>
        </c:ser>
        <c:ser>
          <c:idx val="3"/>
          <c:order val="3"/>
          <c:tx>
            <c:strRef>
              <c:f>Sheet1!$B$8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Sheet1!$C$4</c:f>
              <c:strCache>
                <c:ptCount val="1"/>
                <c:pt idx="0">
                  <c:v>Fatalities</c:v>
                </c:pt>
              </c:strCache>
            </c:strRef>
          </c:cat>
          <c:val>
            <c:numRef>
              <c:f>Sheet1!$C$8</c:f>
              <c:numCache>
                <c:formatCode>General</c:formatCode>
                <c:ptCount val="1"/>
                <c:pt idx="0">
                  <c:v>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BA-4E57-82FB-C034ACFFB203}"/>
            </c:ext>
          </c:extLst>
        </c:ser>
        <c:ser>
          <c:idx val="4"/>
          <c:order val="4"/>
          <c:tx>
            <c:strRef>
              <c:f>Sheet1!$B$9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Sheet1!$C$4</c:f>
              <c:strCache>
                <c:ptCount val="1"/>
                <c:pt idx="0">
                  <c:v>Fatalities</c:v>
                </c:pt>
              </c:strCache>
            </c:strRef>
          </c:cat>
          <c:val>
            <c:numRef>
              <c:f>Sheet1!$C$9</c:f>
              <c:numCache>
                <c:formatCode>General</c:formatCode>
                <c:ptCount val="1"/>
                <c:pt idx="0">
                  <c:v>374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BA-4E57-82FB-C034ACFFB203}"/>
            </c:ext>
          </c:extLst>
        </c:ser>
        <c:ser>
          <c:idx val="6"/>
          <c:order val="5"/>
          <c:tx>
            <c:strRef>
              <c:f>Sheet1!$B$10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6">
                <a:lumMod val="80000"/>
                <a:lumOff val="20000"/>
              </a:schemeClr>
            </a:solidFill>
            <a:ln>
              <a:noFill/>
            </a:ln>
            <a:effectLst/>
          </c:spPr>
          <c:invertIfNegative val="0"/>
          <c:val>
            <c:numRef>
              <c:f>Sheet1!$C$10</c:f>
              <c:numCache>
                <c:formatCode>General</c:formatCode>
                <c:ptCount val="1"/>
                <c:pt idx="0">
                  <c:v>471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CBA-4E57-82FB-C034ACFFB203}"/>
            </c:ext>
          </c:extLst>
        </c:ser>
        <c:ser>
          <c:idx val="5"/>
          <c:order val="6"/>
          <c:tx>
            <c:strRef>
              <c:f>Sheet1!$B$11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3CBA-4E57-82FB-C034ACFFB203}"/>
              </c:ext>
            </c:extLst>
          </c:dPt>
          <c:cat>
            <c:strRef>
              <c:f>Sheet1!$C$4</c:f>
              <c:strCache>
                <c:ptCount val="1"/>
                <c:pt idx="0">
                  <c:v>Fatalities</c:v>
                </c:pt>
              </c:strCache>
            </c:strRef>
          </c:cat>
          <c:val>
            <c:numRef>
              <c:f>Sheet1!$C$11</c:f>
              <c:numCache>
                <c:formatCode>General</c:formatCode>
                <c:ptCount val="1"/>
                <c:pt idx="0">
                  <c:v>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CBA-4E57-82FB-C034ACFFB2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0373688"/>
        <c:axId val="690372704"/>
      </c:barChart>
      <c:catAx>
        <c:axId val="690373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0372704"/>
        <c:crosses val="autoZero"/>
        <c:auto val="1"/>
        <c:lblAlgn val="ctr"/>
        <c:lblOffset val="100"/>
        <c:noMultiLvlLbl val="0"/>
      </c:catAx>
      <c:valAx>
        <c:axId val="690372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0373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MN</a:t>
            </a:r>
            <a:r>
              <a:rPr lang="en-US" b="1" baseline="0"/>
              <a:t> Traffic Fatalities: Contributing Factors</a:t>
            </a:r>
          </a:p>
          <a:p>
            <a:pPr>
              <a:defRPr b="1"/>
            </a:pPr>
            <a:r>
              <a:rPr lang="en-US" b="1" baseline="0"/>
              <a:t>Jan 01-Dec 11</a:t>
            </a:r>
            <a:endParaRPr lang="en-US" b="1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Sheet1!$C$19</c:f>
              <c:strCache>
                <c:ptCount val="1"/>
                <c:pt idx="0">
                  <c:v>Speed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Sheet1!$B$20:$B$26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Sheet1!$C$20:$C$26</c:f>
              <c:numCache>
                <c:formatCode>General</c:formatCode>
                <c:ptCount val="7"/>
                <c:pt idx="0">
                  <c:v>85</c:v>
                </c:pt>
                <c:pt idx="1">
                  <c:v>82</c:v>
                </c:pt>
                <c:pt idx="2">
                  <c:v>103</c:v>
                </c:pt>
                <c:pt idx="3">
                  <c:v>70</c:v>
                </c:pt>
                <c:pt idx="4">
                  <c:v>113</c:v>
                </c:pt>
                <c:pt idx="5">
                  <c:v>165</c:v>
                </c:pt>
                <c:pt idx="6">
                  <c:v>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C57-4D63-8C1A-176816A29EB1}"/>
            </c:ext>
          </c:extLst>
        </c:ser>
        <c:ser>
          <c:idx val="1"/>
          <c:order val="1"/>
          <c:tx>
            <c:strRef>
              <c:f>Sheet1!$D$19</c:f>
              <c:strCache>
                <c:ptCount val="1"/>
                <c:pt idx="0">
                  <c:v>Alcohol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Sheet1!$B$20:$B$26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Sheet1!$D$20:$D$26</c:f>
              <c:numCache>
                <c:formatCode>General</c:formatCode>
                <c:ptCount val="7"/>
                <c:pt idx="0">
                  <c:v>117</c:v>
                </c:pt>
                <c:pt idx="1">
                  <c:v>108</c:v>
                </c:pt>
                <c:pt idx="2">
                  <c:v>114</c:v>
                </c:pt>
                <c:pt idx="3">
                  <c:v>110</c:v>
                </c:pt>
                <c:pt idx="4">
                  <c:v>126</c:v>
                </c:pt>
                <c:pt idx="5">
                  <c:v>147</c:v>
                </c:pt>
                <c:pt idx="6">
                  <c:v>118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C57-4D63-8C1A-176816A29EB1}"/>
            </c:ext>
          </c:extLst>
        </c:ser>
        <c:ser>
          <c:idx val="2"/>
          <c:order val="2"/>
          <c:tx>
            <c:strRef>
              <c:f>Sheet1!$E$19</c:f>
              <c:strCache>
                <c:ptCount val="1"/>
                <c:pt idx="0">
                  <c:v>Distraction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Sheet1!$B$20:$B$26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Sheet1!$E$20:$E$26</c:f>
              <c:numCache>
                <c:formatCode>General</c:formatCode>
                <c:ptCount val="7"/>
                <c:pt idx="0">
                  <c:v>40</c:v>
                </c:pt>
                <c:pt idx="1">
                  <c:v>22</c:v>
                </c:pt>
                <c:pt idx="2">
                  <c:v>24</c:v>
                </c:pt>
                <c:pt idx="3">
                  <c:v>34</c:v>
                </c:pt>
                <c:pt idx="4">
                  <c:v>32</c:v>
                </c:pt>
                <c:pt idx="5">
                  <c:v>26</c:v>
                </c:pt>
                <c:pt idx="6">
                  <c:v>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C57-4D63-8C1A-176816A29EB1}"/>
            </c:ext>
          </c:extLst>
        </c:ser>
        <c:ser>
          <c:idx val="3"/>
          <c:order val="3"/>
          <c:tx>
            <c:strRef>
              <c:f>Sheet1!$F$19</c:f>
              <c:strCache>
                <c:ptCount val="1"/>
                <c:pt idx="0">
                  <c:v>Unbelted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Sheet1!$B$20:$B$26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Sheet1!$F$20:$F$26</c:f>
              <c:numCache>
                <c:formatCode>General</c:formatCode>
                <c:ptCount val="7"/>
                <c:pt idx="0">
                  <c:v>72</c:v>
                </c:pt>
                <c:pt idx="1">
                  <c:v>69</c:v>
                </c:pt>
                <c:pt idx="2">
                  <c:v>90</c:v>
                </c:pt>
                <c:pt idx="3">
                  <c:v>68</c:v>
                </c:pt>
                <c:pt idx="4">
                  <c:v>96</c:v>
                </c:pt>
                <c:pt idx="5">
                  <c:v>107</c:v>
                </c:pt>
                <c:pt idx="6">
                  <c:v>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C57-4D63-8C1A-176816A29EB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698264104"/>
        <c:axId val="698267384"/>
      </c:lineChart>
      <c:catAx>
        <c:axId val="698264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8267384"/>
        <c:crosses val="autoZero"/>
        <c:auto val="1"/>
        <c:lblAlgn val="ctr"/>
        <c:lblOffset val="100"/>
        <c:noMultiLvlLbl val="0"/>
      </c:catAx>
      <c:valAx>
        <c:axId val="698267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8264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MN</a:t>
            </a:r>
            <a:r>
              <a:rPr lang="en-US" b="1" baseline="0"/>
              <a:t> Traffic Fatalities: Person Type</a:t>
            </a:r>
          </a:p>
          <a:p>
            <a:pPr>
              <a:defRPr b="1"/>
            </a:pPr>
            <a:r>
              <a:rPr lang="en-US" b="1" baseline="0"/>
              <a:t>Jan 01-Dec 11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Sheet1!$C$37</c:f>
              <c:strCache>
                <c:ptCount val="1"/>
                <c:pt idx="0">
                  <c:v>Pedestrian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cat>
            <c:numRef>
              <c:f>Sheet1!$B$38:$B$44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Sheet1!$C$38:$C$44</c:f>
              <c:numCache>
                <c:formatCode>General</c:formatCode>
                <c:ptCount val="7"/>
                <c:pt idx="0">
                  <c:v>58</c:v>
                </c:pt>
                <c:pt idx="1">
                  <c:v>40</c:v>
                </c:pt>
                <c:pt idx="2">
                  <c:v>39</c:v>
                </c:pt>
                <c:pt idx="3">
                  <c:v>47</c:v>
                </c:pt>
                <c:pt idx="4">
                  <c:v>43</c:v>
                </c:pt>
                <c:pt idx="5">
                  <c:v>54</c:v>
                </c:pt>
                <c:pt idx="6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65-48B0-BCFD-A4FFDF6E5436}"/>
            </c:ext>
          </c:extLst>
        </c:ser>
        <c:ser>
          <c:idx val="1"/>
          <c:order val="1"/>
          <c:tx>
            <c:strRef>
              <c:f>Sheet1!$D$37</c:f>
              <c:strCache>
                <c:ptCount val="1"/>
                <c:pt idx="0">
                  <c:v>Bicyclist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numRef>
              <c:f>Sheet1!$B$38:$B$44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Sheet1!$D$38:$D$44</c:f>
              <c:numCache>
                <c:formatCode>General</c:formatCode>
                <c:ptCount val="7"/>
                <c:pt idx="0">
                  <c:v>7</c:v>
                </c:pt>
                <c:pt idx="1">
                  <c:v>6</c:v>
                </c:pt>
                <c:pt idx="2">
                  <c:v>7</c:v>
                </c:pt>
                <c:pt idx="3">
                  <c:v>10</c:v>
                </c:pt>
                <c:pt idx="4">
                  <c:v>10</c:v>
                </c:pt>
                <c:pt idx="5">
                  <c:v>9</c:v>
                </c:pt>
                <c:pt idx="6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865-48B0-BCFD-A4FFDF6E5436}"/>
            </c:ext>
          </c:extLst>
        </c:ser>
        <c:ser>
          <c:idx val="2"/>
          <c:order val="2"/>
          <c:tx>
            <c:strRef>
              <c:f>Sheet1!$E$37</c:f>
              <c:strCache>
                <c:ptCount val="1"/>
                <c:pt idx="0">
                  <c:v>Motorcyclist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numRef>
              <c:f>Sheet1!$B$38:$B$44</c:f>
              <c:numCache>
                <c:formatCode>General</c:formatCode>
                <c:ptCount val="7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</c:numCache>
            </c:numRef>
          </c:cat>
          <c:val>
            <c:numRef>
              <c:f>Sheet1!$E$38:$E$44</c:f>
              <c:numCache>
                <c:formatCode>General</c:formatCode>
                <c:ptCount val="7"/>
                <c:pt idx="0">
                  <c:v>54</c:v>
                </c:pt>
                <c:pt idx="1">
                  <c:v>53</c:v>
                </c:pt>
                <c:pt idx="2">
                  <c:v>58</c:v>
                </c:pt>
                <c:pt idx="3">
                  <c:v>44</c:v>
                </c:pt>
                <c:pt idx="4">
                  <c:v>64</c:v>
                </c:pt>
                <c:pt idx="5">
                  <c:v>69</c:v>
                </c:pt>
                <c:pt idx="6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865-48B0-BCFD-A4FFDF6E543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27723464"/>
        <c:axId val="227720840"/>
      </c:lineChart>
      <c:catAx>
        <c:axId val="227723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720840"/>
        <c:crosses val="autoZero"/>
        <c:auto val="1"/>
        <c:lblAlgn val="ctr"/>
        <c:lblOffset val="100"/>
        <c:noMultiLvlLbl val="0"/>
      </c:catAx>
      <c:valAx>
        <c:axId val="227720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7723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2B6CD-9592-4C98-AC95-618ADD74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Hawley, Allison (DPS)</dc:creator>
  <cp:keywords/>
  <dc:description/>
  <cp:lastModifiedBy>Harmon, Brian (DPS)</cp:lastModifiedBy>
  <cp:revision>5</cp:revision>
  <dcterms:created xsi:type="dcterms:W3CDTF">2022-12-13T17:47:00Z</dcterms:created>
  <dcterms:modified xsi:type="dcterms:W3CDTF">2022-12-13T18:24:00Z</dcterms:modified>
</cp:coreProperties>
</file>