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4E1" w:rsidRPr="000F7F39" w:rsidRDefault="000C04E1" w:rsidP="000C04E1">
      <w:pPr>
        <w:rPr>
          <w:rFonts w:ascii="Georgia" w:hAnsi="Georgia"/>
          <w:b/>
          <w:bCs/>
          <w:szCs w:val="22"/>
        </w:rPr>
      </w:pPr>
      <w:r w:rsidRPr="000C04E1">
        <w:rPr>
          <w:rFonts w:ascii="Georgia" w:hAnsi="Georgia"/>
          <w:b/>
          <w:bCs/>
          <w:sz w:val="22"/>
          <w:szCs w:val="22"/>
        </w:rPr>
        <w:t> </w:t>
      </w:r>
      <w:r>
        <w:rPr>
          <w:rFonts w:ascii="Georgia" w:hAnsi="Georgia"/>
          <w:b/>
          <w:bCs/>
          <w:szCs w:val="22"/>
        </w:rPr>
        <w:t>2019 Legislative Updates: Week 4</w:t>
      </w:r>
      <w:r w:rsidRPr="000F7F39">
        <w:rPr>
          <w:rFonts w:ascii="Georgia" w:hAnsi="Georgia"/>
          <w:b/>
          <w:bCs/>
          <w:szCs w:val="22"/>
        </w:rPr>
        <w:t xml:space="preserve"> </w:t>
      </w:r>
    </w:p>
    <w:p w:rsidR="000C04E1" w:rsidRDefault="000C04E1" w:rsidP="000C04E1">
      <w:pPr>
        <w:rPr>
          <w:sz w:val="22"/>
          <w:szCs w:val="22"/>
        </w:rPr>
      </w:pPr>
    </w:p>
    <w:p w:rsidR="000C04E1" w:rsidRPr="000C04E1" w:rsidRDefault="000C04E1" w:rsidP="000C04E1">
      <w:pPr>
        <w:rPr>
          <w:sz w:val="22"/>
          <w:szCs w:val="22"/>
        </w:rPr>
      </w:pPr>
    </w:p>
    <w:p w:rsidR="000C04E1" w:rsidRPr="000C04E1" w:rsidRDefault="000C04E1" w:rsidP="000C04E1">
      <w:pPr>
        <w:rPr>
          <w:sz w:val="22"/>
          <w:szCs w:val="22"/>
        </w:rPr>
      </w:pPr>
      <w:r w:rsidRPr="000C04E1">
        <w:rPr>
          <w:rFonts w:ascii="Georgia" w:hAnsi="Georgia"/>
          <w:b/>
          <w:bCs/>
          <w:color w:val="000000"/>
          <w:sz w:val="22"/>
          <w:szCs w:val="22"/>
          <w:u w:val="single"/>
        </w:rPr>
        <w:t xml:space="preserve">Insurance </w:t>
      </w:r>
    </w:p>
    <w:p w:rsidR="000C04E1" w:rsidRPr="000C04E1" w:rsidRDefault="000C04E1" w:rsidP="000C04E1">
      <w:pPr>
        <w:rPr>
          <w:sz w:val="22"/>
          <w:szCs w:val="22"/>
        </w:rPr>
      </w:pPr>
      <w:r w:rsidRPr="000C04E1">
        <w:rPr>
          <w:rFonts w:ascii="Georgia" w:hAnsi="Georgia"/>
          <w:color w:val="000000"/>
          <w:sz w:val="22"/>
          <w:szCs w:val="22"/>
        </w:rPr>
        <w:t> </w:t>
      </w:r>
    </w:p>
    <w:p w:rsidR="000C04E1" w:rsidRPr="000C04E1" w:rsidRDefault="000C04E1" w:rsidP="000C04E1">
      <w:pPr>
        <w:rPr>
          <w:sz w:val="22"/>
          <w:szCs w:val="22"/>
        </w:rPr>
      </w:pPr>
      <w:r w:rsidRPr="000C04E1">
        <w:rPr>
          <w:rFonts w:ascii="Georgia" w:hAnsi="Georgia"/>
          <w:sz w:val="22"/>
          <w:szCs w:val="22"/>
          <w:u w:val="single"/>
        </w:rPr>
        <w:t>The House Health Market Reform Subcommittee passed HB 1363, relating to consumer protection from nonmedical changes to prescription drug formularies- 13 Yeas, 1 Nays.</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HB 1363 amends the Insurance Code by prohibiting a health insurer or HMO from removing a covered drug from its formulary during the policy year, with limited exceptions. These provisions apply to individual and group policies or contracts providing medical, major medical, or similar comprehensive coverage. An insurer or HMO may remove a prescription drug from its list of covered drugs during the policy year only if: </w:t>
      </w:r>
    </w:p>
    <w:p w:rsidR="000C04E1" w:rsidRPr="000C04E1" w:rsidRDefault="000C04E1" w:rsidP="000C04E1">
      <w:pPr>
        <w:ind w:left="720"/>
        <w:rPr>
          <w:sz w:val="22"/>
          <w:szCs w:val="22"/>
        </w:rPr>
      </w:pPr>
      <w:r w:rsidRPr="000C04E1">
        <w:rPr>
          <w:rFonts w:ascii="Georgia" w:hAnsi="Georgia"/>
          <w:sz w:val="22"/>
          <w:szCs w:val="22"/>
        </w:rPr>
        <w:t> </w:t>
      </w:r>
    </w:p>
    <w:p w:rsidR="000C04E1" w:rsidRPr="000C04E1" w:rsidRDefault="000C04E1" w:rsidP="000C04E1">
      <w:pPr>
        <w:numPr>
          <w:ilvl w:val="0"/>
          <w:numId w:val="1"/>
        </w:numPr>
        <w:rPr>
          <w:rFonts w:eastAsia="Times New Roman"/>
          <w:sz w:val="22"/>
          <w:szCs w:val="22"/>
        </w:rPr>
      </w:pPr>
      <w:r w:rsidRPr="000C04E1">
        <w:rPr>
          <w:rFonts w:ascii="Georgia" w:eastAsia="Times New Roman" w:hAnsi="Georgia"/>
          <w:sz w:val="22"/>
          <w:szCs w:val="22"/>
        </w:rPr>
        <w:t xml:space="preserve">The U.S. Food and Drug Administration has issued a statement about the drug which calls into question the clinical safety of the drug; or, </w:t>
      </w:r>
    </w:p>
    <w:p w:rsidR="000C04E1" w:rsidRPr="000C04E1" w:rsidRDefault="000C04E1" w:rsidP="000C04E1">
      <w:pPr>
        <w:numPr>
          <w:ilvl w:val="0"/>
          <w:numId w:val="1"/>
        </w:numPr>
        <w:rPr>
          <w:rFonts w:eastAsia="Times New Roman"/>
          <w:sz w:val="22"/>
          <w:szCs w:val="22"/>
        </w:rPr>
      </w:pPr>
      <w:r w:rsidRPr="000C04E1">
        <w:rPr>
          <w:rFonts w:ascii="Georgia" w:eastAsia="Times New Roman" w:hAnsi="Georgia"/>
          <w:sz w:val="22"/>
          <w:szCs w:val="22"/>
        </w:rPr>
        <w:t xml:space="preserve">The manufacturer of the drug has notified the U.S. Food and Drug Administration of a manufacturing discontinuance or potential discontinuance of the drug as required by s. 506C of the Federal Food, Drug, and Cosmetic Act, 21 U.S.C. s. 356c.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The bill also prohibits an insurer or HMO from reclassifying a drug to a more restrictive drug tier; increasing the amount that an insured must pay out-of-pocket for a copayment, coinsurance, or deductible for prescription drugs; or reclassifying a drug to a higher cost-sharing tier during the policy year. The prohibitions outlined in the bill apply only if an insurer or HMO secures an acquisition price for a drug that will be in effect for the entire plan year.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rFonts w:ascii="Georgia" w:hAnsi="Georgia"/>
          <w:sz w:val="22"/>
          <w:szCs w:val="22"/>
        </w:rPr>
      </w:pPr>
      <w:r w:rsidRPr="000C04E1">
        <w:rPr>
          <w:rFonts w:ascii="Georgia" w:hAnsi="Georgia"/>
          <w:sz w:val="22"/>
          <w:szCs w:val="22"/>
        </w:rPr>
        <w:t xml:space="preserve">The bill does not prohibit the addition of prescription drugs to an insurer’s formulary during the plan year, and it does not alter the ability of a pharmacist to dispense certain substitute drugs as provided in ss. 465.025 and 465.0252, F.S. </w:t>
      </w:r>
    </w:p>
    <w:p w:rsidR="000C04E1" w:rsidRPr="000C04E1" w:rsidRDefault="000C04E1" w:rsidP="000C04E1">
      <w:pPr>
        <w:rPr>
          <w:rFonts w:ascii="Georgia" w:hAnsi="Georgia"/>
          <w:sz w:val="22"/>
          <w:szCs w:val="22"/>
        </w:rPr>
      </w:pPr>
    </w:p>
    <w:p w:rsidR="000C04E1" w:rsidRDefault="000C04E1" w:rsidP="000C04E1">
      <w:pPr>
        <w:rPr>
          <w:rFonts w:ascii="Georgia" w:hAnsi="Georgia"/>
          <w:sz w:val="22"/>
          <w:szCs w:val="22"/>
        </w:rPr>
      </w:pPr>
      <w:r w:rsidRPr="000C04E1">
        <w:rPr>
          <w:rFonts w:ascii="Georgia" w:hAnsi="Georgia"/>
          <w:sz w:val="22"/>
          <w:szCs w:val="22"/>
        </w:rPr>
        <w:t xml:space="preserve">Unfortunately, the Health Market Reform Subcommittee adopted an amendment specifying - the prohibition on mid-year changes to drug formularies and patient cost-sharing applies only if an insurer or HMO secures an acquisition price for a prescription drug that will be in effect for the entire plan year. </w:t>
      </w:r>
    </w:p>
    <w:p w:rsidR="000C04E1" w:rsidRPr="000C04E1" w:rsidRDefault="000C04E1" w:rsidP="000C04E1">
      <w:pPr>
        <w:rPr>
          <w:rFonts w:ascii="Georgia" w:hAnsi="Georgia"/>
          <w:sz w:val="22"/>
          <w:szCs w:val="22"/>
        </w:rPr>
      </w:pP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u w:val="single"/>
        </w:rPr>
        <w:t xml:space="preserve">The House Insurance &amp; Banking Subcommittee passed HB 1399, relating to </w:t>
      </w:r>
      <w:proofErr w:type="gramStart"/>
      <w:r w:rsidRPr="000C04E1">
        <w:rPr>
          <w:rFonts w:ascii="Georgia" w:hAnsi="Georgia"/>
          <w:sz w:val="22"/>
          <w:szCs w:val="22"/>
          <w:u w:val="single"/>
        </w:rPr>
        <w:t>workers</w:t>
      </w:r>
      <w:proofErr w:type="gramEnd"/>
      <w:r w:rsidRPr="000C04E1">
        <w:rPr>
          <w:rFonts w:ascii="Georgia" w:hAnsi="Georgia"/>
          <w:sz w:val="22"/>
          <w:szCs w:val="22"/>
          <w:u w:val="single"/>
        </w:rPr>
        <w:t xml:space="preserve"> compensation - 15 Yeas, 0 Nays.</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rFonts w:ascii="Georgia" w:hAnsi="Georgia"/>
          <w:sz w:val="22"/>
          <w:szCs w:val="22"/>
        </w:rPr>
      </w:pPr>
      <w:r w:rsidRPr="000C04E1">
        <w:rPr>
          <w:rFonts w:ascii="Georgia" w:hAnsi="Georgia"/>
          <w:sz w:val="22"/>
          <w:szCs w:val="22"/>
        </w:rPr>
        <w:t xml:space="preserve">The Legislature intends the workers’ compensation system to be a self-executing system and for the law to be interpreted to “assure the quick and efficient delivery of disability and medical benefits to an injured worker and to facilitate the worker’s return to gainful reemployment at a reasonable cost to the employer.” Workers’ compensation is the injured employee’s remedy for “compensable” workplace injuries. Employees generally cannot sue a covered employer in circuit court for workplace injuries. Benefit delivery and disputes are handled through an administrative process. </w:t>
      </w:r>
    </w:p>
    <w:p w:rsidR="000C04E1" w:rsidRPr="000C04E1" w:rsidRDefault="000C04E1" w:rsidP="000C04E1">
      <w:pPr>
        <w:rPr>
          <w:rFonts w:ascii="Georgia" w:hAnsi="Georgia"/>
          <w:sz w:val="22"/>
          <w:szCs w:val="22"/>
        </w:rPr>
      </w:pPr>
    </w:p>
    <w:p w:rsidR="000C04E1" w:rsidRPr="000C04E1" w:rsidRDefault="000C04E1" w:rsidP="000C04E1">
      <w:pPr>
        <w:rPr>
          <w:sz w:val="22"/>
          <w:szCs w:val="22"/>
        </w:rPr>
      </w:pPr>
      <w:r w:rsidRPr="000C04E1">
        <w:rPr>
          <w:rFonts w:ascii="Georgia" w:hAnsi="Georgia"/>
          <w:sz w:val="22"/>
          <w:szCs w:val="22"/>
        </w:rPr>
        <w:t xml:space="preserve">The bill makes changes to the workers’ compensation law to address the delivery of benefits and system cost drivers. The bill: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numPr>
          <w:ilvl w:val="0"/>
          <w:numId w:val="2"/>
        </w:numPr>
        <w:rPr>
          <w:rFonts w:ascii="Georgia" w:eastAsia="Times New Roman" w:hAnsi="Georgia"/>
          <w:sz w:val="22"/>
          <w:szCs w:val="22"/>
        </w:rPr>
      </w:pPr>
      <w:r w:rsidRPr="000C04E1">
        <w:rPr>
          <w:rFonts w:ascii="Georgia" w:eastAsia="Times New Roman" w:hAnsi="Georgia"/>
          <w:sz w:val="22"/>
          <w:szCs w:val="22"/>
        </w:rPr>
        <w:t>Provides for Timely Treatment Authorizations</w:t>
      </w:r>
    </w:p>
    <w:p w:rsidR="000C04E1" w:rsidRPr="000C04E1" w:rsidRDefault="000C04E1" w:rsidP="000C04E1">
      <w:pPr>
        <w:numPr>
          <w:ilvl w:val="0"/>
          <w:numId w:val="2"/>
        </w:numPr>
        <w:rPr>
          <w:rFonts w:ascii="Georgia" w:eastAsia="Times New Roman" w:hAnsi="Georgia"/>
          <w:sz w:val="22"/>
          <w:szCs w:val="22"/>
        </w:rPr>
      </w:pPr>
      <w:r w:rsidRPr="000C04E1">
        <w:rPr>
          <w:rFonts w:ascii="Georgia" w:eastAsia="Times New Roman" w:hAnsi="Georgia"/>
          <w:sz w:val="22"/>
          <w:szCs w:val="22"/>
        </w:rPr>
        <w:lastRenderedPageBreak/>
        <w:t>Publication of a Performance Report Card for insurers focused on return to work.</w:t>
      </w:r>
    </w:p>
    <w:p w:rsidR="000C04E1" w:rsidRPr="000C04E1" w:rsidRDefault="000C04E1" w:rsidP="000C04E1">
      <w:pPr>
        <w:numPr>
          <w:ilvl w:val="0"/>
          <w:numId w:val="2"/>
        </w:numPr>
        <w:rPr>
          <w:rFonts w:ascii="Georgia" w:eastAsia="Times New Roman" w:hAnsi="Georgia"/>
          <w:sz w:val="22"/>
          <w:szCs w:val="22"/>
        </w:rPr>
      </w:pPr>
      <w:r w:rsidRPr="000C04E1">
        <w:rPr>
          <w:rFonts w:ascii="Georgia" w:eastAsia="Times New Roman" w:hAnsi="Georgia"/>
          <w:sz w:val="22"/>
          <w:szCs w:val="22"/>
        </w:rPr>
        <w:t>Ability for Authorized Treating Physicians to use Ancillary Services (Imaging and DME) under $500 without authorization.</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color w:val="000000"/>
          <w:sz w:val="22"/>
          <w:szCs w:val="22"/>
        </w:rPr>
        <w:t> </w:t>
      </w: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u w:val="single"/>
        </w:rPr>
        <w:t>The Senate Commerce and Tourism Committee passed SB 1422, relating to health plans - 4 Yeas, 1 Nays.</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SB 1422 revises regulatory provisions relating to alternative coverage arrangements, such as short-term limited duration insurance policies and association health plans (AHPs). The bill codifies 2018 federal regulations to provide consumers and employers with more affordable coverage options and choices for health insurance coverage.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An AHP is a type of multiple employer welfare association, which constitutes a legal arrangement that allows business associations or unrelated employer groups to jointly offer health insurance and other fringe benefits to their members or employees. Changes in federal rules allow small employers, through associations, to gain regulatory and economic advantages that were previously only available to large employers. As a result of the federal regulatory changes, small employers, including working owners without employees, can form an AHP that would be treated as a large group rather than a small group for insurance purposes. This will lower insurance costs and regulatory burdens. In addition, the federal rule allows an AHP to form based on a geographic test, such as a common state, city, county, or a metropolitan area across state lines. Working owners without employees, including sole proprietors, can also join.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The bill also provides that short-term limited duration insurance is an individual or group health insurance coverage provided pursuant to a contract with an issuer that has an expiration date specified in the contract that is less than 12 months after the original effective date of the contract and has a duration of no longer than 36 months in total. Short-term limited duration insurance was designed primarily to fill temporary gaps in coverage that may occur when an individual is transitioning from one plan or coverage to another plan or coverage. Currently, a short-term limited duration insurance policy must expire within 12 months of the date of the contract, taking into account any extensions. The bill requires disclosure in the short-term limited duration insurance contract regarding the scope of the coverage. </w:t>
      </w:r>
    </w:p>
    <w:p w:rsidR="000C04E1" w:rsidRPr="000C04E1" w:rsidRDefault="000C04E1" w:rsidP="000C04E1">
      <w:pPr>
        <w:rPr>
          <w:sz w:val="22"/>
          <w:szCs w:val="22"/>
        </w:rPr>
      </w:pPr>
      <w:r w:rsidRPr="000C04E1">
        <w:rPr>
          <w:rFonts w:ascii="Georgia" w:hAnsi="Georgia"/>
          <w:sz w:val="22"/>
          <w:szCs w:val="22"/>
        </w:rPr>
        <w:t> </w:t>
      </w:r>
    </w:p>
    <w:p w:rsidR="000C04E1" w:rsidRDefault="000C04E1" w:rsidP="000C04E1">
      <w:pPr>
        <w:rPr>
          <w:rFonts w:ascii="Georgia" w:hAnsi="Georgia"/>
          <w:sz w:val="22"/>
          <w:szCs w:val="22"/>
          <w:u w:val="single"/>
        </w:rPr>
      </w:pPr>
    </w:p>
    <w:p w:rsidR="000C04E1" w:rsidRPr="000C04E1" w:rsidRDefault="000C04E1" w:rsidP="000C04E1">
      <w:pPr>
        <w:rPr>
          <w:sz w:val="22"/>
          <w:szCs w:val="22"/>
        </w:rPr>
      </w:pPr>
      <w:r w:rsidRPr="000C04E1">
        <w:rPr>
          <w:rFonts w:ascii="Georgia" w:hAnsi="Georgia"/>
          <w:sz w:val="22"/>
          <w:szCs w:val="22"/>
          <w:u w:val="single"/>
        </w:rPr>
        <w:t>The House Insurance &amp; Banking Subcommittee passed HB 879, relating to genetic information used for insurance purposes- 9 Yeas, 6 Nays.</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The bill amends s. 627.4301, F.S., existing prohibitions on the use of genetic information by insurers to include entities that issue policies for life insurance and long-term care insurance. Specifically, the bill prohibits issuers of life insurance and long-term care insurance from canceling, limiting, or denying coverage, and from setting different premium rates, based on personal genetic information without a specific diagnosis29 related to the genetic information. The bill also prohibits life insurers and long-term care insurers from requiring or soliciting genetic information, using genetic test results, or considering a person’s decisions or actions relating to genetic testing for any insurance purpose.</w:t>
      </w:r>
    </w:p>
    <w:p w:rsidR="000C04E1" w:rsidRPr="000C04E1" w:rsidRDefault="000C04E1" w:rsidP="000C04E1">
      <w:pPr>
        <w:rPr>
          <w:sz w:val="22"/>
          <w:szCs w:val="22"/>
        </w:rPr>
      </w:pPr>
      <w:r w:rsidRPr="000C04E1">
        <w:rPr>
          <w:sz w:val="22"/>
          <w:szCs w:val="22"/>
        </w:rPr>
        <w:t> </w:t>
      </w:r>
    </w:p>
    <w:p w:rsidR="000C04E1" w:rsidRDefault="000C04E1" w:rsidP="000C04E1">
      <w:pPr>
        <w:rPr>
          <w:rFonts w:ascii="Georgia" w:hAnsi="Georgia"/>
          <w:b/>
          <w:bCs/>
          <w:sz w:val="22"/>
          <w:szCs w:val="22"/>
          <w:u w:val="single"/>
        </w:rPr>
      </w:pPr>
    </w:p>
    <w:p w:rsidR="000C04E1" w:rsidRDefault="000C04E1" w:rsidP="000C04E1">
      <w:pPr>
        <w:rPr>
          <w:rFonts w:ascii="Georgia" w:hAnsi="Georgia"/>
          <w:b/>
          <w:bCs/>
          <w:sz w:val="22"/>
          <w:szCs w:val="22"/>
          <w:u w:val="single"/>
        </w:rPr>
      </w:pPr>
    </w:p>
    <w:p w:rsidR="000C04E1" w:rsidRDefault="000C04E1" w:rsidP="000C04E1">
      <w:pPr>
        <w:rPr>
          <w:rFonts w:ascii="Georgia" w:hAnsi="Georgia"/>
          <w:b/>
          <w:bCs/>
          <w:sz w:val="22"/>
          <w:szCs w:val="22"/>
          <w:u w:val="single"/>
        </w:rPr>
      </w:pPr>
    </w:p>
    <w:p w:rsidR="000C04E1" w:rsidRDefault="000C04E1" w:rsidP="000C04E1">
      <w:pPr>
        <w:rPr>
          <w:rFonts w:ascii="Georgia" w:hAnsi="Georgia"/>
          <w:b/>
          <w:bCs/>
          <w:sz w:val="22"/>
          <w:szCs w:val="22"/>
          <w:u w:val="single"/>
        </w:rPr>
      </w:pPr>
    </w:p>
    <w:p w:rsidR="000C04E1" w:rsidRPr="000C04E1" w:rsidRDefault="000C04E1" w:rsidP="000C04E1">
      <w:pPr>
        <w:rPr>
          <w:sz w:val="22"/>
          <w:szCs w:val="22"/>
        </w:rPr>
      </w:pPr>
      <w:r w:rsidRPr="000C04E1">
        <w:rPr>
          <w:rFonts w:ascii="Georgia" w:hAnsi="Georgia"/>
          <w:b/>
          <w:bCs/>
          <w:sz w:val="22"/>
          <w:szCs w:val="22"/>
          <w:u w:val="single"/>
        </w:rPr>
        <w:lastRenderedPageBreak/>
        <w:t xml:space="preserve">Scope of Practice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color w:val="000000"/>
          <w:sz w:val="22"/>
          <w:szCs w:val="22"/>
          <w:u w:val="single"/>
        </w:rPr>
        <w:t>The House Health Care Appropriations Subcommittee passed CS/HB 821, relating to the health care practitioners - 8 Yeas, 2 Nays. </w:t>
      </w:r>
      <w:r w:rsidRPr="000C04E1">
        <w:rPr>
          <w:rStyle w:val="apple-converted-space"/>
          <w:rFonts w:ascii="Georgia"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rPr>
        <w:t>CS/HB 821 authorizes APRNs who meet certain criteria to practice advanced or specialized nursing without physician supervision or a protocol and authorizes PAs to practice primary care without physician supervision. </w:t>
      </w:r>
    </w:p>
    <w:p w:rsidR="000C04E1" w:rsidRPr="000C04E1" w:rsidRDefault="000C04E1" w:rsidP="000C04E1">
      <w:pPr>
        <w:rPr>
          <w:sz w:val="22"/>
          <w:szCs w:val="22"/>
        </w:rPr>
      </w:pPr>
      <w:r w:rsidRPr="000C04E1">
        <w:rPr>
          <w:rFonts w:ascii="Georgia"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rPr>
        <w:t>The bill also authorizes an advisory committee comprised of physicians and APRNs to develop a list of medical acts that an APRN that engaging in autonomous practice may perform.</w:t>
      </w:r>
      <w:r w:rsidRPr="000C04E1">
        <w:rPr>
          <w:rStyle w:val="apple-converted-space"/>
          <w:rFonts w:ascii="Georgia"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rPr>
        <w:t>The bill subjects APRNs engaging in autonomous practice to disciplinary action if they commit specified prohibited acts related to unethical and substandard business practices. Such APRNs must complete 10 hours of continuing education related to pharmacology prior to biennial registration renewal. An APRN or a PA who practices autonomously must</w:t>
      </w:r>
      <w:r w:rsidRPr="000C04E1">
        <w:rPr>
          <w:rStyle w:val="apple-converted-space"/>
          <w:rFonts w:ascii="Georgia" w:hAnsi="Georgia"/>
          <w:color w:val="000000"/>
          <w:sz w:val="22"/>
          <w:szCs w:val="22"/>
        </w:rPr>
        <w:t> </w:t>
      </w:r>
      <w:r w:rsidRPr="000C04E1">
        <w:rPr>
          <w:rFonts w:ascii="Georgia" w:hAnsi="Georgia"/>
          <w:color w:val="000000"/>
          <w:sz w:val="22"/>
          <w:szCs w:val="22"/>
        </w:rPr>
        <w:t>report</w:t>
      </w:r>
      <w:r w:rsidRPr="000C04E1">
        <w:rPr>
          <w:rStyle w:val="apple-converted-space"/>
          <w:rFonts w:ascii="Georgia" w:hAnsi="Georgia"/>
          <w:color w:val="000000"/>
          <w:sz w:val="22"/>
          <w:szCs w:val="22"/>
        </w:rPr>
        <w:t> </w:t>
      </w:r>
      <w:r w:rsidRPr="000C04E1">
        <w:rPr>
          <w:rFonts w:ascii="Georgia" w:hAnsi="Georgia"/>
          <w:color w:val="000000"/>
          <w:sz w:val="22"/>
          <w:szCs w:val="22"/>
        </w:rPr>
        <w:t>adverse incidents that result in the death of a patient, permanent physical injury to the patient, or a need to transfer a patient to hospital to the Department of Health (DOH). DOH must review each</w:t>
      </w:r>
      <w:r w:rsidRPr="000C04E1">
        <w:rPr>
          <w:rStyle w:val="apple-converted-space"/>
          <w:rFonts w:ascii="Georgia" w:hAnsi="Georgia"/>
          <w:color w:val="000000"/>
          <w:sz w:val="22"/>
          <w:szCs w:val="22"/>
        </w:rPr>
        <w:t> </w:t>
      </w:r>
      <w:r w:rsidRPr="000C04E1">
        <w:rPr>
          <w:rFonts w:ascii="Georgia" w:hAnsi="Georgia"/>
          <w:color w:val="000000"/>
          <w:sz w:val="22"/>
          <w:szCs w:val="22"/>
        </w:rPr>
        <w:t>report</w:t>
      </w:r>
      <w:r w:rsidRPr="000C04E1">
        <w:rPr>
          <w:rStyle w:val="apple-converted-space"/>
          <w:rFonts w:ascii="Georgia" w:hAnsi="Georgia"/>
          <w:color w:val="000000"/>
          <w:sz w:val="22"/>
          <w:szCs w:val="22"/>
        </w:rPr>
        <w:t> </w:t>
      </w:r>
      <w:r w:rsidRPr="000C04E1">
        <w:rPr>
          <w:rFonts w:ascii="Georgia" w:hAnsi="Georgia"/>
          <w:color w:val="000000"/>
          <w:sz w:val="22"/>
          <w:szCs w:val="22"/>
        </w:rPr>
        <w:t>to determine whether the APRN or PA is subject to disciplinary action.</w:t>
      </w:r>
      <w:r w:rsidRPr="000C04E1">
        <w:rPr>
          <w:rStyle w:val="apple-converted-space"/>
          <w:rFonts w:ascii="Georgia"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rPr>
        <w:t>The bill requires APRNs to apply to the Board for licensure, rather than DOH, to reflect current practice.</w:t>
      </w:r>
      <w:r w:rsidRPr="000C04E1">
        <w:rPr>
          <w:rStyle w:val="apple-converted-space"/>
          <w:rFonts w:ascii="Georgia"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rPr>
        <w:t>The bill also requires the Board of Medicine or the Board of Osteopathic Medicine to approve PA training programs, without the programs first being recommended by the Council.</w:t>
      </w:r>
      <w:r w:rsidRPr="000C04E1">
        <w:rPr>
          <w:rStyle w:val="apple-converted-space"/>
          <w:rFonts w:ascii="Georgia"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rPr>
        <w:t>The bill expands the scope of practice for PAs to authorize them to certify a person for involuntary examination under the Baker Act and file death certificates and certify a cause of death. The bill removes a requirement that a PA must notify a patient that he or she has the right to see a physician prior to prescribing or dispensing a prescription.</w:t>
      </w:r>
      <w:r w:rsidRPr="000C04E1">
        <w:rPr>
          <w:rStyle w:val="apple-converted-space"/>
          <w:rFonts w:ascii="Georgia"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rPr>
        <w:t>The bill also revises the composition of the Council on Physician Assistants so that it has a PA majority.</w:t>
      </w:r>
      <w:r w:rsidRPr="000C04E1">
        <w:rPr>
          <w:rStyle w:val="apple-converted-space"/>
          <w:rFonts w:ascii="Georgia"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rPr>
        <w:t>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b/>
          <w:bCs/>
          <w:color w:val="000000"/>
          <w:sz w:val="22"/>
          <w:szCs w:val="22"/>
          <w:u w:val="single"/>
        </w:rPr>
        <w:t>Telehealth</w:t>
      </w:r>
    </w:p>
    <w:p w:rsidR="000C04E1" w:rsidRPr="000C04E1" w:rsidRDefault="000C04E1" w:rsidP="000C04E1">
      <w:pPr>
        <w:rPr>
          <w:sz w:val="22"/>
          <w:szCs w:val="22"/>
        </w:rPr>
      </w:pPr>
      <w:r w:rsidRPr="000C04E1">
        <w:rPr>
          <w:sz w:val="22"/>
          <w:szCs w:val="22"/>
        </w:rPr>
        <w:t> </w:t>
      </w:r>
    </w:p>
    <w:p w:rsidR="000C04E1" w:rsidRPr="000C04E1" w:rsidRDefault="000C04E1" w:rsidP="000C04E1">
      <w:pPr>
        <w:rPr>
          <w:sz w:val="22"/>
          <w:szCs w:val="22"/>
        </w:rPr>
      </w:pPr>
      <w:r w:rsidRPr="000C04E1">
        <w:rPr>
          <w:rFonts w:ascii="Georgia"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u w:val="single"/>
        </w:rPr>
        <w:t xml:space="preserve">The </w:t>
      </w:r>
      <w:r w:rsidRPr="000C04E1">
        <w:rPr>
          <w:rFonts w:ascii="Georgia" w:hAnsi="Georgia"/>
          <w:sz w:val="22"/>
          <w:szCs w:val="22"/>
          <w:u w:val="single"/>
        </w:rPr>
        <w:t>Senate</w:t>
      </w:r>
      <w:r w:rsidRPr="000C04E1">
        <w:rPr>
          <w:rFonts w:ascii="Georgia" w:hAnsi="Georgia"/>
          <w:color w:val="000000"/>
          <w:sz w:val="22"/>
          <w:szCs w:val="22"/>
          <w:u w:val="single"/>
        </w:rPr>
        <w:t xml:space="preserve"> </w:t>
      </w:r>
      <w:r w:rsidRPr="000C04E1">
        <w:rPr>
          <w:rFonts w:ascii="Georgia" w:hAnsi="Georgia"/>
          <w:sz w:val="22"/>
          <w:szCs w:val="22"/>
          <w:u w:val="single"/>
        </w:rPr>
        <w:t xml:space="preserve">Health Policy </w:t>
      </w:r>
      <w:r w:rsidRPr="000C04E1">
        <w:rPr>
          <w:rFonts w:ascii="Georgia" w:hAnsi="Georgia"/>
          <w:color w:val="000000"/>
          <w:sz w:val="22"/>
          <w:szCs w:val="22"/>
          <w:u w:val="single"/>
        </w:rPr>
        <w:t>Committee passed</w:t>
      </w:r>
      <w:r w:rsidRPr="000C04E1">
        <w:rPr>
          <w:rFonts w:ascii="Georgia" w:hAnsi="Georgia"/>
          <w:sz w:val="22"/>
          <w:szCs w:val="22"/>
          <w:u w:val="single"/>
        </w:rPr>
        <w:t xml:space="preserve"> SB</w:t>
      </w:r>
      <w:r w:rsidRPr="000C04E1">
        <w:rPr>
          <w:rFonts w:ascii="Georgia" w:hAnsi="Georgia"/>
          <w:color w:val="000000"/>
          <w:sz w:val="22"/>
          <w:szCs w:val="22"/>
          <w:u w:val="single"/>
        </w:rPr>
        <w:t xml:space="preserve"> </w:t>
      </w:r>
      <w:r w:rsidRPr="000C04E1">
        <w:rPr>
          <w:rFonts w:ascii="Georgia" w:hAnsi="Georgia"/>
          <w:sz w:val="22"/>
          <w:szCs w:val="22"/>
          <w:u w:val="single"/>
        </w:rPr>
        <w:t>1526</w:t>
      </w:r>
      <w:r w:rsidRPr="000C04E1">
        <w:rPr>
          <w:rFonts w:ascii="Georgia" w:hAnsi="Georgia"/>
          <w:color w:val="000000"/>
          <w:sz w:val="22"/>
          <w:szCs w:val="22"/>
          <w:u w:val="single"/>
        </w:rPr>
        <w:t xml:space="preserve">, relating to Telehealth - </w:t>
      </w:r>
      <w:r w:rsidRPr="000C04E1">
        <w:rPr>
          <w:rFonts w:ascii="Georgia" w:hAnsi="Georgia"/>
          <w:sz w:val="22"/>
          <w:szCs w:val="22"/>
          <w:u w:val="single"/>
        </w:rPr>
        <w:t>10</w:t>
      </w:r>
      <w:r w:rsidRPr="000C04E1">
        <w:rPr>
          <w:rFonts w:ascii="Georgia" w:hAnsi="Georgia"/>
          <w:color w:val="000000"/>
          <w:sz w:val="22"/>
          <w:szCs w:val="22"/>
          <w:u w:val="single"/>
        </w:rPr>
        <w:t xml:space="preserve"> Yeas, </w:t>
      </w:r>
      <w:r w:rsidRPr="000C04E1">
        <w:rPr>
          <w:rFonts w:ascii="Georgia" w:hAnsi="Georgia"/>
          <w:sz w:val="22"/>
          <w:szCs w:val="22"/>
          <w:u w:val="single"/>
        </w:rPr>
        <w:t>0</w:t>
      </w:r>
      <w:r w:rsidRPr="000C04E1">
        <w:rPr>
          <w:rFonts w:ascii="Georgia" w:hAnsi="Georgia"/>
          <w:color w:val="000000"/>
          <w:sz w:val="22"/>
          <w:szCs w:val="22"/>
          <w:u w:val="single"/>
        </w:rPr>
        <w:t xml:space="preserve"> Nays.</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SB 1526 establishes a statutory basis and definition for telehealth. </w:t>
      </w:r>
    </w:p>
    <w:p w:rsidR="000C04E1" w:rsidRPr="000C04E1" w:rsidRDefault="000C04E1" w:rsidP="000C04E1">
      <w:pPr>
        <w:rPr>
          <w:sz w:val="22"/>
          <w:szCs w:val="22"/>
        </w:rPr>
      </w:pPr>
      <w:r w:rsidRPr="000C04E1">
        <w:rPr>
          <w:rFonts w:ascii="Georgia" w:hAnsi="Georgia"/>
          <w:sz w:val="22"/>
          <w:szCs w:val="22"/>
        </w:rPr>
        <w:t xml:space="preserve">The bill creates s. 456.4501, F.S., as Florida’s telehealth statute. Telehealth is defined as the practice of a Florida-licensed provider in which patient care, treatment, or services are provided through the use of medical information exchanged between one physical location and another through electronic communications. A telehealth provider is limited to a Florida provider licensed under either </w:t>
      </w:r>
      <w:proofErr w:type="spellStart"/>
      <w:r w:rsidRPr="000C04E1">
        <w:rPr>
          <w:rFonts w:ascii="Georgia" w:hAnsi="Georgia"/>
          <w:sz w:val="22"/>
          <w:szCs w:val="22"/>
        </w:rPr>
        <w:t>ch.</w:t>
      </w:r>
      <w:proofErr w:type="spellEnd"/>
      <w:r w:rsidRPr="000C04E1">
        <w:rPr>
          <w:rFonts w:ascii="Georgia" w:hAnsi="Georgia"/>
          <w:sz w:val="22"/>
          <w:szCs w:val="22"/>
        </w:rPr>
        <w:t xml:space="preserve"> 458 or </w:t>
      </w:r>
      <w:proofErr w:type="spellStart"/>
      <w:r w:rsidRPr="000C04E1">
        <w:rPr>
          <w:rFonts w:ascii="Georgia" w:hAnsi="Georgia"/>
          <w:sz w:val="22"/>
          <w:szCs w:val="22"/>
        </w:rPr>
        <w:t>ch.</w:t>
      </w:r>
      <w:proofErr w:type="spellEnd"/>
      <w:r w:rsidRPr="000C04E1">
        <w:rPr>
          <w:rFonts w:ascii="Georgia" w:hAnsi="Georgia"/>
          <w:sz w:val="22"/>
          <w:szCs w:val="22"/>
        </w:rPr>
        <w:t xml:space="preserve"> 459, F.S., including those providers who become licensed through the Interstate Medical Licensure Compact.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A telehealth standard of practice is established as the same standard applied to in-person care under current law. Controlled substances may not be prescribed via telehealth except in limited </w:t>
      </w:r>
      <w:r w:rsidRPr="000C04E1">
        <w:rPr>
          <w:rFonts w:ascii="Georgia" w:hAnsi="Georgia"/>
          <w:sz w:val="22"/>
          <w:szCs w:val="22"/>
        </w:rPr>
        <w:lastRenderedPageBreak/>
        <w:t xml:space="preserve">circumstances as provided in the bill. Physicians are responsible for the quality and safety of the equipment that is used for telehealth.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A telehealth provider must document a telehealth encounter in the patient’s medical records according to the same standards used for in-person services, and such information must be kept confidential. These provisions do not prohibit telehealth providers from holding consultations between practitioners if acting within the scope of their practice.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An exemption is provided for emergency medical services provided by emergency physicians, emergency medical technicians, paramedics, or emergency dispatchers. The exemption also applies to a health care provider caring for a patient in consultation with another provider or in an on-call or cross coverage situation where the provider has access to the patient’s medical records.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The Department of Health (DOH) or the applicable boards are authorized to adopt any necessary rules. </w:t>
      </w:r>
    </w:p>
    <w:p w:rsidR="000C04E1" w:rsidRPr="000C04E1" w:rsidRDefault="000C04E1" w:rsidP="000C04E1">
      <w:pPr>
        <w:rPr>
          <w:sz w:val="22"/>
          <w:szCs w:val="22"/>
        </w:rPr>
      </w:pPr>
      <w:r w:rsidRPr="000C04E1">
        <w:rPr>
          <w:rFonts w:ascii="Georgia" w:hAnsi="Georgia"/>
          <w:sz w:val="22"/>
          <w:szCs w:val="22"/>
        </w:rPr>
        <w:t> </w:t>
      </w:r>
    </w:p>
    <w:p w:rsidR="000C04E1" w:rsidRDefault="000C04E1" w:rsidP="000C04E1">
      <w:pPr>
        <w:rPr>
          <w:rFonts w:ascii="Georgia" w:hAnsi="Georgia"/>
          <w:sz w:val="22"/>
          <w:szCs w:val="22"/>
        </w:rPr>
      </w:pPr>
      <w:r w:rsidRPr="000C04E1">
        <w:rPr>
          <w:rFonts w:ascii="Georgia" w:hAnsi="Georgia"/>
          <w:sz w:val="22"/>
          <w:szCs w:val="22"/>
        </w:rPr>
        <w:t> </w:t>
      </w:r>
    </w:p>
    <w:p w:rsidR="000C04E1" w:rsidRPr="000C04E1" w:rsidRDefault="000C04E1" w:rsidP="000C04E1">
      <w:pPr>
        <w:rPr>
          <w:sz w:val="22"/>
          <w:szCs w:val="22"/>
        </w:rPr>
      </w:pPr>
    </w:p>
    <w:p w:rsidR="000C04E1" w:rsidRPr="000C04E1" w:rsidRDefault="000C04E1" w:rsidP="000C04E1">
      <w:pPr>
        <w:rPr>
          <w:sz w:val="22"/>
          <w:szCs w:val="22"/>
        </w:rPr>
      </w:pPr>
      <w:r w:rsidRPr="000C04E1">
        <w:rPr>
          <w:rFonts w:ascii="Georgia" w:hAnsi="Georgia"/>
          <w:b/>
          <w:bCs/>
          <w:sz w:val="22"/>
          <w:szCs w:val="22"/>
          <w:u w:val="single"/>
        </w:rPr>
        <w:t>Drug Importation</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u w:val="single"/>
        </w:rPr>
        <w:t>The House Appropriations Committee passed CS/HB 19, relating to the Canadian Prescription Drug Importation Program - 8 Yeas, 2 Nays.</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CS/SB 1528 creates the Canadian Prescription Drug Importation Program (Program). The Agency for Health Care Administration (AHCA) is directed to establish the Program for the safe and effective importation of prescription drugs from Canada which will have the highest potential cost savings to the state.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The AHCA must contract with a vendor by December 1, 2019, to administer the Program, and develop a plan for federal approval of the Program to be submitted by July 1, 2020, to the federal Department of Health and Human Services. Once federal approval is granted, the AHCA must return to the Legislature and receive final approval before implementation. As part of that final approval process, the bill requires that the estimated cost savings to the state and the Program’s success in meeting the required safety standards must be considered.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The bill contains numerous requirements for the vendor and for Program participants, designed to ensure the Program is safe and effective and results in cost-savings. The vendor, any participating supplier, and any participating importer must post two surety bonds of at least</w:t>
      </w:r>
      <w:r w:rsidRPr="000C04E1">
        <w:rPr>
          <w:rFonts w:ascii="Georgia" w:hAnsi="Georgia"/>
          <w:sz w:val="22"/>
          <w:szCs w:val="22"/>
        </w:rPr>
        <w:br/>
        <w:t xml:space="preserve">$1 million each; one bond is for administrative and performance-related actions and the other is to ensure participation in and payment of any civil and criminal causes of action.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An annual report is due every December 1st to the Governor, the President of the Senate, and the Speaker of the House of Representatives, and must include specified components. The AHCA may adopt rules to implement the Program. </w:t>
      </w:r>
    </w:p>
    <w:p w:rsidR="000C04E1" w:rsidRDefault="000C04E1" w:rsidP="000C04E1">
      <w:pPr>
        <w:rPr>
          <w:rFonts w:ascii="Georgia" w:hAnsi="Georgia"/>
          <w:sz w:val="22"/>
          <w:szCs w:val="22"/>
        </w:rPr>
      </w:pPr>
      <w:r w:rsidRPr="000C04E1">
        <w:rPr>
          <w:rFonts w:ascii="Georgia" w:hAnsi="Georgia"/>
          <w:sz w:val="22"/>
          <w:szCs w:val="22"/>
        </w:rPr>
        <w:t> </w:t>
      </w:r>
    </w:p>
    <w:p w:rsidR="000C04E1" w:rsidRDefault="000C04E1" w:rsidP="000C04E1">
      <w:pPr>
        <w:rPr>
          <w:rFonts w:ascii="Georgia" w:hAnsi="Georgia"/>
          <w:sz w:val="22"/>
          <w:szCs w:val="22"/>
        </w:rPr>
      </w:pPr>
    </w:p>
    <w:p w:rsidR="000C04E1" w:rsidRDefault="000C04E1" w:rsidP="000C04E1">
      <w:pPr>
        <w:rPr>
          <w:rFonts w:ascii="Georgia" w:hAnsi="Georgia"/>
          <w:sz w:val="22"/>
          <w:szCs w:val="22"/>
        </w:rPr>
      </w:pPr>
    </w:p>
    <w:p w:rsidR="000C04E1" w:rsidRDefault="000C04E1" w:rsidP="000C04E1">
      <w:pPr>
        <w:rPr>
          <w:rFonts w:ascii="Georgia" w:hAnsi="Georgia"/>
          <w:sz w:val="22"/>
          <w:szCs w:val="22"/>
        </w:rPr>
      </w:pPr>
    </w:p>
    <w:p w:rsidR="000C04E1" w:rsidRPr="000C04E1" w:rsidRDefault="000C04E1" w:rsidP="000C04E1">
      <w:pPr>
        <w:rPr>
          <w:sz w:val="22"/>
          <w:szCs w:val="22"/>
        </w:rPr>
      </w:pPr>
    </w:p>
    <w:p w:rsidR="000C04E1" w:rsidRPr="000C04E1" w:rsidRDefault="000C04E1" w:rsidP="000C04E1">
      <w:pPr>
        <w:rPr>
          <w:sz w:val="22"/>
          <w:szCs w:val="22"/>
        </w:rPr>
      </w:pPr>
      <w:r w:rsidRPr="000C04E1">
        <w:rPr>
          <w:rFonts w:ascii="Georgia" w:hAnsi="Georgia"/>
          <w:b/>
          <w:bCs/>
          <w:sz w:val="22"/>
          <w:szCs w:val="22"/>
          <w:u w:val="single"/>
        </w:rPr>
        <w:lastRenderedPageBreak/>
        <w:t>Facility:</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color w:val="000000"/>
          <w:sz w:val="22"/>
          <w:szCs w:val="22"/>
          <w:u w:val="single"/>
        </w:rPr>
        <w:t xml:space="preserve">The House Health Care Appropriations </w:t>
      </w:r>
      <w:proofErr w:type="spellStart"/>
      <w:r w:rsidRPr="000C04E1">
        <w:rPr>
          <w:rFonts w:ascii="Georgia" w:hAnsi="Georgia"/>
          <w:color w:val="000000"/>
          <w:sz w:val="22"/>
          <w:szCs w:val="22"/>
          <w:u w:val="single"/>
        </w:rPr>
        <w:t>Subcommitteepassed</w:t>
      </w:r>
      <w:proofErr w:type="spellEnd"/>
      <w:r w:rsidRPr="000C04E1">
        <w:rPr>
          <w:rFonts w:ascii="Georgia" w:hAnsi="Georgia"/>
          <w:color w:val="000000"/>
          <w:sz w:val="22"/>
          <w:szCs w:val="22"/>
          <w:u w:val="single"/>
        </w:rPr>
        <w:t xml:space="preserve"> CS/HB25, relating to recovery care services -8 Yeas, 1 Nays.</w:t>
      </w:r>
    </w:p>
    <w:p w:rsidR="000C04E1" w:rsidRPr="000C04E1" w:rsidRDefault="000C04E1" w:rsidP="000C04E1">
      <w:pPr>
        <w:rPr>
          <w:sz w:val="22"/>
          <w:szCs w:val="22"/>
        </w:rPr>
      </w:pPr>
      <w:r w:rsidRPr="000C04E1">
        <w:rPr>
          <w:rFonts w:ascii="Georgia"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rPr>
        <w:t>The bill creates a new licensure category for a Recovery Care Center (RCC), defined as a facility the primary purpose of which is to provide recovery care services, to which a patient is admitted and discharged within 72 hours, and which is not part of a hospital. The bill defines recovery care services as:</w:t>
      </w:r>
      <w:r w:rsidRPr="000C04E1">
        <w:rPr>
          <w:rStyle w:val="apple-converted-space"/>
          <w:rFonts w:ascii="Georgia" w:hAnsi="Georgia"/>
          <w:color w:val="000000"/>
          <w:sz w:val="22"/>
          <w:szCs w:val="22"/>
        </w:rPr>
        <w:t> </w:t>
      </w:r>
    </w:p>
    <w:p w:rsidR="000C04E1" w:rsidRPr="000C04E1" w:rsidRDefault="000C04E1" w:rsidP="000C04E1">
      <w:pPr>
        <w:numPr>
          <w:ilvl w:val="0"/>
          <w:numId w:val="3"/>
        </w:numPr>
        <w:spacing w:before="100" w:beforeAutospacing="1" w:after="100" w:afterAutospacing="1"/>
        <w:rPr>
          <w:rFonts w:eastAsia="Times New Roman"/>
          <w:color w:val="000000"/>
          <w:sz w:val="22"/>
          <w:szCs w:val="22"/>
        </w:rPr>
      </w:pPr>
      <w:r w:rsidRPr="000C04E1">
        <w:rPr>
          <w:rFonts w:ascii="Georgia" w:eastAsia="Times New Roman" w:hAnsi="Georgia"/>
          <w:color w:val="000000"/>
          <w:sz w:val="22"/>
          <w:szCs w:val="22"/>
        </w:rPr>
        <w:t>Postsurgical and post-diagnostic medical and general nursing care to patients for whom acute hospitalization is not required and an uncomplicated recovery is reasonably expected; and</w:t>
      </w:r>
      <w:r w:rsidRPr="000C04E1">
        <w:rPr>
          <w:rStyle w:val="apple-converted-space"/>
          <w:rFonts w:ascii="Georgia" w:eastAsia="Times New Roman" w:hAnsi="Georgia"/>
          <w:color w:val="000000"/>
          <w:sz w:val="22"/>
          <w:szCs w:val="22"/>
        </w:rPr>
        <w:t> </w:t>
      </w:r>
    </w:p>
    <w:p w:rsidR="000C04E1" w:rsidRPr="000C04E1" w:rsidRDefault="000C04E1" w:rsidP="000C04E1">
      <w:pPr>
        <w:numPr>
          <w:ilvl w:val="0"/>
          <w:numId w:val="3"/>
        </w:numPr>
        <w:spacing w:before="100" w:beforeAutospacing="1" w:after="100" w:afterAutospacing="1"/>
        <w:rPr>
          <w:rFonts w:eastAsia="Times New Roman"/>
          <w:color w:val="000000"/>
          <w:sz w:val="22"/>
          <w:szCs w:val="22"/>
        </w:rPr>
      </w:pPr>
      <w:r w:rsidRPr="000C04E1">
        <w:rPr>
          <w:rFonts w:ascii="Georgia" w:eastAsia="Times New Roman" w:hAnsi="Georgia"/>
          <w:color w:val="000000"/>
          <w:sz w:val="22"/>
          <w:szCs w:val="22"/>
        </w:rPr>
        <w:t>Postsurgical rehabilitation services.</w:t>
      </w:r>
      <w:r w:rsidRPr="000C04E1">
        <w:rPr>
          <w:rStyle w:val="apple-converted-space"/>
          <w:rFonts w:ascii="Georgia" w:eastAsia="Times New Roman"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rPr>
        <w:t>Recovery care services do not include intensive care services, coronary care services, or critical care services.</w:t>
      </w:r>
      <w:r w:rsidRPr="000C04E1">
        <w:rPr>
          <w:rStyle w:val="apple-converted-space"/>
          <w:rFonts w:ascii="Georgia"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rPr>
        <w:t>The bill requires all patients to be certified as medically stable and not in need of acute hospitalization by their attending or referring physician prior to admission to a RCC. A patient may receive recovery care services in a RCC upon:</w:t>
      </w:r>
      <w:r w:rsidRPr="000C04E1">
        <w:rPr>
          <w:rStyle w:val="apple-converted-space"/>
          <w:rFonts w:ascii="Georgia" w:hAnsi="Georgia"/>
          <w:color w:val="000000"/>
          <w:sz w:val="22"/>
          <w:szCs w:val="22"/>
        </w:rPr>
        <w:t> </w:t>
      </w:r>
    </w:p>
    <w:p w:rsidR="000C04E1" w:rsidRPr="000C04E1" w:rsidRDefault="000C04E1" w:rsidP="000C04E1">
      <w:pPr>
        <w:numPr>
          <w:ilvl w:val="0"/>
          <w:numId w:val="4"/>
        </w:numPr>
        <w:spacing w:before="100" w:beforeAutospacing="1" w:after="100" w:afterAutospacing="1"/>
        <w:rPr>
          <w:rFonts w:eastAsia="Times New Roman"/>
          <w:color w:val="000000"/>
          <w:sz w:val="22"/>
          <w:szCs w:val="22"/>
        </w:rPr>
      </w:pPr>
      <w:r w:rsidRPr="000C04E1">
        <w:rPr>
          <w:rFonts w:ascii="Georgia" w:eastAsia="Times New Roman" w:hAnsi="Georgia"/>
          <w:color w:val="000000"/>
          <w:sz w:val="22"/>
          <w:szCs w:val="22"/>
        </w:rPr>
        <w:t>Discharge from an ASC after surgery;</w:t>
      </w:r>
      <w:r w:rsidRPr="000C04E1">
        <w:rPr>
          <w:rStyle w:val="apple-converted-space"/>
          <w:rFonts w:ascii="Georgia" w:eastAsia="Times New Roman" w:hAnsi="Georgia"/>
          <w:color w:val="000000"/>
          <w:sz w:val="22"/>
          <w:szCs w:val="22"/>
        </w:rPr>
        <w:t> </w:t>
      </w:r>
    </w:p>
    <w:p w:rsidR="000C04E1" w:rsidRPr="000C04E1" w:rsidRDefault="000C04E1" w:rsidP="000C04E1">
      <w:pPr>
        <w:numPr>
          <w:ilvl w:val="0"/>
          <w:numId w:val="4"/>
        </w:numPr>
        <w:spacing w:before="100" w:beforeAutospacing="1" w:after="100" w:afterAutospacing="1"/>
        <w:rPr>
          <w:rFonts w:eastAsia="Times New Roman"/>
          <w:color w:val="000000"/>
          <w:sz w:val="22"/>
          <w:szCs w:val="22"/>
        </w:rPr>
      </w:pPr>
      <w:r w:rsidRPr="000C04E1">
        <w:rPr>
          <w:rFonts w:ascii="Georgia" w:eastAsia="Times New Roman" w:hAnsi="Georgia"/>
          <w:color w:val="000000"/>
          <w:sz w:val="22"/>
          <w:szCs w:val="22"/>
        </w:rPr>
        <w:t>Discharge from a hospital after surgery or other treatment;</w:t>
      </w:r>
      <w:r w:rsidRPr="000C04E1">
        <w:rPr>
          <w:rStyle w:val="apple-converted-space"/>
          <w:rFonts w:ascii="Georgia" w:eastAsia="Times New Roman" w:hAnsi="Georgia"/>
          <w:color w:val="000000"/>
          <w:sz w:val="22"/>
          <w:szCs w:val="22"/>
        </w:rPr>
        <w:t> </w:t>
      </w:r>
    </w:p>
    <w:p w:rsidR="000C04E1" w:rsidRPr="000C04E1" w:rsidRDefault="000C04E1" w:rsidP="000C04E1">
      <w:pPr>
        <w:numPr>
          <w:ilvl w:val="0"/>
          <w:numId w:val="4"/>
        </w:numPr>
        <w:spacing w:before="100" w:beforeAutospacing="1" w:after="100" w:afterAutospacing="1"/>
        <w:rPr>
          <w:rFonts w:eastAsia="Times New Roman"/>
          <w:color w:val="000000"/>
          <w:sz w:val="22"/>
          <w:szCs w:val="22"/>
        </w:rPr>
      </w:pPr>
      <w:r w:rsidRPr="000C04E1">
        <w:rPr>
          <w:rFonts w:ascii="Georgia" w:eastAsia="Times New Roman" w:hAnsi="Georgia"/>
          <w:color w:val="000000"/>
          <w:sz w:val="22"/>
          <w:szCs w:val="22"/>
        </w:rPr>
        <w:t>or Receiving out-patient medical treatment such as chemotherapy.</w:t>
      </w:r>
      <w:r w:rsidRPr="000C04E1">
        <w:rPr>
          <w:rStyle w:val="apple-converted-space"/>
          <w:rFonts w:ascii="Georgia" w:eastAsia="Times New Roman" w:hAnsi="Georgia"/>
          <w:color w:val="000000"/>
          <w:sz w:val="22"/>
          <w:szCs w:val="22"/>
        </w:rPr>
        <w:t> </w:t>
      </w:r>
    </w:p>
    <w:p w:rsidR="000C04E1" w:rsidRPr="000C04E1" w:rsidRDefault="000C04E1" w:rsidP="000C04E1">
      <w:pPr>
        <w:rPr>
          <w:sz w:val="22"/>
          <w:szCs w:val="22"/>
        </w:rPr>
      </w:pPr>
      <w:r w:rsidRPr="000C04E1">
        <w:rPr>
          <w:rFonts w:ascii="Georgia" w:hAnsi="Georgia"/>
          <w:color w:val="000000"/>
          <w:sz w:val="22"/>
          <w:szCs w:val="22"/>
        </w:rPr>
        <w:t>The new RCC license is modeled after the current licensing procedures for hospitals and ASCs, subjecting RCCs to similar regulatory standards, inspections, and rules. RCCs must have emergency care and transfer protocols, including transportation arrangements, and a referral or admission agreement with at least one hospital.</w:t>
      </w:r>
      <w:r w:rsidRPr="000C04E1">
        <w:rPr>
          <w:rStyle w:val="apple-converted-space"/>
          <w:rFonts w:ascii="Georgia" w:hAnsi="Georgia"/>
          <w:color w:val="000000"/>
          <w:sz w:val="22"/>
          <w:szCs w:val="22"/>
        </w:rPr>
        <w:t> </w:t>
      </w:r>
    </w:p>
    <w:p w:rsidR="000C04E1" w:rsidRPr="000C04E1" w:rsidRDefault="000C04E1" w:rsidP="000C04E1">
      <w:pPr>
        <w:rPr>
          <w:sz w:val="22"/>
          <w:szCs w:val="22"/>
        </w:rPr>
      </w:pPr>
      <w:r w:rsidRPr="000C04E1">
        <w:rPr>
          <w:rStyle w:val="apple-converted-space"/>
          <w:rFonts w:ascii="Georgia" w:hAnsi="Georgia"/>
          <w:color w:val="000000"/>
          <w:sz w:val="22"/>
          <w:szCs w:val="22"/>
        </w:rPr>
        <w:t> </w:t>
      </w:r>
    </w:p>
    <w:p w:rsidR="000C04E1" w:rsidRDefault="000C04E1" w:rsidP="000C04E1">
      <w:pPr>
        <w:rPr>
          <w:rStyle w:val="apple-converted-space"/>
          <w:rFonts w:ascii="Georgia" w:hAnsi="Georgia"/>
          <w:color w:val="000000"/>
          <w:sz w:val="22"/>
          <w:szCs w:val="22"/>
        </w:rPr>
      </w:pPr>
      <w:r w:rsidRPr="000C04E1">
        <w:rPr>
          <w:rStyle w:val="apple-converted-space"/>
          <w:rFonts w:ascii="Georgia" w:hAnsi="Georgia"/>
          <w:color w:val="000000"/>
          <w:sz w:val="22"/>
          <w:szCs w:val="22"/>
        </w:rPr>
        <w:t>The bill also allows ASCs to provide advanced birth services such as planned low-risk cesarean deliveries, trial of labor after cesarean delivery for screened patients who qualify and vaginal deliveries for laboring patients from the beginning of the 37th week of gestation through the end of the 41st week of gestation if they meet certain quality standards.</w:t>
      </w:r>
    </w:p>
    <w:p w:rsidR="000C04E1" w:rsidRDefault="000C04E1">
      <w:pPr>
        <w:spacing w:after="160" w:line="259" w:lineRule="auto"/>
        <w:rPr>
          <w:rStyle w:val="apple-converted-space"/>
          <w:rFonts w:ascii="Georgia" w:hAnsi="Georgia"/>
          <w:color w:val="000000"/>
          <w:sz w:val="22"/>
          <w:szCs w:val="22"/>
        </w:rPr>
      </w:pPr>
      <w:r>
        <w:rPr>
          <w:rStyle w:val="apple-converted-space"/>
          <w:rFonts w:ascii="Georgia" w:hAnsi="Georgia"/>
          <w:color w:val="000000"/>
          <w:sz w:val="22"/>
          <w:szCs w:val="22"/>
        </w:rPr>
        <w:br w:type="page"/>
      </w:r>
    </w:p>
    <w:p w:rsidR="000C04E1" w:rsidRPr="000C04E1" w:rsidRDefault="000C04E1" w:rsidP="000C04E1">
      <w:pPr>
        <w:rPr>
          <w:sz w:val="22"/>
          <w:szCs w:val="22"/>
        </w:rPr>
      </w:pPr>
      <w:bookmarkStart w:id="0" w:name="_GoBack"/>
      <w:bookmarkEnd w:id="0"/>
      <w:r w:rsidRPr="000C04E1">
        <w:rPr>
          <w:rFonts w:ascii="Georgia" w:hAnsi="Georgia"/>
          <w:b/>
          <w:bCs/>
          <w:sz w:val="22"/>
          <w:szCs w:val="22"/>
          <w:u w:val="single"/>
        </w:rPr>
        <w:lastRenderedPageBreak/>
        <w:t>In the News:</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b/>
          <w:bCs/>
          <w:sz w:val="22"/>
          <w:szCs w:val="22"/>
        </w:rPr>
        <w:t>Senators Support Raising Minimum Smoking Age</w:t>
      </w:r>
    </w:p>
    <w:p w:rsidR="000C04E1" w:rsidRPr="000C04E1" w:rsidRDefault="000C04E1" w:rsidP="000C04E1">
      <w:pPr>
        <w:rPr>
          <w:sz w:val="22"/>
          <w:szCs w:val="22"/>
        </w:rPr>
      </w:pPr>
      <w:r w:rsidRPr="000C04E1">
        <w:rPr>
          <w:rFonts w:ascii="Georgia" w:hAnsi="Georgia"/>
          <w:b/>
          <w:bCs/>
          <w:sz w:val="22"/>
          <w:szCs w:val="22"/>
        </w:rPr>
        <w:t>By NEWS SERVICE OF FLORIDA • MAR 26, 2019</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A Senate committee on Monday approved a bill that would increase the minimum smoking age in the state from 18 to 21.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The proposal (SB 1618), filed by Sen. David Simmons, R-Altamonte Springs, would increase the minimum age to legally possess tobacco products and would include electronic smoking devices in the definition of tobacco.</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The inclusion of electronic smoking devices caused some members of the public to trek to Tallahassee to publicly oppose the bill.</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While smoking rates have declined in the United States, e-cigarette use has dramatically increased since 2014. U.S. Food and Drug Administration Commissioner Scott Gottlieb has called youth use of e-cigarettes an epidemic and indicated that youth e-cigarette use is up 77 percent from last year.</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Alachua County commissioners in January unanimously agreed to raise the tobacco-buying age in the county to 21. Seven states have increased the smoking age: California, New Jersey, Oregon, Hawaii, Maine and Massachusetts, and, effective July 1, Virginia.</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Florida lawmakers have considered raising the smoking age in the past, but the idea has not been approved. It was backed Monday by the Senate Health Policy Committee but could face trouble in the coming weeks.</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Senate Health and Human Services Appropriations Chairman Aaron Bean, R-Fernandina Beach, said he despises smoking and the effects of second-home smoke. But Bean said he opposed the bill because “we have to let kids and adults make their own decisions.” A House version (HB 1041) has not been heard in committees.</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b/>
          <w:bCs/>
          <w:sz w:val="22"/>
          <w:szCs w:val="22"/>
        </w:rPr>
        <w:t>DeSantis, State Leaders Put Focus On Mental Health</w:t>
      </w:r>
    </w:p>
    <w:p w:rsidR="000C04E1" w:rsidRPr="000C04E1" w:rsidRDefault="000C04E1" w:rsidP="000C04E1">
      <w:pPr>
        <w:rPr>
          <w:sz w:val="22"/>
          <w:szCs w:val="22"/>
        </w:rPr>
      </w:pPr>
      <w:r w:rsidRPr="000C04E1">
        <w:rPr>
          <w:rFonts w:ascii="Georgia" w:hAnsi="Georgia"/>
          <w:b/>
          <w:bCs/>
          <w:sz w:val="22"/>
          <w:szCs w:val="22"/>
        </w:rPr>
        <w:t>NEWS SERVICE OF FLORIDA • MAR 29, 2019</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Coming after the grim news that two survivors of the Marjory </w:t>
      </w:r>
      <w:proofErr w:type="spellStart"/>
      <w:r w:rsidRPr="000C04E1">
        <w:rPr>
          <w:rFonts w:ascii="Georgia" w:hAnsi="Georgia"/>
          <w:sz w:val="22"/>
          <w:szCs w:val="22"/>
        </w:rPr>
        <w:t>Stoneman</w:t>
      </w:r>
      <w:proofErr w:type="spellEnd"/>
      <w:r w:rsidRPr="000C04E1">
        <w:rPr>
          <w:rFonts w:ascii="Georgia" w:hAnsi="Georgia"/>
          <w:sz w:val="22"/>
          <w:szCs w:val="22"/>
        </w:rPr>
        <w:t xml:space="preserve"> Douglas High School massacre committed suicide this month, Gov. Ron DeSantis and First Lady Casey DeSantis held an hour-long “listening” session Thursday on mental-health issues.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Several agency heads and lawmakers acknowledged ongoing problems with mental health and suicide. They cited statistics about national life expectancy dropping due to suicides and opioid use and how mental health is a bigger problem than may be widely understood.</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DeSantis urged state agencies to work together to tackle the problem.</w:t>
      </w:r>
    </w:p>
    <w:p w:rsidR="000C04E1" w:rsidRPr="000C04E1" w:rsidRDefault="000C04E1" w:rsidP="000C04E1">
      <w:pPr>
        <w:rPr>
          <w:sz w:val="22"/>
          <w:szCs w:val="22"/>
        </w:rPr>
      </w:pPr>
      <w:r w:rsidRPr="000C04E1">
        <w:rPr>
          <w:rFonts w:ascii="Georgia" w:hAnsi="Georgia"/>
          <w:sz w:val="22"/>
          <w:szCs w:val="22"/>
        </w:rPr>
        <w:t>“I’d like to say this is just like a little blip that would go away,” DeSantis said. “It’s not going to go away.”</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At the close of the session, DeSantis said the state does not need to expand Medicaid to ensure that additional Floridians have access to health care. DeSantis has been a staunch opponent of Medicaid expansion and the broader federal Affordable Care Act.</w:t>
      </w:r>
    </w:p>
    <w:p w:rsidR="000C04E1" w:rsidRPr="000C04E1" w:rsidRDefault="000C04E1" w:rsidP="000C04E1">
      <w:pPr>
        <w:rPr>
          <w:sz w:val="22"/>
          <w:szCs w:val="22"/>
        </w:rPr>
      </w:pPr>
      <w:r w:rsidRPr="000C04E1">
        <w:rPr>
          <w:rFonts w:ascii="Georgia" w:hAnsi="Georgia"/>
          <w:sz w:val="22"/>
          <w:szCs w:val="22"/>
        </w:rPr>
        <w:lastRenderedPageBreak/>
        <w:t> </w:t>
      </w:r>
    </w:p>
    <w:p w:rsidR="000C04E1" w:rsidRPr="000C04E1" w:rsidRDefault="000C04E1" w:rsidP="000C04E1">
      <w:pPr>
        <w:rPr>
          <w:sz w:val="22"/>
          <w:szCs w:val="22"/>
        </w:rPr>
      </w:pPr>
      <w:r w:rsidRPr="000C04E1">
        <w:rPr>
          <w:rFonts w:ascii="Georgia" w:hAnsi="Georgia"/>
          <w:sz w:val="22"/>
          <w:szCs w:val="22"/>
        </w:rPr>
        <w:t>He said Florida has increased funding for mental-health services, but the “challenge” is to make sure it is delivered effectively. Mental health funding and how much should be spent on mental-health services in schools is an issue that the House and Senate must negotiate as they work on a budget for the coming year.</w:t>
      </w:r>
    </w:p>
    <w:p w:rsidR="000C04E1" w:rsidRPr="000C04E1" w:rsidRDefault="000C04E1" w:rsidP="000C04E1">
      <w:pPr>
        <w:rPr>
          <w:sz w:val="22"/>
          <w:szCs w:val="22"/>
        </w:rPr>
      </w:pPr>
      <w:r w:rsidRPr="000C04E1">
        <w:rPr>
          <w:rFonts w:ascii="Georgia" w:hAnsi="Georgia"/>
          <w:sz w:val="22"/>
          <w:szCs w:val="22"/>
        </w:rPr>
        <w:t>The Senate has proposed setting aside $100 million for schools to offer mental-health services, $30 million more than what the House has recommended.</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Calvin Desir, 16, a student at Marjory </w:t>
      </w:r>
      <w:proofErr w:type="spellStart"/>
      <w:r w:rsidRPr="000C04E1">
        <w:rPr>
          <w:rFonts w:ascii="Georgia" w:hAnsi="Georgia"/>
          <w:sz w:val="22"/>
          <w:szCs w:val="22"/>
        </w:rPr>
        <w:t>Stoneman</w:t>
      </w:r>
      <w:proofErr w:type="spellEnd"/>
      <w:r w:rsidRPr="000C04E1">
        <w:rPr>
          <w:rFonts w:ascii="Georgia" w:hAnsi="Georgia"/>
          <w:sz w:val="22"/>
          <w:szCs w:val="22"/>
        </w:rPr>
        <w:t xml:space="preserve"> Douglas High School in Parkland reportedly committed suicide Saturday. That followed the suicide of Sydney Aiello, who graduated from the school last year and whose best friend was killed during the February 2018 mass shooting that killed 17 people.</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Education Commissioner Richard Corcoran said his office has sent letters to the presidents of state colleges and universities where Marjory </w:t>
      </w:r>
      <w:proofErr w:type="spellStart"/>
      <w:r w:rsidRPr="000C04E1">
        <w:rPr>
          <w:rFonts w:ascii="Georgia" w:hAnsi="Georgia"/>
          <w:sz w:val="22"/>
          <w:szCs w:val="22"/>
        </w:rPr>
        <w:t>Stoneman</w:t>
      </w:r>
      <w:proofErr w:type="spellEnd"/>
      <w:r w:rsidRPr="000C04E1">
        <w:rPr>
          <w:rFonts w:ascii="Georgia" w:hAnsi="Georgia"/>
          <w:sz w:val="22"/>
          <w:szCs w:val="22"/>
        </w:rPr>
        <w:t xml:space="preserve"> Douglas graduates are enrolled. “We’ve asked them to reach out on a weekly basis to communicate with the families and the parents and make sure we can get them all the assistance necessary, so hopefully we don’t have to live through those announcements ever again,” Corcoran said.</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b/>
          <w:bCs/>
          <w:sz w:val="22"/>
          <w:szCs w:val="22"/>
        </w:rPr>
        <w:t xml:space="preserve">Bill </w:t>
      </w:r>
      <w:proofErr w:type="gramStart"/>
      <w:r w:rsidRPr="000C04E1">
        <w:rPr>
          <w:rFonts w:ascii="Georgia" w:hAnsi="Georgia"/>
          <w:b/>
          <w:bCs/>
          <w:sz w:val="22"/>
          <w:szCs w:val="22"/>
        </w:rPr>
        <w:t>To</w:t>
      </w:r>
      <w:proofErr w:type="gramEnd"/>
      <w:r w:rsidRPr="000C04E1">
        <w:rPr>
          <w:rFonts w:ascii="Georgia" w:hAnsi="Georgia"/>
          <w:b/>
          <w:bCs/>
          <w:sz w:val="22"/>
          <w:szCs w:val="22"/>
        </w:rPr>
        <w:t xml:space="preserve"> Include K-12, College Students In DOH Vaccination Registry Cruising Through House, Senate</w:t>
      </w:r>
    </w:p>
    <w:p w:rsidR="000C04E1" w:rsidRPr="000C04E1" w:rsidRDefault="000C04E1" w:rsidP="000C04E1">
      <w:pPr>
        <w:rPr>
          <w:sz w:val="22"/>
          <w:szCs w:val="22"/>
        </w:rPr>
      </w:pPr>
      <w:r w:rsidRPr="000C04E1">
        <w:rPr>
          <w:rFonts w:ascii="Georgia" w:hAnsi="Georgia"/>
          <w:b/>
          <w:bCs/>
          <w:sz w:val="22"/>
          <w:szCs w:val="22"/>
        </w:rPr>
        <w:t xml:space="preserve">By RYAN DAILEY •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A measure moving through Florida’s House and Senate looks to add student immunization records to the Department of Health’s existing database. Amendments to the bill would let parents opt out of being listed on the registry, but critics are still skeptical on whether their privacy is protected.</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Under the bill, certain school staff would have access to the Department of Health’s vaccination database. The House bill’s sponsor, Republican Rep. Ralph </w:t>
      </w:r>
      <w:proofErr w:type="spellStart"/>
      <w:r w:rsidRPr="000C04E1">
        <w:rPr>
          <w:rFonts w:ascii="Georgia" w:hAnsi="Georgia"/>
          <w:sz w:val="22"/>
          <w:szCs w:val="22"/>
        </w:rPr>
        <w:t>Massullo</w:t>
      </w:r>
      <w:proofErr w:type="spellEnd"/>
      <w:r w:rsidRPr="000C04E1">
        <w:rPr>
          <w:rFonts w:ascii="Georgia" w:hAnsi="Georgia"/>
          <w:sz w:val="22"/>
          <w:szCs w:val="22"/>
        </w:rPr>
        <w:t>, says that’s in the interest of verifying students are compliant with state vaccination requirements.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“House Bill 213, immunization registry, requires all personnel who administer vaccines to K-12,” </w:t>
      </w:r>
      <w:proofErr w:type="spellStart"/>
      <w:r w:rsidRPr="000C04E1">
        <w:rPr>
          <w:rFonts w:ascii="Georgia" w:hAnsi="Georgia"/>
          <w:sz w:val="22"/>
          <w:szCs w:val="22"/>
        </w:rPr>
        <w:t>Massullo</w:t>
      </w:r>
      <w:proofErr w:type="spellEnd"/>
      <w:r w:rsidRPr="000C04E1">
        <w:rPr>
          <w:rFonts w:ascii="Georgia" w:hAnsi="Georgia"/>
          <w:sz w:val="22"/>
          <w:szCs w:val="22"/>
        </w:rPr>
        <w:t xml:space="preserve"> said. “College or university students to enter the information into the existing and secure, HIPA-compliant registry run by the Department of Health, currently called Florida Shots.”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The way the bill was originally written, if parents opted out the registry their election to do so would be noted in the database. An amendment adopted in both versions of the measure changes that. Even if parents do get their child vaccinated, they can opt out as well. And, as Representative Cary </w:t>
      </w:r>
      <w:proofErr w:type="spellStart"/>
      <w:r w:rsidRPr="000C04E1">
        <w:rPr>
          <w:rFonts w:ascii="Georgia" w:hAnsi="Georgia"/>
          <w:sz w:val="22"/>
          <w:szCs w:val="22"/>
        </w:rPr>
        <w:t>Pigman</w:t>
      </w:r>
      <w:proofErr w:type="spellEnd"/>
      <w:r w:rsidRPr="000C04E1">
        <w:rPr>
          <w:rFonts w:ascii="Georgia" w:hAnsi="Georgia"/>
          <w:sz w:val="22"/>
          <w:szCs w:val="22"/>
        </w:rPr>
        <w:t xml:space="preserve"> explains, schools must still keep record of student shots. </w:t>
      </w:r>
    </w:p>
    <w:p w:rsidR="000C04E1" w:rsidRPr="000C04E1" w:rsidRDefault="000C04E1" w:rsidP="000C04E1">
      <w:pPr>
        <w:rPr>
          <w:sz w:val="22"/>
          <w:szCs w:val="22"/>
        </w:rPr>
      </w:pPr>
      <w:r w:rsidRPr="000C04E1">
        <w:rPr>
          <w:rFonts w:ascii="Georgia" w:hAnsi="Georgia"/>
          <w:sz w:val="22"/>
          <w:szCs w:val="22"/>
        </w:rPr>
        <w:t xml:space="preserve">“The school would have a paper copy of your status, whether you’ve deferred and chose not to participate in the database, or whether your child received immunization, but you don’t want to have it reported on the database,” </w:t>
      </w:r>
      <w:proofErr w:type="spellStart"/>
      <w:r w:rsidRPr="000C04E1">
        <w:rPr>
          <w:rFonts w:ascii="Georgia" w:hAnsi="Georgia"/>
          <w:sz w:val="22"/>
          <w:szCs w:val="22"/>
        </w:rPr>
        <w:t>Pigman</w:t>
      </w:r>
      <w:proofErr w:type="spellEnd"/>
      <w:r w:rsidRPr="000C04E1">
        <w:rPr>
          <w:rFonts w:ascii="Georgia" w:hAnsi="Georgia"/>
          <w:sz w:val="22"/>
          <w:szCs w:val="22"/>
        </w:rPr>
        <w:t xml:space="preserve"> said. “So, the school is required to have documentation.”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proofErr w:type="spellStart"/>
      <w:r w:rsidRPr="000C04E1">
        <w:rPr>
          <w:rFonts w:ascii="Georgia" w:hAnsi="Georgia"/>
          <w:sz w:val="22"/>
          <w:szCs w:val="22"/>
        </w:rPr>
        <w:t>Massullo</w:t>
      </w:r>
      <w:proofErr w:type="spellEnd"/>
      <w:r w:rsidRPr="000C04E1">
        <w:rPr>
          <w:rFonts w:ascii="Georgia" w:hAnsi="Georgia"/>
          <w:sz w:val="22"/>
          <w:szCs w:val="22"/>
        </w:rPr>
        <w:t>, who is a practicing physician, says it’s not just about keeping detailed records. The registry would pinpoint who should be quarantined should an outbreak occur.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lastRenderedPageBreak/>
        <w:t xml:space="preserve">“It is actually two things – it’s a convenience and efficiency bill. But it’s also a mechanism by which, if there is an outbreak of any communicable or contagious disease in our state, we would be able to ascertain quickly – to a large extent, hopefully there wouldn’t be many people opting out – who would need to be quarantined,” </w:t>
      </w:r>
      <w:proofErr w:type="spellStart"/>
      <w:r w:rsidRPr="000C04E1">
        <w:rPr>
          <w:rFonts w:ascii="Georgia" w:hAnsi="Georgia"/>
          <w:sz w:val="22"/>
          <w:szCs w:val="22"/>
        </w:rPr>
        <w:t>Massullo</w:t>
      </w:r>
      <w:proofErr w:type="spellEnd"/>
      <w:r w:rsidRPr="000C04E1">
        <w:rPr>
          <w:rFonts w:ascii="Georgia" w:hAnsi="Georgia"/>
          <w:sz w:val="22"/>
          <w:szCs w:val="22"/>
        </w:rPr>
        <w:t xml:space="preserve"> said.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Mackenzie Frazer is co-founder of Health Freedom Florida, a group that advocates for vaccine choice. She was at the House’s Health and Human Services Committee meeting Thursday to speak out against the bill. </w:t>
      </w:r>
    </w:p>
    <w:p w:rsidR="000C04E1" w:rsidRPr="000C04E1" w:rsidRDefault="000C04E1" w:rsidP="000C04E1">
      <w:pPr>
        <w:rPr>
          <w:sz w:val="22"/>
          <w:szCs w:val="22"/>
        </w:rPr>
      </w:pPr>
      <w:r w:rsidRPr="000C04E1">
        <w:rPr>
          <w:rFonts w:ascii="Georgia" w:hAnsi="Georgia"/>
          <w:sz w:val="22"/>
          <w:szCs w:val="22"/>
        </w:rPr>
        <w:t>“This forced inclusion and data retention in the current system is unconstitutional. And this bill expands the registry’s intrusive reach even further,” Frazer said.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Frazer adds in her opinion, there is only one solution to giving parents an option concerning inclusion in the database.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 xml:space="preserve">“The only way to actually solve this problem, is to start asking for permission. An opt in system with full informed consent,” Frazer said. “One simple line on all healthcare forms: Would you like your child’s medical records in the Florida Shots database? </w:t>
      </w:r>
      <w:proofErr w:type="gramStart"/>
      <w:r w:rsidRPr="000C04E1">
        <w:rPr>
          <w:rFonts w:ascii="Georgia" w:hAnsi="Georgia"/>
          <w:sz w:val="22"/>
          <w:szCs w:val="22"/>
        </w:rPr>
        <w:t>Yes</w:t>
      </w:r>
      <w:proofErr w:type="gramEnd"/>
      <w:r w:rsidRPr="000C04E1">
        <w:rPr>
          <w:rFonts w:ascii="Georgia" w:hAnsi="Georgia"/>
          <w:sz w:val="22"/>
          <w:szCs w:val="22"/>
        </w:rPr>
        <w:t xml:space="preserve"> or no?”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Tanya Warfield of New Smyrna Beach was one of those who spoke against the Senate’s version of the bill. She invoked the state constitution’s provisions regarding privacy.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“This goes against section 23 in the Florida Constitution, where ‘every natural person has the right to be left alone and free from government intrusion into the person’s private life except as otherwise provided herein,’” Warfield said.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Like Frazer, Warfield urged lawmakers to make the registry an opt in, rather than an opt out basis. Other critics call the registry a “tracing system” and raise questions about facing potential discrimination as a result.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Democratic Representative Nicholas Duran, however, says he doesn’t feel privacy is violated thanks largely to bill’s amendment. </w:t>
      </w:r>
    </w:p>
    <w:p w:rsidR="000C04E1" w:rsidRPr="000C04E1" w:rsidRDefault="000C04E1" w:rsidP="000C04E1">
      <w:pPr>
        <w:rPr>
          <w:sz w:val="22"/>
          <w:szCs w:val="22"/>
        </w:rPr>
      </w:pPr>
      <w:r w:rsidRPr="000C04E1">
        <w:rPr>
          <w:rFonts w:ascii="Georgia" w:hAnsi="Georgia"/>
          <w:sz w:val="22"/>
          <w:szCs w:val="22"/>
        </w:rPr>
        <w:t> </w:t>
      </w:r>
    </w:p>
    <w:p w:rsidR="000C04E1" w:rsidRPr="000C04E1" w:rsidRDefault="000C04E1" w:rsidP="000C04E1">
      <w:pPr>
        <w:rPr>
          <w:sz w:val="22"/>
          <w:szCs w:val="22"/>
        </w:rPr>
      </w:pPr>
      <w:r w:rsidRPr="000C04E1">
        <w:rPr>
          <w:rFonts w:ascii="Georgia" w:hAnsi="Georgia"/>
          <w:sz w:val="22"/>
          <w:szCs w:val="22"/>
        </w:rPr>
        <w:t>“I don’t see this as a patient privacy issue because of the work you have put into allowing the bill to respect those who do not want to be in this system, will remain out of the system,” Duran said. “This is a public health issue.” </w:t>
      </w:r>
    </w:p>
    <w:p w:rsidR="000C04E1" w:rsidRPr="000C04E1" w:rsidRDefault="000C04E1" w:rsidP="000C04E1">
      <w:pPr>
        <w:rPr>
          <w:sz w:val="22"/>
          <w:szCs w:val="22"/>
        </w:rPr>
      </w:pPr>
      <w:r w:rsidRPr="000C04E1">
        <w:rPr>
          <w:rFonts w:ascii="Georgia" w:hAnsi="Georgia"/>
          <w:sz w:val="22"/>
          <w:szCs w:val="22"/>
        </w:rPr>
        <w:t> </w:t>
      </w:r>
    </w:p>
    <w:p w:rsidR="00386FDB" w:rsidRPr="000C04E1" w:rsidRDefault="000C04E1" w:rsidP="000C04E1">
      <w:pPr>
        <w:rPr>
          <w:sz w:val="22"/>
          <w:szCs w:val="22"/>
        </w:rPr>
      </w:pPr>
      <w:r w:rsidRPr="000C04E1">
        <w:rPr>
          <w:rFonts w:ascii="Georgia" w:hAnsi="Georgia"/>
          <w:sz w:val="22"/>
          <w:szCs w:val="22"/>
        </w:rPr>
        <w:t>The bill’s House version cleared its final committee stop Thursday, and in the Senate is set for its final stop in the Rules Committee.</w:t>
      </w:r>
    </w:p>
    <w:sectPr w:rsidR="00386FDB" w:rsidRPr="000C04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B47CA5"/>
    <w:multiLevelType w:val="multilevel"/>
    <w:tmpl w:val="4B182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FA4E40"/>
    <w:multiLevelType w:val="multilevel"/>
    <w:tmpl w:val="45A40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9322067"/>
    <w:multiLevelType w:val="multilevel"/>
    <w:tmpl w:val="A1C44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0F5F8F"/>
    <w:multiLevelType w:val="multilevel"/>
    <w:tmpl w:val="92CE51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2"/>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4E1"/>
    <w:rsid w:val="000C04E1"/>
    <w:rsid w:val="00386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DEF92"/>
  <w15:chartTrackingRefBased/>
  <w15:docId w15:val="{982C7176-CC6C-4C04-89C6-DD713DCDF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4E1"/>
    <w:pPr>
      <w:spacing w:after="0" w:line="240" w:lineRule="auto"/>
    </w:pPr>
    <w:rPr>
      <w:rFonts w:ascii="Calibri" w:hAnsi="Calibri"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C0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15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2329</Words>
  <Characters>19265</Characters>
  <Application>Microsoft Office Word</Application>
  <DocSecurity>0</DocSecurity>
  <Lines>1605</Lines>
  <Paragraphs>1136</Paragraphs>
  <ScaleCrop>false</ScaleCrop>
  <Company/>
  <LinksUpToDate>false</LinksUpToDate>
  <CharactersWithSpaces>20458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League</dc:creator>
  <cp:keywords/>
  <dc:description/>
  <cp:lastModifiedBy>Samantha League</cp:lastModifiedBy>
  <cp:revision>1</cp:revision>
  <dcterms:created xsi:type="dcterms:W3CDTF">2019-04-02T17:24:00Z</dcterms:created>
  <dcterms:modified xsi:type="dcterms:W3CDTF">2019-04-02T17:25:00Z</dcterms:modified>
</cp:coreProperties>
</file>