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06" w:type="dxa"/>
        <w:tblInd w:w="-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5"/>
        <w:gridCol w:w="2431"/>
        <w:gridCol w:w="1529"/>
        <w:gridCol w:w="1711"/>
        <w:gridCol w:w="1440"/>
      </w:tblGrid>
      <w:tr w:rsidR="00B91F7D" w:rsidRPr="00B91F7D" w14:paraId="7C3225CC" w14:textId="77777777" w:rsidTr="00B91F7D">
        <w:trPr>
          <w:trHeight w:val="1149"/>
        </w:trPr>
        <w:tc>
          <w:tcPr>
            <w:tcW w:w="3595" w:type="dxa"/>
            <w:shd w:val="clear" w:color="auto" w:fill="E7E6E6"/>
          </w:tcPr>
          <w:p w14:paraId="18B587D9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27" w:lineRule="exact"/>
              <w:ind w:left="102" w:right="95"/>
              <w:jc w:val="center"/>
              <w:rPr>
                <w:rFonts w:ascii="Arial" w:eastAsia="Arial" w:hAnsi="Arial" w:cs="Arial"/>
                <w:b/>
                <w:sz w:val="20"/>
                <w:lang w:bidi="en-US"/>
              </w:rPr>
            </w:pPr>
            <w:bookmarkStart w:id="0" w:name="_GoBack"/>
            <w:bookmarkEnd w:id="0"/>
            <w:r w:rsidRPr="00B91F7D">
              <w:rPr>
                <w:rFonts w:ascii="Arial" w:eastAsia="Arial" w:hAnsi="Arial" w:cs="Arial"/>
                <w:b/>
                <w:sz w:val="20"/>
                <w:lang w:bidi="en-US"/>
              </w:rPr>
              <w:t>Column 1</w:t>
            </w:r>
          </w:p>
          <w:p w14:paraId="07294F9A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103" w:right="95"/>
              <w:jc w:val="center"/>
              <w:rPr>
                <w:rFonts w:ascii="Arial" w:eastAsia="Arial" w:hAnsi="Arial" w:cs="Arial"/>
                <w:b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b/>
                <w:sz w:val="20"/>
                <w:lang w:bidi="en-US"/>
              </w:rPr>
              <w:t>National Performance Measure and Program Objective</w:t>
            </w:r>
          </w:p>
        </w:tc>
        <w:tc>
          <w:tcPr>
            <w:tcW w:w="2431" w:type="dxa"/>
            <w:shd w:val="clear" w:color="auto" w:fill="E7E6E6"/>
          </w:tcPr>
          <w:p w14:paraId="56DF6A29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631" w:right="369" w:firstLine="127"/>
              <w:rPr>
                <w:rFonts w:ascii="Arial" w:eastAsia="Arial" w:hAnsi="Arial" w:cs="Arial"/>
                <w:b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b/>
                <w:sz w:val="20"/>
                <w:lang w:bidi="en-US"/>
              </w:rPr>
              <w:t>Column 2 Data Source</w:t>
            </w:r>
          </w:p>
        </w:tc>
        <w:tc>
          <w:tcPr>
            <w:tcW w:w="1529" w:type="dxa"/>
            <w:shd w:val="clear" w:color="auto" w:fill="E7E6E6"/>
          </w:tcPr>
          <w:p w14:paraId="53F88EF8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136" w:right="125" w:hanging="4"/>
              <w:jc w:val="center"/>
              <w:rPr>
                <w:rFonts w:ascii="Arial" w:eastAsia="Arial" w:hAnsi="Arial" w:cs="Arial"/>
                <w:b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b/>
                <w:sz w:val="20"/>
                <w:lang w:bidi="en-US"/>
              </w:rPr>
              <w:t>Column 3 Frequency of Data Collection</w:t>
            </w:r>
          </w:p>
        </w:tc>
        <w:tc>
          <w:tcPr>
            <w:tcW w:w="1711" w:type="dxa"/>
            <w:shd w:val="clear" w:color="auto" w:fill="E7E6E6"/>
          </w:tcPr>
          <w:p w14:paraId="0191A567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196" w:right="173" w:firstLine="201"/>
              <w:rPr>
                <w:rFonts w:ascii="Arial" w:eastAsia="Arial" w:hAnsi="Arial" w:cs="Arial"/>
                <w:b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b/>
                <w:sz w:val="20"/>
                <w:lang w:bidi="en-US"/>
              </w:rPr>
              <w:t>Column 4 Baseline Data</w:t>
            </w:r>
          </w:p>
        </w:tc>
        <w:tc>
          <w:tcPr>
            <w:tcW w:w="1440" w:type="dxa"/>
            <w:shd w:val="clear" w:color="auto" w:fill="E7E6E6"/>
          </w:tcPr>
          <w:p w14:paraId="4B8303B5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412" w:right="235" w:hanging="149"/>
              <w:rPr>
                <w:rFonts w:ascii="Arial" w:eastAsia="Arial" w:hAnsi="Arial" w:cs="Arial"/>
                <w:b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b/>
                <w:sz w:val="20"/>
                <w:lang w:bidi="en-US"/>
              </w:rPr>
              <w:t>Column 5 Target</w:t>
            </w:r>
          </w:p>
        </w:tc>
      </w:tr>
      <w:tr w:rsidR="00B91F7D" w:rsidRPr="00B91F7D" w14:paraId="584BA689" w14:textId="77777777" w:rsidTr="00B91F7D">
        <w:trPr>
          <w:trHeight w:val="690"/>
        </w:trPr>
        <w:tc>
          <w:tcPr>
            <w:tcW w:w="3595" w:type="dxa"/>
          </w:tcPr>
          <w:p w14:paraId="2AE0EFC2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3" w:after="0" w:line="230" w:lineRule="exact"/>
              <w:ind w:left="107" w:right="29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States/jurisdictions have a standardized pediatric readiness recognition program for EDs</w:t>
            </w:r>
          </w:p>
        </w:tc>
        <w:tc>
          <w:tcPr>
            <w:tcW w:w="2431" w:type="dxa"/>
          </w:tcPr>
          <w:p w14:paraId="125AA7A4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14" w:after="0" w:line="240" w:lineRule="auto"/>
              <w:ind w:left="108" w:right="369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Grantee Performance Report</w:t>
            </w:r>
          </w:p>
        </w:tc>
        <w:tc>
          <w:tcPr>
            <w:tcW w:w="1529" w:type="dxa"/>
          </w:tcPr>
          <w:p w14:paraId="3ADE00F7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" w:hAnsi="Arial" w:cs="Arial"/>
                <w:sz w:val="19"/>
                <w:lang w:bidi="en-US"/>
              </w:rPr>
            </w:pPr>
          </w:p>
          <w:p w14:paraId="71D7DB05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451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Annual</w:t>
            </w:r>
          </w:p>
        </w:tc>
        <w:tc>
          <w:tcPr>
            <w:tcW w:w="1711" w:type="dxa"/>
          </w:tcPr>
          <w:p w14:paraId="00FA401D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29" w:lineRule="exact"/>
              <w:ind w:left="108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2020 national</w:t>
            </w:r>
          </w:p>
          <w:p w14:paraId="1B7A3E3A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30" w:lineRule="atLeast"/>
              <w:ind w:left="108" w:right="316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baseline: 29% (n=17/58)</w:t>
            </w:r>
          </w:p>
        </w:tc>
        <w:tc>
          <w:tcPr>
            <w:tcW w:w="1440" w:type="dxa"/>
          </w:tcPr>
          <w:p w14:paraId="3BB1F88F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" w:hAnsi="Arial" w:cs="Arial"/>
                <w:sz w:val="19"/>
                <w:lang w:bidi="en-US"/>
              </w:rPr>
            </w:pPr>
          </w:p>
          <w:p w14:paraId="359961DA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441" w:right="436"/>
              <w:jc w:val="center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59%</w:t>
            </w:r>
          </w:p>
        </w:tc>
      </w:tr>
      <w:tr w:rsidR="00B91F7D" w:rsidRPr="00B91F7D" w14:paraId="22875057" w14:textId="77777777" w:rsidTr="00B91F7D">
        <w:trPr>
          <w:trHeight w:val="1147"/>
        </w:trPr>
        <w:tc>
          <w:tcPr>
            <w:tcW w:w="3595" w:type="dxa"/>
          </w:tcPr>
          <w:p w14:paraId="6940B467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" w:hAnsi="Arial" w:cs="Arial"/>
                <w:sz w:val="19"/>
                <w:lang w:bidi="en-US"/>
              </w:rPr>
            </w:pPr>
          </w:p>
          <w:p w14:paraId="7255BD10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107" w:right="29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States/jurisdictions have a standardized pediatric readiness recognition program for prehospital</w:t>
            </w:r>
          </w:p>
          <w:p w14:paraId="5E43135C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09" w:lineRule="exact"/>
              <w:ind w:left="107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EMS agencies</w:t>
            </w:r>
          </w:p>
        </w:tc>
        <w:tc>
          <w:tcPr>
            <w:tcW w:w="2431" w:type="dxa"/>
          </w:tcPr>
          <w:p w14:paraId="4E4A96B3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" w:hAnsi="Arial" w:cs="Arial"/>
                <w:sz w:val="29"/>
                <w:lang w:bidi="en-US"/>
              </w:rPr>
            </w:pPr>
          </w:p>
          <w:p w14:paraId="1E84288C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108" w:right="369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Grantee Performance Report</w:t>
            </w:r>
          </w:p>
        </w:tc>
        <w:tc>
          <w:tcPr>
            <w:tcW w:w="1529" w:type="dxa"/>
          </w:tcPr>
          <w:p w14:paraId="4F143C54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bidi="en-US"/>
              </w:rPr>
            </w:pPr>
          </w:p>
          <w:p w14:paraId="565B4891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" w:hAnsi="Arial" w:cs="Arial"/>
                <w:sz w:val="17"/>
                <w:lang w:bidi="en-US"/>
              </w:rPr>
            </w:pPr>
          </w:p>
          <w:p w14:paraId="06FBCBA7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451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Annual</w:t>
            </w:r>
          </w:p>
        </w:tc>
        <w:tc>
          <w:tcPr>
            <w:tcW w:w="1711" w:type="dxa"/>
          </w:tcPr>
          <w:p w14:paraId="04C08B81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12" w:after="0" w:line="240" w:lineRule="auto"/>
              <w:ind w:left="108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2021 national</w:t>
            </w:r>
          </w:p>
          <w:p w14:paraId="69B4926D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" w:after="0" w:line="240" w:lineRule="auto"/>
              <w:ind w:left="108" w:right="173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baseline: 7% (n=4/58)</w:t>
            </w:r>
          </w:p>
        </w:tc>
        <w:tc>
          <w:tcPr>
            <w:tcW w:w="1440" w:type="dxa"/>
          </w:tcPr>
          <w:p w14:paraId="4F625323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bidi="en-US"/>
              </w:rPr>
            </w:pPr>
          </w:p>
          <w:p w14:paraId="0A1C4301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" w:hAnsi="Arial" w:cs="Arial"/>
                <w:sz w:val="17"/>
                <w:lang w:bidi="en-US"/>
              </w:rPr>
            </w:pPr>
          </w:p>
          <w:p w14:paraId="7943364E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441" w:right="436"/>
              <w:jc w:val="center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21%</w:t>
            </w:r>
          </w:p>
        </w:tc>
      </w:tr>
      <w:tr w:rsidR="00B91F7D" w:rsidRPr="00B91F7D" w14:paraId="48E60D72" w14:textId="77777777" w:rsidTr="00B91F7D">
        <w:trPr>
          <w:trHeight w:val="1149"/>
        </w:trPr>
        <w:tc>
          <w:tcPr>
            <w:tcW w:w="3595" w:type="dxa"/>
          </w:tcPr>
          <w:p w14:paraId="3C21D2C7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107" w:right="29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States/jurisdictions have a family representative on their EMSC state advisory committee who represents</w:t>
            </w:r>
          </w:p>
          <w:p w14:paraId="789FE678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6" w:after="0" w:line="228" w:lineRule="exact"/>
              <w:ind w:left="107" w:right="345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the emergency needs of children in their community</w:t>
            </w:r>
          </w:p>
        </w:tc>
        <w:tc>
          <w:tcPr>
            <w:tcW w:w="2431" w:type="dxa"/>
          </w:tcPr>
          <w:p w14:paraId="2959830E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30"/>
                <w:lang w:bidi="en-US"/>
              </w:rPr>
            </w:pPr>
          </w:p>
          <w:p w14:paraId="6A05747E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108" w:right="369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Grantee Performance Report</w:t>
            </w:r>
          </w:p>
        </w:tc>
        <w:tc>
          <w:tcPr>
            <w:tcW w:w="1529" w:type="dxa"/>
          </w:tcPr>
          <w:p w14:paraId="6E52FFC1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bidi="en-US"/>
              </w:rPr>
            </w:pPr>
          </w:p>
          <w:p w14:paraId="012A843B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8"/>
                <w:lang w:bidi="en-US"/>
              </w:rPr>
            </w:pPr>
          </w:p>
          <w:p w14:paraId="571F7B50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453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Annual</w:t>
            </w:r>
          </w:p>
        </w:tc>
        <w:tc>
          <w:tcPr>
            <w:tcW w:w="1711" w:type="dxa"/>
          </w:tcPr>
          <w:p w14:paraId="6DCA8886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30"/>
                <w:lang w:bidi="en-US"/>
              </w:rPr>
            </w:pPr>
          </w:p>
          <w:p w14:paraId="0DE46788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108" w:right="173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Maintain 98% (n=57/58)</w:t>
            </w:r>
          </w:p>
        </w:tc>
        <w:tc>
          <w:tcPr>
            <w:tcW w:w="1440" w:type="dxa"/>
          </w:tcPr>
          <w:p w14:paraId="0E6480C9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bidi="en-US"/>
              </w:rPr>
            </w:pPr>
          </w:p>
          <w:p w14:paraId="40AD5139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8"/>
                <w:lang w:bidi="en-US"/>
              </w:rPr>
            </w:pPr>
          </w:p>
          <w:p w14:paraId="5411C602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441" w:right="437"/>
              <w:jc w:val="center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100%</w:t>
            </w:r>
          </w:p>
        </w:tc>
      </w:tr>
      <w:tr w:rsidR="00B91F7D" w:rsidRPr="00B91F7D" w14:paraId="5792922B" w14:textId="77777777" w:rsidTr="00B91F7D">
        <w:trPr>
          <w:trHeight w:val="918"/>
        </w:trPr>
        <w:tc>
          <w:tcPr>
            <w:tcW w:w="3595" w:type="dxa"/>
          </w:tcPr>
          <w:p w14:paraId="3C9EBCA2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" w:hAnsi="Arial" w:cs="Arial"/>
                <w:sz w:val="19"/>
                <w:lang w:bidi="en-US"/>
              </w:rPr>
            </w:pPr>
          </w:p>
          <w:p w14:paraId="30B7741C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107" w:right="456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Prehospital EMS agencies have a designated PECC</w:t>
            </w:r>
          </w:p>
        </w:tc>
        <w:tc>
          <w:tcPr>
            <w:tcW w:w="2431" w:type="dxa"/>
          </w:tcPr>
          <w:p w14:paraId="08EE272C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24" w:lineRule="exact"/>
              <w:ind w:left="108"/>
              <w:rPr>
                <w:rFonts w:ascii="Arial" w:eastAsia="Arial" w:hAnsi="Arial" w:cs="Arial"/>
                <w:b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b/>
                <w:sz w:val="20"/>
                <w:lang w:bidi="en-US"/>
              </w:rPr>
              <w:t>EMSC Data Center</w:t>
            </w:r>
          </w:p>
          <w:p w14:paraId="33618406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2" w:after="0" w:line="230" w:lineRule="atLeast"/>
              <w:ind w:left="108" w:right="203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Survey and National Prehospital Pediatric Readiness Assessment</w:t>
            </w:r>
          </w:p>
        </w:tc>
        <w:tc>
          <w:tcPr>
            <w:tcW w:w="1529" w:type="dxa"/>
          </w:tcPr>
          <w:p w14:paraId="3F12A722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" w:hAnsi="Arial" w:cs="Arial"/>
                <w:sz w:val="19"/>
                <w:lang w:bidi="en-US"/>
              </w:rPr>
            </w:pPr>
          </w:p>
          <w:p w14:paraId="49A28BBB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451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Annual</w:t>
            </w:r>
          </w:p>
        </w:tc>
        <w:tc>
          <w:tcPr>
            <w:tcW w:w="1711" w:type="dxa"/>
          </w:tcPr>
          <w:p w14:paraId="7BD7709A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12" w:after="0" w:line="240" w:lineRule="auto"/>
              <w:ind w:left="108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2022 national</w:t>
            </w:r>
          </w:p>
          <w:p w14:paraId="1307C4D3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108" w:right="173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 xml:space="preserve">baseline: 36% </w:t>
            </w:r>
            <w:r w:rsidRPr="00B91F7D">
              <w:rPr>
                <w:rFonts w:ascii="Arial" w:eastAsia="Arial" w:hAnsi="Arial" w:cs="Arial"/>
                <w:w w:val="95"/>
                <w:sz w:val="20"/>
                <w:lang w:bidi="en-US"/>
              </w:rPr>
              <w:t>(n=2934/8234)</w:t>
            </w:r>
          </w:p>
        </w:tc>
        <w:tc>
          <w:tcPr>
            <w:tcW w:w="1440" w:type="dxa"/>
          </w:tcPr>
          <w:p w14:paraId="2C169650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" w:hAnsi="Arial" w:cs="Arial"/>
                <w:sz w:val="29"/>
                <w:lang w:bidi="en-US"/>
              </w:rPr>
            </w:pPr>
          </w:p>
          <w:p w14:paraId="799155B9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" w:after="0" w:line="240" w:lineRule="auto"/>
              <w:ind w:left="441" w:right="437"/>
              <w:jc w:val="center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50%</w:t>
            </w:r>
          </w:p>
        </w:tc>
      </w:tr>
      <w:tr w:rsidR="00B91F7D" w:rsidRPr="00B91F7D" w14:paraId="527E2794" w14:textId="77777777" w:rsidTr="00B91F7D">
        <w:trPr>
          <w:trHeight w:val="918"/>
        </w:trPr>
        <w:tc>
          <w:tcPr>
            <w:tcW w:w="3595" w:type="dxa"/>
          </w:tcPr>
          <w:p w14:paraId="2CFE4E1E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14" w:after="0" w:line="240" w:lineRule="auto"/>
              <w:ind w:left="107" w:right="301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Prehospital EMS agencies have a process for pediatric skills-check on the use of pediatric equipment</w:t>
            </w:r>
          </w:p>
        </w:tc>
        <w:tc>
          <w:tcPr>
            <w:tcW w:w="2431" w:type="dxa"/>
          </w:tcPr>
          <w:p w14:paraId="3307AE37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27" w:lineRule="exact"/>
              <w:ind w:left="108"/>
              <w:rPr>
                <w:rFonts w:ascii="Arial" w:eastAsia="Arial" w:hAnsi="Arial" w:cs="Arial"/>
                <w:b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b/>
                <w:sz w:val="20"/>
                <w:lang w:bidi="en-US"/>
              </w:rPr>
              <w:t>EMSC Data Center</w:t>
            </w:r>
          </w:p>
          <w:p w14:paraId="48B33B3D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3" w:after="0" w:line="240" w:lineRule="auto"/>
              <w:ind w:left="108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Survey and National</w:t>
            </w:r>
          </w:p>
          <w:p w14:paraId="1EF46309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5" w:after="0" w:line="228" w:lineRule="exact"/>
              <w:ind w:left="108" w:right="203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Prehospital Pediatric Readiness Assessment</w:t>
            </w:r>
          </w:p>
        </w:tc>
        <w:tc>
          <w:tcPr>
            <w:tcW w:w="1529" w:type="dxa"/>
          </w:tcPr>
          <w:p w14:paraId="20881BE0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" w:hAnsi="Arial" w:cs="Arial"/>
                <w:sz w:val="19"/>
                <w:lang w:bidi="en-US"/>
              </w:rPr>
            </w:pPr>
          </w:p>
          <w:p w14:paraId="20A21E6B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451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Annual</w:t>
            </w:r>
          </w:p>
        </w:tc>
        <w:tc>
          <w:tcPr>
            <w:tcW w:w="1711" w:type="dxa"/>
          </w:tcPr>
          <w:p w14:paraId="0675B1A3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14" w:after="0" w:line="240" w:lineRule="auto"/>
              <w:ind w:left="108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2022 national</w:t>
            </w:r>
          </w:p>
          <w:p w14:paraId="6C2C679E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" w:after="0" w:line="240" w:lineRule="auto"/>
              <w:ind w:left="108" w:right="173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 xml:space="preserve">baseline: 26% </w:t>
            </w:r>
            <w:r w:rsidRPr="00B91F7D">
              <w:rPr>
                <w:rFonts w:ascii="Arial" w:eastAsia="Arial" w:hAnsi="Arial" w:cs="Arial"/>
                <w:w w:val="95"/>
                <w:sz w:val="20"/>
                <w:lang w:bidi="en-US"/>
              </w:rPr>
              <w:t>(n=2,145/8,234)</w:t>
            </w:r>
          </w:p>
        </w:tc>
        <w:tc>
          <w:tcPr>
            <w:tcW w:w="1440" w:type="dxa"/>
          </w:tcPr>
          <w:p w14:paraId="7E901B72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30"/>
                <w:lang w:bidi="en-US"/>
              </w:rPr>
            </w:pPr>
          </w:p>
          <w:p w14:paraId="7979D8C6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441" w:right="437"/>
              <w:jc w:val="center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46%</w:t>
            </w:r>
          </w:p>
        </w:tc>
      </w:tr>
      <w:tr w:rsidR="00B91F7D" w:rsidRPr="00B91F7D" w14:paraId="6C163811" w14:textId="77777777" w:rsidTr="00B91F7D">
        <w:trPr>
          <w:trHeight w:val="919"/>
        </w:trPr>
        <w:tc>
          <w:tcPr>
            <w:tcW w:w="3595" w:type="dxa"/>
          </w:tcPr>
          <w:p w14:paraId="4CC13826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12" w:after="0" w:line="240" w:lineRule="auto"/>
              <w:ind w:left="107" w:right="29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Prehospital EMS agencies have disaster plans that address the needs of children</w:t>
            </w:r>
          </w:p>
        </w:tc>
        <w:tc>
          <w:tcPr>
            <w:tcW w:w="2431" w:type="dxa"/>
          </w:tcPr>
          <w:p w14:paraId="2B93EC69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25" w:lineRule="exact"/>
              <w:ind w:left="108"/>
              <w:jc w:val="both"/>
              <w:rPr>
                <w:rFonts w:ascii="Arial" w:eastAsia="Arial" w:hAnsi="Arial" w:cs="Arial"/>
                <w:b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b/>
                <w:sz w:val="20"/>
                <w:lang w:bidi="en-US"/>
              </w:rPr>
              <w:t>EMSC Data Center</w:t>
            </w:r>
          </w:p>
          <w:p w14:paraId="64E1537B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2" w:after="0" w:line="230" w:lineRule="atLeast"/>
              <w:ind w:left="108" w:right="522"/>
              <w:jc w:val="both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National Prehospital Pediatric Readiness Assessment</w:t>
            </w:r>
          </w:p>
        </w:tc>
        <w:tc>
          <w:tcPr>
            <w:tcW w:w="1529" w:type="dxa"/>
          </w:tcPr>
          <w:p w14:paraId="334C7FA2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" w:hAnsi="Arial" w:cs="Arial"/>
                <w:sz w:val="19"/>
                <w:lang w:bidi="en-US"/>
              </w:rPr>
            </w:pPr>
          </w:p>
          <w:p w14:paraId="18C93D8D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2024 (national</w:t>
            </w:r>
          </w:p>
          <w:p w14:paraId="7B4AF993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30" w:lineRule="atLeast"/>
              <w:ind w:left="108" w:right="90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survey every 5 years)</w:t>
            </w:r>
          </w:p>
        </w:tc>
        <w:tc>
          <w:tcPr>
            <w:tcW w:w="1711" w:type="dxa"/>
          </w:tcPr>
          <w:p w14:paraId="065574D1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" w:hAnsi="Arial" w:cs="Arial"/>
                <w:sz w:val="19"/>
                <w:lang w:bidi="en-US"/>
              </w:rPr>
            </w:pPr>
          </w:p>
          <w:p w14:paraId="176F2582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108" w:right="173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 xml:space="preserve">Baseline: 0% </w:t>
            </w:r>
            <w:r w:rsidRPr="00B91F7D">
              <w:rPr>
                <w:rFonts w:ascii="Arial" w:eastAsia="Arial" w:hAnsi="Arial" w:cs="Arial"/>
                <w:w w:val="95"/>
                <w:sz w:val="20"/>
                <w:lang w:bidi="en-US"/>
              </w:rPr>
              <w:t>(developmental)</w:t>
            </w:r>
          </w:p>
        </w:tc>
        <w:tc>
          <w:tcPr>
            <w:tcW w:w="1440" w:type="dxa"/>
          </w:tcPr>
          <w:p w14:paraId="1DFEACD1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" w:hAnsi="Arial" w:cs="Arial"/>
                <w:sz w:val="29"/>
                <w:lang w:bidi="en-US"/>
              </w:rPr>
            </w:pPr>
          </w:p>
          <w:p w14:paraId="4E38976E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441" w:right="436"/>
              <w:jc w:val="center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75%</w:t>
            </w:r>
          </w:p>
        </w:tc>
      </w:tr>
      <w:tr w:rsidR="00B91F7D" w:rsidRPr="00B91F7D" w14:paraId="519C243B" w14:textId="77777777" w:rsidTr="00B91F7D">
        <w:trPr>
          <w:trHeight w:val="918"/>
        </w:trPr>
        <w:tc>
          <w:tcPr>
            <w:tcW w:w="3595" w:type="dxa"/>
          </w:tcPr>
          <w:p w14:paraId="2B71CD9A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" w:hAnsi="Arial" w:cs="Arial"/>
                <w:sz w:val="19"/>
                <w:lang w:bidi="en-US"/>
              </w:rPr>
            </w:pPr>
          </w:p>
          <w:p w14:paraId="47E9564D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107" w:right="611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Hospital EDs have a designated PECC</w:t>
            </w:r>
          </w:p>
        </w:tc>
        <w:tc>
          <w:tcPr>
            <w:tcW w:w="2431" w:type="dxa"/>
          </w:tcPr>
          <w:p w14:paraId="5DA09B24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12" w:after="0" w:line="240" w:lineRule="auto"/>
              <w:ind w:left="107" w:right="204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b/>
                <w:sz w:val="20"/>
                <w:lang w:bidi="en-US"/>
              </w:rPr>
              <w:t xml:space="preserve">EMSC Data Center </w:t>
            </w:r>
            <w:r w:rsidRPr="00B91F7D">
              <w:rPr>
                <w:rFonts w:ascii="Arial" w:eastAsia="Arial" w:hAnsi="Arial" w:cs="Arial"/>
                <w:sz w:val="20"/>
                <w:lang w:bidi="en-US"/>
              </w:rPr>
              <w:t>National Pediatric Readiness Assessment</w:t>
            </w:r>
          </w:p>
        </w:tc>
        <w:tc>
          <w:tcPr>
            <w:tcW w:w="1529" w:type="dxa"/>
          </w:tcPr>
          <w:p w14:paraId="756CA5BE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" w:hAnsi="Arial" w:cs="Arial"/>
                <w:sz w:val="19"/>
                <w:lang w:bidi="en-US"/>
              </w:rPr>
            </w:pPr>
          </w:p>
          <w:p w14:paraId="641F58EA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29" w:lineRule="exact"/>
              <w:ind w:left="108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2026 (national</w:t>
            </w:r>
          </w:p>
          <w:p w14:paraId="21A3029E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3" w:after="0" w:line="230" w:lineRule="exact"/>
              <w:ind w:left="108" w:right="90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survey every 5 years)</w:t>
            </w:r>
          </w:p>
        </w:tc>
        <w:tc>
          <w:tcPr>
            <w:tcW w:w="1711" w:type="dxa"/>
          </w:tcPr>
          <w:p w14:paraId="05A839AC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29" w:lineRule="exact"/>
              <w:ind w:left="108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2021 national</w:t>
            </w:r>
          </w:p>
          <w:p w14:paraId="21B93FE5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108" w:right="173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 xml:space="preserve">baseline: 46% </w:t>
            </w:r>
            <w:r w:rsidRPr="00B91F7D">
              <w:rPr>
                <w:rFonts w:ascii="Arial" w:eastAsia="Arial" w:hAnsi="Arial" w:cs="Arial"/>
                <w:w w:val="95"/>
                <w:sz w:val="20"/>
                <w:lang w:bidi="en-US"/>
              </w:rPr>
              <w:t>(n=1,666/3645)</w:t>
            </w:r>
          </w:p>
        </w:tc>
        <w:tc>
          <w:tcPr>
            <w:tcW w:w="1440" w:type="dxa"/>
          </w:tcPr>
          <w:p w14:paraId="5AD507CF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30"/>
                <w:lang w:bidi="en-US"/>
              </w:rPr>
            </w:pPr>
          </w:p>
          <w:p w14:paraId="39998550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441" w:right="436"/>
              <w:jc w:val="center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75%</w:t>
            </w:r>
          </w:p>
        </w:tc>
      </w:tr>
      <w:tr w:rsidR="00B91F7D" w:rsidRPr="00B91F7D" w14:paraId="68E2C6A9" w14:textId="77777777" w:rsidTr="00B91F7D">
        <w:trPr>
          <w:trHeight w:val="918"/>
        </w:trPr>
        <w:tc>
          <w:tcPr>
            <w:tcW w:w="3595" w:type="dxa"/>
          </w:tcPr>
          <w:p w14:paraId="6E26C0ED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" w:hAnsi="Arial" w:cs="Arial"/>
                <w:sz w:val="29"/>
                <w:lang w:bidi="en-US"/>
              </w:rPr>
            </w:pPr>
          </w:p>
          <w:p w14:paraId="5FC4279A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" w:after="0" w:line="240" w:lineRule="auto"/>
              <w:ind w:left="107" w:right="712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Hospital EDs weigh and record children’s weight in kilograms</w:t>
            </w:r>
          </w:p>
        </w:tc>
        <w:tc>
          <w:tcPr>
            <w:tcW w:w="2431" w:type="dxa"/>
          </w:tcPr>
          <w:p w14:paraId="0330212E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09" w:after="0" w:line="242" w:lineRule="auto"/>
              <w:ind w:left="107" w:right="204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b/>
                <w:sz w:val="20"/>
                <w:lang w:bidi="en-US"/>
              </w:rPr>
              <w:t xml:space="preserve">EMSC Data Center </w:t>
            </w:r>
            <w:r w:rsidRPr="00B91F7D">
              <w:rPr>
                <w:rFonts w:ascii="Arial" w:eastAsia="Arial" w:hAnsi="Arial" w:cs="Arial"/>
                <w:sz w:val="20"/>
                <w:lang w:bidi="en-US"/>
              </w:rPr>
              <w:t>National Pediatric Readiness Assessment</w:t>
            </w:r>
          </w:p>
        </w:tc>
        <w:tc>
          <w:tcPr>
            <w:tcW w:w="1529" w:type="dxa"/>
          </w:tcPr>
          <w:p w14:paraId="68759A34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" w:hAnsi="Arial" w:cs="Arial"/>
                <w:sz w:val="19"/>
                <w:lang w:bidi="en-US"/>
              </w:rPr>
            </w:pPr>
          </w:p>
          <w:p w14:paraId="02A9BB73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2026 (national</w:t>
            </w:r>
          </w:p>
          <w:p w14:paraId="4488ED3D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" w:after="0" w:line="230" w:lineRule="atLeast"/>
              <w:ind w:left="108" w:right="90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survey every 5 years)</w:t>
            </w:r>
          </w:p>
        </w:tc>
        <w:tc>
          <w:tcPr>
            <w:tcW w:w="1711" w:type="dxa"/>
          </w:tcPr>
          <w:p w14:paraId="54021B6C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12" w:after="0" w:line="240" w:lineRule="auto"/>
              <w:ind w:left="108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2021 national</w:t>
            </w:r>
          </w:p>
          <w:p w14:paraId="6FE2DC0B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108" w:right="173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 xml:space="preserve">baseline: 74% </w:t>
            </w:r>
            <w:r w:rsidRPr="00B91F7D">
              <w:rPr>
                <w:rFonts w:ascii="Arial" w:eastAsia="Arial" w:hAnsi="Arial" w:cs="Arial"/>
                <w:w w:val="95"/>
                <w:sz w:val="20"/>
                <w:lang w:bidi="en-US"/>
              </w:rPr>
              <w:t>(n=2713/3645)</w:t>
            </w:r>
          </w:p>
        </w:tc>
        <w:tc>
          <w:tcPr>
            <w:tcW w:w="1440" w:type="dxa"/>
          </w:tcPr>
          <w:p w14:paraId="6D207BB8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" w:hAnsi="Arial" w:cs="Arial"/>
                <w:sz w:val="29"/>
                <w:lang w:bidi="en-US"/>
              </w:rPr>
            </w:pPr>
          </w:p>
          <w:p w14:paraId="12372713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" w:after="0" w:line="240" w:lineRule="auto"/>
              <w:ind w:left="441" w:right="437"/>
              <w:jc w:val="center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84%</w:t>
            </w:r>
          </w:p>
        </w:tc>
      </w:tr>
      <w:tr w:rsidR="00B91F7D" w:rsidRPr="00B91F7D" w14:paraId="6C6454ED" w14:textId="77777777" w:rsidTr="00B91F7D">
        <w:trPr>
          <w:trHeight w:val="918"/>
        </w:trPr>
        <w:tc>
          <w:tcPr>
            <w:tcW w:w="3595" w:type="dxa"/>
          </w:tcPr>
          <w:p w14:paraId="5EEC3B87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" w:hAnsi="Arial" w:cs="Arial"/>
                <w:sz w:val="19"/>
                <w:lang w:bidi="en-US"/>
              </w:rPr>
            </w:pPr>
          </w:p>
          <w:p w14:paraId="27B486BB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107" w:right="134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Hospital EDs have disaster plans that address the needs of children</w:t>
            </w:r>
          </w:p>
        </w:tc>
        <w:tc>
          <w:tcPr>
            <w:tcW w:w="2431" w:type="dxa"/>
          </w:tcPr>
          <w:p w14:paraId="53A181DC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12" w:after="0" w:line="240" w:lineRule="auto"/>
              <w:ind w:left="107" w:right="204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b/>
                <w:sz w:val="20"/>
                <w:lang w:bidi="en-US"/>
              </w:rPr>
              <w:t xml:space="preserve">EMSC Data Center </w:t>
            </w:r>
            <w:r w:rsidRPr="00B91F7D">
              <w:rPr>
                <w:rFonts w:ascii="Arial" w:eastAsia="Arial" w:hAnsi="Arial" w:cs="Arial"/>
                <w:sz w:val="20"/>
                <w:lang w:bidi="en-US"/>
              </w:rPr>
              <w:t>National Pediatric Readiness Assessment</w:t>
            </w:r>
          </w:p>
        </w:tc>
        <w:tc>
          <w:tcPr>
            <w:tcW w:w="1529" w:type="dxa"/>
          </w:tcPr>
          <w:p w14:paraId="75FFAB29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" w:hAnsi="Arial" w:cs="Arial"/>
                <w:sz w:val="19"/>
                <w:lang w:bidi="en-US"/>
              </w:rPr>
            </w:pPr>
          </w:p>
          <w:p w14:paraId="6C5646B8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29" w:lineRule="exact"/>
              <w:ind w:left="108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2026 (national</w:t>
            </w:r>
          </w:p>
          <w:p w14:paraId="44E3E061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3" w:after="0" w:line="230" w:lineRule="exact"/>
              <w:ind w:left="108" w:right="90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survey every 5 years)</w:t>
            </w:r>
          </w:p>
        </w:tc>
        <w:tc>
          <w:tcPr>
            <w:tcW w:w="1711" w:type="dxa"/>
          </w:tcPr>
          <w:p w14:paraId="7523B37D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14" w:after="0" w:line="240" w:lineRule="auto"/>
              <w:ind w:left="108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2021 national</w:t>
            </w:r>
          </w:p>
          <w:p w14:paraId="75A9C2D6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before="1" w:after="0" w:line="240" w:lineRule="auto"/>
              <w:ind w:left="108" w:right="173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 xml:space="preserve">baseline: 47% </w:t>
            </w:r>
            <w:r w:rsidRPr="00B91F7D">
              <w:rPr>
                <w:rFonts w:ascii="Arial" w:eastAsia="Arial" w:hAnsi="Arial" w:cs="Arial"/>
                <w:w w:val="95"/>
                <w:sz w:val="20"/>
                <w:lang w:bidi="en-US"/>
              </w:rPr>
              <w:t>(n=1724/3639)</w:t>
            </w:r>
          </w:p>
        </w:tc>
        <w:tc>
          <w:tcPr>
            <w:tcW w:w="1440" w:type="dxa"/>
          </w:tcPr>
          <w:p w14:paraId="0CA47279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30"/>
                <w:lang w:bidi="en-US"/>
              </w:rPr>
            </w:pPr>
          </w:p>
          <w:p w14:paraId="1BC840A2" w14:textId="77777777" w:rsidR="00B91F7D" w:rsidRPr="00B91F7D" w:rsidRDefault="00B91F7D" w:rsidP="00B91F7D">
            <w:pPr>
              <w:widowControl w:val="0"/>
              <w:autoSpaceDE w:val="0"/>
              <w:autoSpaceDN w:val="0"/>
              <w:spacing w:after="0" w:line="240" w:lineRule="auto"/>
              <w:ind w:left="441" w:right="437"/>
              <w:jc w:val="center"/>
              <w:rPr>
                <w:rFonts w:ascii="Arial" w:eastAsia="Arial" w:hAnsi="Arial" w:cs="Arial"/>
                <w:sz w:val="20"/>
                <w:lang w:bidi="en-US"/>
              </w:rPr>
            </w:pPr>
            <w:r w:rsidRPr="00B91F7D">
              <w:rPr>
                <w:rFonts w:ascii="Arial" w:eastAsia="Arial" w:hAnsi="Arial" w:cs="Arial"/>
                <w:sz w:val="20"/>
                <w:lang w:bidi="en-US"/>
              </w:rPr>
              <w:t>75%</w:t>
            </w:r>
          </w:p>
        </w:tc>
      </w:tr>
    </w:tbl>
    <w:p w14:paraId="32D9D4B8" w14:textId="77777777" w:rsidR="00BD4701" w:rsidRDefault="00BD4701" w:rsidP="00B91F7D">
      <w:pPr>
        <w:jc w:val="center"/>
      </w:pPr>
    </w:p>
    <w:sectPr w:rsidR="00BD4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F7D"/>
    <w:rsid w:val="003A5ACA"/>
    <w:rsid w:val="005A5BB6"/>
    <w:rsid w:val="00863EC2"/>
    <w:rsid w:val="00B91F7D"/>
    <w:rsid w:val="00BD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B2C21"/>
  <w15:chartTrackingRefBased/>
  <w15:docId w15:val="{98B8B8DE-0980-4449-A3F9-887AF8C9A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1692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Hendry, Phyllis</dc:creator>
  <cp:keywords/>
  <dc:description/>
  <cp:lastModifiedBy>Hendry, Phyllis</cp:lastModifiedBy>
  <cp:revision>2</cp:revision>
  <dcterms:created xsi:type="dcterms:W3CDTF">2022-08-31T18:31:00Z</dcterms:created>
  <dcterms:modified xsi:type="dcterms:W3CDTF">2022-08-31T18:31:00Z</dcterms:modified>
</cp:coreProperties>
</file>