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rPr>
          <w:b w:val="1"/>
          <w:bCs w:val="1"/>
        </w:rPr>
      </w:pPr>
      <w:r>
        <w:rPr>
          <w:rtl w:val="0"/>
          <w:lang w:val="en-US"/>
        </w:rPr>
        <w:t xml:space="preserve">Coffee time after worship service encourages a sense of community among members and provides  an opportunity to invite newcomers to an informal time of fellowship.  Hosting is an important service that various members and commissions undertake to make coffee hour possible. </w:t>
      </w:r>
    </w:p>
    <w:p>
      <w:pPr>
        <w:pStyle w:val="Body A"/>
      </w:pPr>
    </w:p>
    <w:p>
      <w:pPr>
        <w:pStyle w:val="Body A"/>
        <w:rPr>
          <w:lang w:val="en-US"/>
        </w:rPr>
      </w:pPr>
      <w:r>
        <w:rPr>
          <w:rFonts w:cs="Arial Unicode MS" w:eastAsia="Arial Unicode MS"/>
          <w:b w:val="1"/>
          <w:bCs w:val="1"/>
          <w:rtl w:val="0"/>
          <w:lang w:val="en-US"/>
        </w:rPr>
        <w:t xml:space="preserve">Hosting </w:t>
      </w:r>
      <w:r>
        <w:rPr>
          <w:rFonts w:cs="Arial Unicode MS" w:eastAsia="Arial Unicode MS"/>
          <w:rtl w:val="0"/>
          <w:lang w:val="en-US"/>
        </w:rPr>
        <w:t>is simple especially since we have Tim Buckley and Linda Lee who take care of preparing the coffee urns every Saturday.  Tim even cleans the urns after coffee hour. Fellowship commission will provide milk/half and half.</w:t>
      </w:r>
    </w:p>
    <w:p>
      <w:pPr>
        <w:pStyle w:val="Body A"/>
      </w:pPr>
    </w:p>
    <w:p>
      <w:pPr>
        <w:pStyle w:val="Body A"/>
      </w:pPr>
      <w:r>
        <w:rPr>
          <w:rFonts w:cs="Arial Unicode MS" w:eastAsia="Arial Unicode MS"/>
          <w:rtl w:val="0"/>
          <w:lang w:val="en-US"/>
        </w:rPr>
        <w:t xml:space="preserve">1. When a church member </w:t>
      </w:r>
      <w:r>
        <w:rPr>
          <w:rFonts w:cs="Arial Unicode MS" w:eastAsia="Arial Unicode MS"/>
          <w:b w:val="1"/>
          <w:bCs w:val="1"/>
          <w:rtl w:val="0"/>
          <w:lang w:val="en-US"/>
        </w:rPr>
        <w:t>signs up*</w:t>
      </w:r>
      <w:r>
        <w:rPr>
          <w:rFonts w:cs="Arial Unicode MS" w:eastAsia="Arial Unicode MS"/>
          <w:rtl w:val="0"/>
          <w:lang w:val="en-US"/>
        </w:rPr>
        <w:t xml:space="preserve"> to host, ask 2 or 3 other  members to assist  in b</w:t>
      </w:r>
      <w:r>
        <w:rPr>
          <w:rFonts w:cs="Arial Unicode MS" w:eastAsia="Arial Unicode MS"/>
          <w:rtl w:val="0"/>
        </w:rPr>
        <w:t>ring</w:t>
      </w:r>
      <w:r>
        <w:rPr>
          <w:rFonts w:cs="Arial Unicode MS" w:eastAsia="Arial Unicode MS"/>
          <w:rtl w:val="0"/>
          <w:lang w:val="en-US"/>
        </w:rPr>
        <w:t xml:space="preserve">ing  simple snacks  such as cookies, crackers and cheese, fruit, nuts, vegetable plate, coffee cake, breads, muffins, mini bagels.  Various trays and plates are available for your use.  Snacks do not have to be homemade. Provide four or five different things. Keep in mind not everyone is gluten tolerant. </w:t>
      </w:r>
    </w:p>
    <w:p>
      <w:pPr>
        <w:pStyle w:val="Body A"/>
      </w:pPr>
    </w:p>
    <w:p>
      <w:pPr>
        <w:pStyle w:val="Body A"/>
      </w:pPr>
      <w:r>
        <w:rPr>
          <w:rFonts w:cs="Arial Unicode MS" w:eastAsia="Arial Unicode MS"/>
          <w:rtl w:val="0"/>
          <w:lang w:val="en-US"/>
        </w:rPr>
        <w:t>2. Arrive at church at 9:30</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-4277358</wp:posOffset>
                </wp:positionH>
                <wp:positionV relativeFrom="page">
                  <wp:posOffset>-958385</wp:posOffset>
                </wp:positionV>
                <wp:extent cx="1028470" cy="3206750"/>
                <wp:effectExtent l="0" t="0" r="0" b="0"/>
                <wp:wrapThrough wrapText="bothSides" distL="152400" distR="152400">
                  <wp:wrapPolygon edited="1">
                    <wp:start x="0" y="0"/>
                    <wp:lineTo x="21600" y="0"/>
                    <wp:lineTo x="21600" y="21600"/>
                    <wp:lineTo x="0" y="21600"/>
                    <wp:lineTo x="0" y="0"/>
                  </wp:wrapPolygon>
                </wp:wrapThrough>
                <wp:docPr id="1073741825" name="officeArt object" descr="TIP: Provide 4-"/>
                <wp:cNvGraphicFramePr/>
                <a:graphic xmlns:a="http://schemas.openxmlformats.org/drawingml/2006/main">
                  <a:graphicData uri="http://schemas.microsoft.com/office/word/2010/wordprocessingShape">
                    <wps:wsp>
                      <wps:cNvSpPr txBox="1"/>
                      <wps:spPr>
                        <a:xfrm>
                          <a:off x="0" y="0"/>
                          <a:ext cx="1028470" cy="3206750"/>
                        </a:xfrm>
                        <a:prstGeom prst="rect">
                          <a:avLst/>
                        </a:prstGeom>
                        <a:noFill/>
                        <a:ln w="12700" cap="flat">
                          <a:noFill/>
                          <a:miter lim="400000"/>
                        </a:ln>
                        <a:effectLst/>
                      </wps:spPr>
                      <wps:txbx>
                        <w:txbxContent>
                          <w:p>
                            <w:pPr>
                              <w:pStyle w:val="Default"/>
                              <w:spacing w:before="0" w:after="80" w:line="240" w:lineRule="auto"/>
                            </w:pPr>
                            <w:r>
                              <w:rPr>
                                <w:outline w:val="0"/>
                                <w:color w:val="1f1f1f"/>
                                <w:sz w:val="32"/>
                                <w:szCs w:val="32"/>
                                <w:u w:color="1f1f1f"/>
                                <w:rtl w:val="0"/>
                                <w:lang w:val="fr-FR"/>
                                <w14:textFill>
                                  <w14:solidFill>
                                    <w14:srgbClr w14:val="1F1F1F"/>
                                  </w14:solidFill>
                                </w14:textFill>
                              </w:rPr>
                              <w:t>TIP: Provide 4-</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336.8pt;margin-top:-75.5pt;width:81.0pt;height:252.5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spacing w:before="0" w:after="80" w:line="240" w:lineRule="auto"/>
                      </w:pPr>
                      <w:r>
                        <w:rPr>
                          <w:outline w:val="0"/>
                          <w:color w:val="1f1f1f"/>
                          <w:sz w:val="32"/>
                          <w:szCs w:val="32"/>
                          <w:u w:color="1f1f1f"/>
                          <w:rtl w:val="0"/>
                          <w:lang w:val="fr-FR"/>
                          <w14:textFill>
                            <w14:solidFill>
                              <w14:srgbClr w14:val="1F1F1F"/>
                            </w14:solidFill>
                          </w14:textFill>
                        </w:rPr>
                        <w:t>TIP: Provide 4-</w:t>
                      </w:r>
                    </w:p>
                  </w:txbxContent>
                </v:textbox>
                <w10:wrap type="through" side="bothSides" anchorx="page" anchory="page"/>
              </v:shape>
            </w:pict>
          </mc:Fallback>
        </mc:AlternateContent>
      </w:r>
      <w:r>
        <w:rPr>
          <w:rFonts w:cs="Arial Unicode MS" w:eastAsia="Arial Unicode MS"/>
          <w:rtl w:val="0"/>
          <w:lang w:val="en-US"/>
        </w:rPr>
        <w:t xml:space="preserve"> am to set up round table near the island counter.  Bring a  centerpiece if you like. Tablecloths are available in the bottom drawer next to the refrigerator or you can bring your own. </w:t>
      </w:r>
    </w:p>
    <w:p>
      <w:pPr>
        <w:pStyle w:val="Body A"/>
      </w:pPr>
    </w:p>
    <w:p>
      <w:pPr>
        <w:pStyle w:val="Body A"/>
      </w:pPr>
      <w:r>
        <w:rPr>
          <w:rFonts w:cs="Arial Unicode MS" w:eastAsia="Arial Unicode MS"/>
          <w:rtl w:val="0"/>
          <w:lang w:val="en-US"/>
        </w:rPr>
        <w:t>3. Set out donated food ite</w:t>
      </w:r>
      <w:r>
        <w:rPr>
          <w:rFonts w:cs="Arial Unicode MS" w:eastAsia="Arial Unicode MS"/>
          <w:rtl w:val="0"/>
          <w:lang w:val="en-US"/>
        </w:rPr>
        <w:t>m</w:t>
      </w:r>
      <w:r>
        <w:rPr>
          <w:rFonts w:cs="Arial Unicode MS" w:eastAsia="Arial Unicode MS"/>
          <w:rtl w:val="0"/>
          <w:lang w:val="en-US"/>
        </w:rPr>
        <w:t xml:space="preserve">s and paper goods. Paper plates and napkins are in the double door cabinets under the island.  Plasticware is available if forks are needed.  There are all types of serving utensils. </w:t>
      </w:r>
    </w:p>
    <w:p>
      <w:pPr>
        <w:pStyle w:val="Body A"/>
      </w:pPr>
    </w:p>
    <w:p>
      <w:pPr>
        <w:pStyle w:val="Body A"/>
      </w:pPr>
      <w:r>
        <w:rPr>
          <w:rFonts w:cs="Arial Unicode MS" w:eastAsia="Arial Unicode MS"/>
          <w:rtl w:val="0"/>
          <w:lang w:val="en-US"/>
        </w:rPr>
        <w:t>4. Cover the table with one of the plastic tablecloths before you go to worship service to deter early nibblers.  During the postlude, uncover table and any wrappings on food items.</w:t>
      </w:r>
    </w:p>
    <w:p>
      <w:pPr>
        <w:pStyle w:val="Body A"/>
      </w:pPr>
    </w:p>
    <w:p>
      <w:pPr>
        <w:pStyle w:val="Body A"/>
      </w:pPr>
      <w:r>
        <w:rPr>
          <w:rFonts w:cs="Arial Unicode MS" w:eastAsia="Arial Unicode MS"/>
          <w:rtl w:val="0"/>
          <w:lang w:val="en-US"/>
        </w:rPr>
        <w:t>5. Set out the coffee hour donation can.  Any monies should be given to Tim Buckley to give to Sunday am offering counters.</w:t>
      </w:r>
    </w:p>
    <w:p>
      <w:pPr>
        <w:pStyle w:val="Body A"/>
        <w:rPr>
          <w:lang w:val="en-US"/>
        </w:rPr>
      </w:pPr>
    </w:p>
    <w:p>
      <w:pPr>
        <w:pStyle w:val="Body A"/>
        <w:rPr>
          <w:b w:val="1"/>
          <w:bCs w:val="1"/>
        </w:rPr>
      </w:pPr>
      <w:r>
        <w:rPr>
          <w:rFonts w:cs="Arial Unicode MS" w:eastAsia="Arial Unicode MS"/>
          <w:rtl w:val="0"/>
          <w:lang w:val="en-US"/>
        </w:rPr>
        <w:t xml:space="preserve">6.  </w:t>
      </w:r>
      <w:r>
        <w:rPr>
          <w:rFonts w:cs="Arial Unicode MS" w:eastAsia="Arial Unicode MS"/>
          <w:b w:val="1"/>
          <w:bCs w:val="1"/>
          <w:rtl w:val="0"/>
          <w:lang w:val="en-US"/>
        </w:rPr>
        <w:t>Before you go into the church service, plug in the coffee pots</w:t>
      </w:r>
      <w:r>
        <w:rPr>
          <w:rFonts w:cs="Arial Unicode MS" w:eastAsia="Arial Unicode MS"/>
          <w:b w:val="1"/>
          <w:bCs w:val="1"/>
          <w:rtl w:val="0"/>
          <w:lang w:val="en-US"/>
        </w:rPr>
        <w:t xml:space="preserve">. </w:t>
      </w:r>
    </w:p>
    <w:p>
      <w:pPr>
        <w:pStyle w:val="Body A"/>
      </w:pPr>
    </w:p>
    <w:p>
      <w:pPr>
        <w:pStyle w:val="Body A"/>
      </w:pPr>
      <w:r>
        <w:rPr>
          <w:rFonts w:cs="Arial Unicode MS" w:eastAsia="Arial Unicode MS"/>
          <w:rtl w:val="0"/>
          <w:lang w:val="en-US"/>
        </w:rPr>
        <w:t>7.  Clean up food items and take home anything that is left. Return unused paper goods and table cloth to designated drawers. Refrigerate half and half and/or milk.</w:t>
      </w:r>
    </w:p>
    <w:p>
      <w:pPr>
        <w:pStyle w:val="Body A"/>
      </w:pPr>
    </w:p>
    <w:p>
      <w:pPr>
        <w:pStyle w:val="Body A"/>
        <w:numPr>
          <w:ilvl w:val="0"/>
          <w:numId w:val="2"/>
        </w:numPr>
      </w:pPr>
      <w:r>
        <w:rPr>
          <w:rFonts w:cs="Arial Unicode MS" w:eastAsia="Arial Unicode MS"/>
          <w:b w:val="1"/>
          <w:bCs w:val="1"/>
          <w:rtl w:val="0"/>
          <w:lang w:val="en-US"/>
        </w:rPr>
        <w:t xml:space="preserve">Year sign-up calendar </w:t>
      </w:r>
      <w:r>
        <w:rPr>
          <w:rFonts w:cs="Arial Unicode MS" w:eastAsia="Arial Unicode MS"/>
          <w:rtl w:val="0"/>
          <w:lang w:val="en-US"/>
        </w:rPr>
        <w:t>is posted in the Fellowship Room to the left of door leading to the bathroom hallway.</w:t>
      </w:r>
    </w:p>
    <w:p>
      <w:pPr>
        <w:pStyle w:val="Body A"/>
        <w:rPr>
          <w:lang w:val="en-US"/>
        </w:rPr>
      </w:pPr>
    </w:p>
    <w:p>
      <w:pPr>
        <w:pStyle w:val="Body A"/>
      </w:pPr>
      <w:r>
        <w:rPr>
          <w:rFonts w:cs="Arial Unicode MS" w:eastAsia="Arial Unicode MS"/>
          <w:rtl w:val="0"/>
          <w:lang w:val="en-US"/>
        </w:rPr>
        <w:t>Gail Smith, co-elder Fellowship and Membership Commission</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