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36CF" w14:textId="1C2B143E" w:rsidR="002405F1" w:rsidRDefault="00043E97" w:rsidP="00AC00D3">
      <w:pPr>
        <w:jc w:val="center"/>
        <w:rPr>
          <w:rFonts w:ascii="Times New Roman" w:hAnsi="Times New Roman" w:cs="Times New Roman"/>
          <w:u w:val="single"/>
        </w:rPr>
      </w:pPr>
      <w:r w:rsidRPr="00AC00D3">
        <w:rPr>
          <w:rFonts w:ascii="Times New Roman" w:hAnsi="Times New Roman" w:cs="Times New Roman"/>
          <w:u w:val="single"/>
        </w:rPr>
        <w:t>Maryland Supreme Court Limits Provider Charges Under Medical Records Act</w:t>
      </w:r>
    </w:p>
    <w:p w14:paraId="3131C473" w14:textId="1BB6443B" w:rsidR="00BF40B7" w:rsidRPr="008F2CAB" w:rsidRDefault="00BF40B7" w:rsidP="00AC00D3">
      <w:pPr>
        <w:jc w:val="center"/>
        <w:rPr>
          <w:rFonts w:ascii="Times New Roman" w:hAnsi="Times New Roman" w:cs="Times New Roman"/>
          <w:i/>
          <w:iCs/>
        </w:rPr>
      </w:pPr>
      <w:r w:rsidRPr="008F2CAB">
        <w:rPr>
          <w:rFonts w:ascii="Times New Roman" w:hAnsi="Times New Roman" w:cs="Times New Roman"/>
          <w:i/>
          <w:iCs/>
        </w:rPr>
        <w:t>By J. Steven Wise, Esq.</w:t>
      </w:r>
    </w:p>
    <w:p w14:paraId="324B7834" w14:textId="41433854" w:rsidR="00BF40B7" w:rsidRPr="00BF40B7" w:rsidRDefault="00BF40B7" w:rsidP="00AC00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SMWK, P.A.</w:t>
      </w:r>
    </w:p>
    <w:p w14:paraId="4D40F63F" w14:textId="6BB7D24D" w:rsidR="00043E97" w:rsidRPr="00AC00D3" w:rsidRDefault="00043E97" w:rsidP="00043E97">
      <w:pPr>
        <w:jc w:val="both"/>
        <w:rPr>
          <w:rFonts w:ascii="Times New Roman" w:hAnsi="Times New Roman" w:cs="Times New Roman"/>
        </w:rPr>
      </w:pPr>
      <w:r w:rsidRPr="00AC00D3">
        <w:rPr>
          <w:rFonts w:ascii="Times New Roman" w:hAnsi="Times New Roman" w:cs="Times New Roman"/>
        </w:rPr>
        <w:tab/>
        <w:t xml:space="preserve">The Supreme Court of Maryland (formerly the Court of Appeals) recently issued a ruling </w:t>
      </w:r>
      <w:r w:rsidR="00461FF1">
        <w:rPr>
          <w:rFonts w:ascii="Times New Roman" w:hAnsi="Times New Roman" w:cs="Times New Roman"/>
        </w:rPr>
        <w:t>which</w:t>
      </w:r>
      <w:r w:rsidRPr="00AC00D3">
        <w:rPr>
          <w:rFonts w:ascii="Times New Roman" w:hAnsi="Times New Roman" w:cs="Times New Roman"/>
        </w:rPr>
        <w:t xml:space="preserve"> limits the </w:t>
      </w:r>
      <w:r w:rsidR="004F6069">
        <w:rPr>
          <w:rFonts w:ascii="Times New Roman" w:hAnsi="Times New Roman" w:cs="Times New Roman"/>
        </w:rPr>
        <w:t>fees</w:t>
      </w:r>
      <w:r w:rsidRPr="00AC00D3">
        <w:rPr>
          <w:rFonts w:ascii="Times New Roman" w:hAnsi="Times New Roman" w:cs="Times New Roman"/>
        </w:rPr>
        <w:t xml:space="preserve"> that providers may </w:t>
      </w:r>
      <w:r w:rsidR="004F6069">
        <w:rPr>
          <w:rFonts w:ascii="Times New Roman" w:hAnsi="Times New Roman" w:cs="Times New Roman"/>
        </w:rPr>
        <w:t xml:space="preserve">charge to patients </w:t>
      </w:r>
      <w:r w:rsidRPr="00AC00D3">
        <w:rPr>
          <w:rFonts w:ascii="Times New Roman" w:hAnsi="Times New Roman" w:cs="Times New Roman"/>
        </w:rPr>
        <w:t xml:space="preserve">when presented with a request for medical records. The ruling is important </w:t>
      </w:r>
      <w:r w:rsidR="005726A3">
        <w:rPr>
          <w:rFonts w:ascii="Times New Roman" w:hAnsi="Times New Roman" w:cs="Times New Roman"/>
        </w:rPr>
        <w:t>for</w:t>
      </w:r>
      <w:r w:rsidRPr="00AC00D3">
        <w:rPr>
          <w:rFonts w:ascii="Times New Roman" w:hAnsi="Times New Roman" w:cs="Times New Roman"/>
        </w:rPr>
        <w:t xml:space="preserve"> providers to understand, so that they do not improperly charge fees to patients.</w:t>
      </w:r>
    </w:p>
    <w:p w14:paraId="4955AA98" w14:textId="688D3615" w:rsidR="00AC00D3" w:rsidRPr="00AC00D3" w:rsidRDefault="00043E97" w:rsidP="00043E97">
      <w:pPr>
        <w:jc w:val="both"/>
        <w:rPr>
          <w:rFonts w:ascii="Times New Roman" w:hAnsi="Times New Roman" w:cs="Times New Roman"/>
        </w:rPr>
      </w:pPr>
      <w:r w:rsidRPr="00AC00D3">
        <w:rPr>
          <w:rFonts w:ascii="Times New Roman" w:hAnsi="Times New Roman" w:cs="Times New Roman"/>
        </w:rPr>
        <w:tab/>
        <w:t xml:space="preserve">In </w:t>
      </w:r>
      <w:r w:rsidRPr="00AC00D3">
        <w:rPr>
          <w:rFonts w:ascii="Times New Roman" w:hAnsi="Times New Roman" w:cs="Times New Roman"/>
          <w:i/>
          <w:iCs/>
        </w:rPr>
        <w:t>Hollabaugh v. MRO Corporation</w:t>
      </w:r>
      <w:r w:rsidRPr="00AC00D3">
        <w:rPr>
          <w:rFonts w:ascii="Times New Roman" w:hAnsi="Times New Roman" w:cs="Times New Roman"/>
        </w:rPr>
        <w:t xml:space="preserve">, </w:t>
      </w:r>
      <w:r w:rsidR="00A912B4" w:rsidRPr="00A912B4">
        <w:rPr>
          <w:rFonts w:ascii="Times New Roman" w:hAnsi="Times New Roman" w:cs="Times New Roman"/>
        </w:rPr>
        <w:t>2025 WL 1903601</w:t>
      </w:r>
      <w:r w:rsidRPr="00AC00D3">
        <w:rPr>
          <w:rFonts w:ascii="Times New Roman" w:hAnsi="Times New Roman" w:cs="Times New Roman"/>
        </w:rPr>
        <w:t xml:space="preserve">, the Supreme Court ruled that a provider </w:t>
      </w:r>
      <w:r w:rsidR="001A19C0" w:rsidRPr="00AC00D3">
        <w:rPr>
          <w:rFonts w:ascii="Times New Roman" w:hAnsi="Times New Roman" w:cs="Times New Roman"/>
        </w:rPr>
        <w:t>may</w:t>
      </w:r>
      <w:r w:rsidRPr="00AC00D3">
        <w:rPr>
          <w:rFonts w:ascii="Times New Roman" w:hAnsi="Times New Roman" w:cs="Times New Roman"/>
        </w:rPr>
        <w:t xml:space="preserve"> not charge </w:t>
      </w:r>
      <w:r w:rsidR="001A19C0" w:rsidRPr="00AC00D3">
        <w:rPr>
          <w:rFonts w:ascii="Times New Roman" w:hAnsi="Times New Roman" w:cs="Times New Roman"/>
        </w:rPr>
        <w:t xml:space="preserve">a </w:t>
      </w:r>
      <w:r w:rsidRPr="00AC00D3">
        <w:rPr>
          <w:rFonts w:ascii="Times New Roman" w:hAnsi="Times New Roman" w:cs="Times New Roman"/>
        </w:rPr>
        <w:t>preparation fee for a records search that d</w:t>
      </w:r>
      <w:r w:rsidR="001A19C0" w:rsidRPr="00AC00D3">
        <w:rPr>
          <w:rFonts w:ascii="Times New Roman" w:hAnsi="Times New Roman" w:cs="Times New Roman"/>
        </w:rPr>
        <w:t>oes</w:t>
      </w:r>
      <w:r w:rsidRPr="00AC00D3">
        <w:rPr>
          <w:rFonts w:ascii="Times New Roman" w:hAnsi="Times New Roman" w:cs="Times New Roman"/>
        </w:rPr>
        <w:t xml:space="preserve"> not result in any records being provided. </w:t>
      </w:r>
      <w:r w:rsidR="00AC00D3" w:rsidRPr="00AC00D3">
        <w:rPr>
          <w:rFonts w:ascii="Times New Roman" w:hAnsi="Times New Roman" w:cs="Times New Roman"/>
        </w:rPr>
        <w:t xml:space="preserve">Plaintiff Hollabaugh, a patient, submitted through her attorney a medical records request to a health care provider. The provider had contracted with defendant MRO to fulfill </w:t>
      </w:r>
      <w:r w:rsidR="00DA4029">
        <w:rPr>
          <w:rFonts w:ascii="Times New Roman" w:hAnsi="Times New Roman" w:cs="Times New Roman"/>
        </w:rPr>
        <w:t>such</w:t>
      </w:r>
      <w:r w:rsidR="00AC00D3" w:rsidRPr="00AC00D3">
        <w:rPr>
          <w:rFonts w:ascii="Times New Roman" w:hAnsi="Times New Roman" w:cs="Times New Roman"/>
        </w:rPr>
        <w:t xml:space="preserve"> requests. MRO did not produce any records, but billed Hollabaugh’s attorney a </w:t>
      </w:r>
      <w:r w:rsidR="00AC00D3">
        <w:rPr>
          <w:rFonts w:ascii="Times New Roman" w:hAnsi="Times New Roman" w:cs="Times New Roman"/>
        </w:rPr>
        <w:t xml:space="preserve">preparation </w:t>
      </w:r>
      <w:r w:rsidR="00AC00D3" w:rsidRPr="00AC00D3">
        <w:rPr>
          <w:rFonts w:ascii="Times New Roman" w:hAnsi="Times New Roman" w:cs="Times New Roman"/>
        </w:rPr>
        <w:t>fee of $22.88, which is the maximum amount allowed under the Maryland Medical Records Act (</w:t>
      </w:r>
      <w:r w:rsidR="00AC00D3" w:rsidRPr="00AC00D3">
        <w:rPr>
          <w:rFonts w:ascii="Times New Roman" w:hAnsi="Times New Roman" w:cs="Times New Roman"/>
          <w:i/>
          <w:iCs/>
        </w:rPr>
        <w:t>see</w:t>
      </w:r>
      <w:r w:rsidR="00AC00D3" w:rsidRPr="00AC00D3">
        <w:rPr>
          <w:rFonts w:ascii="Times New Roman" w:hAnsi="Times New Roman" w:cs="Times New Roman"/>
        </w:rPr>
        <w:t xml:space="preserve"> Md. Code Ann., Health-General, §4-301through 4-310).</w:t>
      </w:r>
    </w:p>
    <w:p w14:paraId="0A65C27A" w14:textId="3A652626" w:rsidR="00BC6EFD" w:rsidRPr="00AC00D3" w:rsidRDefault="00AC00D3" w:rsidP="00BC6EFD">
      <w:pPr>
        <w:jc w:val="both"/>
        <w:rPr>
          <w:rFonts w:ascii="Times New Roman" w:hAnsi="Times New Roman" w:cs="Times New Roman"/>
        </w:rPr>
      </w:pPr>
      <w:r w:rsidRPr="00AC00D3">
        <w:rPr>
          <w:rFonts w:ascii="Times New Roman" w:hAnsi="Times New Roman" w:cs="Times New Roman"/>
        </w:rPr>
        <w:tab/>
        <w:t xml:space="preserve">MRO argued that </w:t>
      </w:r>
      <w:r>
        <w:rPr>
          <w:rFonts w:ascii="Times New Roman" w:hAnsi="Times New Roman" w:cs="Times New Roman"/>
        </w:rPr>
        <w:t xml:space="preserve">this charge was proper because the preparation fee covers any attempted retrieval of medical records. </w:t>
      </w:r>
      <w:r w:rsidR="0083187C">
        <w:rPr>
          <w:rFonts w:ascii="Times New Roman" w:hAnsi="Times New Roman" w:cs="Times New Roman"/>
        </w:rPr>
        <w:t xml:space="preserve">The Supreme Court disagreed with MRO, the trial </w:t>
      </w:r>
      <w:r w:rsidR="003E7A7C">
        <w:rPr>
          <w:rFonts w:ascii="Times New Roman" w:hAnsi="Times New Roman" w:cs="Times New Roman"/>
        </w:rPr>
        <w:t>court,</w:t>
      </w:r>
      <w:r w:rsidR="0083187C">
        <w:rPr>
          <w:rFonts w:ascii="Times New Roman" w:hAnsi="Times New Roman" w:cs="Times New Roman"/>
        </w:rPr>
        <w:t xml:space="preserve"> and the Appellate Court of Maryland (formerly the Court of Special Appeals), stating that the Medical Records Act “allows that [preparation] fee to be charged only when the health care provider actually retrieves and prepares records.” </w:t>
      </w:r>
      <w:r w:rsidR="00BC6EFD">
        <w:rPr>
          <w:rFonts w:ascii="Times New Roman" w:hAnsi="Times New Roman" w:cs="Times New Roman"/>
        </w:rPr>
        <w:t xml:space="preserve">With this question of law having been resolved, the </w:t>
      </w:r>
      <w:r w:rsidR="00BC6EFD" w:rsidRPr="0097629F">
        <w:rPr>
          <w:rFonts w:ascii="Times New Roman" w:hAnsi="Times New Roman" w:cs="Times New Roman"/>
          <w:i/>
          <w:iCs/>
        </w:rPr>
        <w:t>Hollabaugh</w:t>
      </w:r>
      <w:r w:rsidR="00BC6EFD">
        <w:rPr>
          <w:rFonts w:ascii="Times New Roman" w:hAnsi="Times New Roman" w:cs="Times New Roman"/>
        </w:rPr>
        <w:t xml:space="preserve"> case, which is a putative class action against MRO, now returns to the trial court.</w:t>
      </w:r>
    </w:p>
    <w:p w14:paraId="57A67128" w14:textId="0B4DE701" w:rsidR="0083187C" w:rsidRDefault="00DA4029" w:rsidP="00043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6EFD">
        <w:rPr>
          <w:rFonts w:ascii="Times New Roman" w:hAnsi="Times New Roman" w:cs="Times New Roman"/>
        </w:rPr>
        <w:t>This ruling comes a</w:t>
      </w:r>
      <w:r>
        <w:rPr>
          <w:rFonts w:ascii="Times New Roman" w:hAnsi="Times New Roman" w:cs="Times New Roman"/>
        </w:rPr>
        <w:t xml:space="preserve">t a time when physicians are being tasked with greater and more </w:t>
      </w:r>
      <w:r w:rsidR="003E10B7">
        <w:rPr>
          <w:rFonts w:ascii="Times New Roman" w:hAnsi="Times New Roman" w:cs="Times New Roman"/>
        </w:rPr>
        <w:t>time-consuming</w:t>
      </w:r>
      <w:r>
        <w:rPr>
          <w:rFonts w:ascii="Times New Roman" w:hAnsi="Times New Roman" w:cs="Times New Roman"/>
        </w:rPr>
        <w:t xml:space="preserve"> administrative tasks</w:t>
      </w:r>
      <w:r w:rsidR="008C2044">
        <w:rPr>
          <w:rFonts w:ascii="Times New Roman" w:hAnsi="Times New Roman" w:cs="Times New Roman"/>
        </w:rPr>
        <w:t xml:space="preserve"> and </w:t>
      </w:r>
      <w:r w:rsidR="00391A78">
        <w:rPr>
          <w:rFonts w:ascii="Times New Roman" w:hAnsi="Times New Roman" w:cs="Times New Roman"/>
        </w:rPr>
        <w:t xml:space="preserve">well-documented </w:t>
      </w:r>
      <w:r w:rsidR="008C2044">
        <w:rPr>
          <w:rFonts w:ascii="Times New Roman" w:hAnsi="Times New Roman" w:cs="Times New Roman"/>
        </w:rPr>
        <w:t xml:space="preserve">battles with health insurers such as </w:t>
      </w:r>
      <w:r w:rsidR="00672B6F">
        <w:rPr>
          <w:rFonts w:ascii="Times New Roman" w:hAnsi="Times New Roman" w:cs="Times New Roman"/>
        </w:rPr>
        <w:t xml:space="preserve">low payment rates, </w:t>
      </w:r>
      <w:r w:rsidR="00BC6EFD">
        <w:rPr>
          <w:rFonts w:ascii="Times New Roman" w:hAnsi="Times New Roman" w:cs="Times New Roman"/>
        </w:rPr>
        <w:t xml:space="preserve">prior </w:t>
      </w:r>
      <w:r w:rsidR="003E7A7C">
        <w:rPr>
          <w:rFonts w:ascii="Times New Roman" w:hAnsi="Times New Roman" w:cs="Times New Roman"/>
        </w:rPr>
        <w:t>authorization,</w:t>
      </w:r>
      <w:r w:rsidR="00C00032">
        <w:rPr>
          <w:rFonts w:ascii="Times New Roman" w:hAnsi="Times New Roman" w:cs="Times New Roman"/>
        </w:rPr>
        <w:t xml:space="preserve"> and </w:t>
      </w:r>
      <w:r w:rsidR="0064510B">
        <w:rPr>
          <w:rFonts w:ascii="Times New Roman" w:hAnsi="Times New Roman" w:cs="Times New Roman"/>
        </w:rPr>
        <w:t>down-coding</w:t>
      </w:r>
      <w:r w:rsidR="00BC6EFD">
        <w:rPr>
          <w:rFonts w:ascii="Times New Roman" w:hAnsi="Times New Roman" w:cs="Times New Roman"/>
        </w:rPr>
        <w:t xml:space="preserve">. To not be compensated for the task of searching for </w:t>
      </w:r>
      <w:r w:rsidR="00D24B0A">
        <w:rPr>
          <w:rFonts w:ascii="Times New Roman" w:hAnsi="Times New Roman" w:cs="Times New Roman"/>
        </w:rPr>
        <w:t xml:space="preserve">patient </w:t>
      </w:r>
      <w:r w:rsidR="00BC6EFD">
        <w:rPr>
          <w:rFonts w:ascii="Times New Roman" w:hAnsi="Times New Roman" w:cs="Times New Roman"/>
        </w:rPr>
        <w:t>records, even when they are found to not exist, only</w:t>
      </w:r>
      <w:r w:rsidR="00721275">
        <w:rPr>
          <w:rFonts w:ascii="Times New Roman" w:hAnsi="Times New Roman" w:cs="Times New Roman"/>
        </w:rPr>
        <w:t xml:space="preserve"> </w:t>
      </w:r>
      <w:r w:rsidR="0061317A">
        <w:rPr>
          <w:rFonts w:ascii="Times New Roman" w:hAnsi="Times New Roman" w:cs="Times New Roman"/>
        </w:rPr>
        <w:t xml:space="preserve">raises the </w:t>
      </w:r>
      <w:r w:rsidR="0064510B">
        <w:rPr>
          <w:rFonts w:ascii="Times New Roman" w:hAnsi="Times New Roman" w:cs="Times New Roman"/>
        </w:rPr>
        <w:t xml:space="preserve">financial </w:t>
      </w:r>
      <w:r w:rsidR="0061317A">
        <w:rPr>
          <w:rFonts w:ascii="Times New Roman" w:hAnsi="Times New Roman" w:cs="Times New Roman"/>
        </w:rPr>
        <w:t>pressure on medical practices and their staff</w:t>
      </w:r>
      <w:r w:rsidR="00BC6EFD">
        <w:rPr>
          <w:rFonts w:ascii="Times New Roman" w:hAnsi="Times New Roman" w:cs="Times New Roman"/>
        </w:rPr>
        <w:t xml:space="preserve">. Normally, </w:t>
      </w:r>
      <w:r w:rsidR="0083187C">
        <w:rPr>
          <w:rFonts w:ascii="Times New Roman" w:hAnsi="Times New Roman" w:cs="Times New Roman"/>
        </w:rPr>
        <w:t xml:space="preserve">MedChi </w:t>
      </w:r>
      <w:r w:rsidR="00BC6EFD">
        <w:rPr>
          <w:rFonts w:ascii="Times New Roman" w:hAnsi="Times New Roman" w:cs="Times New Roman"/>
        </w:rPr>
        <w:t xml:space="preserve">would respond </w:t>
      </w:r>
      <w:r w:rsidR="0030210A">
        <w:rPr>
          <w:rFonts w:ascii="Times New Roman" w:hAnsi="Times New Roman" w:cs="Times New Roman"/>
        </w:rPr>
        <w:t xml:space="preserve">to such a ruling </w:t>
      </w:r>
      <w:r w:rsidR="0083187C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legislation</w:t>
      </w:r>
      <w:r w:rsidR="0083187C">
        <w:rPr>
          <w:rFonts w:ascii="Times New Roman" w:hAnsi="Times New Roman" w:cs="Times New Roman"/>
        </w:rPr>
        <w:t xml:space="preserve"> in the </w:t>
      </w:r>
      <w:r>
        <w:rPr>
          <w:rFonts w:ascii="Times New Roman" w:hAnsi="Times New Roman" w:cs="Times New Roman"/>
        </w:rPr>
        <w:t xml:space="preserve">next </w:t>
      </w:r>
      <w:r w:rsidR="0083187C">
        <w:rPr>
          <w:rFonts w:ascii="Times New Roman" w:hAnsi="Times New Roman" w:cs="Times New Roman"/>
        </w:rPr>
        <w:t>Maryland General Assembly</w:t>
      </w:r>
      <w:r>
        <w:rPr>
          <w:rFonts w:ascii="Times New Roman" w:hAnsi="Times New Roman" w:cs="Times New Roman"/>
        </w:rPr>
        <w:t xml:space="preserve"> Session</w:t>
      </w:r>
      <w:r w:rsidR="0083187C">
        <w:rPr>
          <w:rFonts w:ascii="Times New Roman" w:hAnsi="Times New Roman" w:cs="Times New Roman"/>
        </w:rPr>
        <w:t xml:space="preserve">. However, federal law (45 C.F.R. §164.524) governing medical records provides a similar restriction on charges for the retrieval of records, as the Supreme Court </w:t>
      </w:r>
      <w:r w:rsidR="00771D34">
        <w:rPr>
          <w:rFonts w:ascii="Times New Roman" w:hAnsi="Times New Roman" w:cs="Times New Roman"/>
        </w:rPr>
        <w:t xml:space="preserve">of Maryland </w:t>
      </w:r>
      <w:r w:rsidR="0083187C">
        <w:rPr>
          <w:rFonts w:ascii="Times New Roman" w:hAnsi="Times New Roman" w:cs="Times New Roman"/>
        </w:rPr>
        <w:t xml:space="preserve">noted in its decision. Thus, absent action at the federal level, an attempted State legislative fix </w:t>
      </w:r>
      <w:r w:rsidR="007F1DB3">
        <w:rPr>
          <w:rFonts w:ascii="Times New Roman" w:hAnsi="Times New Roman" w:cs="Times New Roman"/>
        </w:rPr>
        <w:t xml:space="preserve">that allows a preparation fee to be charged even without </w:t>
      </w:r>
      <w:r w:rsidR="00FA0FD2">
        <w:rPr>
          <w:rFonts w:ascii="Times New Roman" w:hAnsi="Times New Roman" w:cs="Times New Roman"/>
        </w:rPr>
        <w:t xml:space="preserve">records being found </w:t>
      </w:r>
      <w:r w:rsidR="0083187C">
        <w:rPr>
          <w:rFonts w:ascii="Times New Roman" w:hAnsi="Times New Roman" w:cs="Times New Roman"/>
        </w:rPr>
        <w:t xml:space="preserve">would face </w:t>
      </w:r>
      <w:r w:rsidR="00FA0FD2">
        <w:rPr>
          <w:rFonts w:ascii="Times New Roman" w:hAnsi="Times New Roman" w:cs="Times New Roman"/>
        </w:rPr>
        <w:t xml:space="preserve">legal </w:t>
      </w:r>
      <w:r w:rsidR="0083187C">
        <w:rPr>
          <w:rFonts w:ascii="Times New Roman" w:hAnsi="Times New Roman" w:cs="Times New Roman"/>
        </w:rPr>
        <w:t xml:space="preserve">challenges </w:t>
      </w:r>
      <w:r w:rsidR="007F1DB3">
        <w:rPr>
          <w:rFonts w:ascii="Times New Roman" w:hAnsi="Times New Roman" w:cs="Times New Roman"/>
        </w:rPr>
        <w:t>as</w:t>
      </w:r>
      <w:r w:rsidR="0083187C">
        <w:rPr>
          <w:rFonts w:ascii="Times New Roman" w:hAnsi="Times New Roman" w:cs="Times New Roman"/>
        </w:rPr>
        <w:t xml:space="preserve"> being in conflict with federal law.</w:t>
      </w:r>
    </w:p>
    <w:p w14:paraId="460C3E01" w14:textId="52BC7374" w:rsidR="0083187C" w:rsidRDefault="00DA4029" w:rsidP="00043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sum, providers who conduct searches for medical records in response to patient requests which yield no records </w:t>
      </w:r>
      <w:r w:rsidR="00FA0FD2">
        <w:rPr>
          <w:rFonts w:ascii="Times New Roman" w:hAnsi="Times New Roman" w:cs="Times New Roman"/>
        </w:rPr>
        <w:t>would be wise</w:t>
      </w:r>
      <w:r w:rsidR="007248CD">
        <w:rPr>
          <w:rFonts w:ascii="Times New Roman" w:hAnsi="Times New Roman" w:cs="Times New Roman"/>
        </w:rPr>
        <w:t xml:space="preserve"> </w:t>
      </w:r>
      <w:r w:rsidR="00574C44">
        <w:rPr>
          <w:rFonts w:ascii="Times New Roman" w:hAnsi="Times New Roman" w:cs="Times New Roman"/>
        </w:rPr>
        <w:t>not to</w:t>
      </w:r>
      <w:r w:rsidR="007248CD">
        <w:rPr>
          <w:rFonts w:ascii="Times New Roman" w:hAnsi="Times New Roman" w:cs="Times New Roman"/>
        </w:rPr>
        <w:t xml:space="preserve"> seek</w:t>
      </w:r>
      <w:r>
        <w:rPr>
          <w:rFonts w:ascii="Times New Roman" w:hAnsi="Times New Roman" w:cs="Times New Roman"/>
        </w:rPr>
        <w:t xml:space="preserve"> preparation</w:t>
      </w:r>
      <w:r w:rsidR="003E4000">
        <w:rPr>
          <w:rFonts w:ascii="Times New Roman" w:hAnsi="Times New Roman" w:cs="Times New Roman"/>
        </w:rPr>
        <w:t xml:space="preserve"> fees</w:t>
      </w:r>
      <w:r>
        <w:rPr>
          <w:rFonts w:ascii="Times New Roman" w:hAnsi="Times New Roman" w:cs="Times New Roman"/>
        </w:rPr>
        <w:t xml:space="preserve"> from that patient under the </w:t>
      </w:r>
      <w:r w:rsidR="007248CD">
        <w:rPr>
          <w:rFonts w:ascii="Times New Roman" w:hAnsi="Times New Roman" w:cs="Times New Roman"/>
        </w:rPr>
        <w:t xml:space="preserve">Supreme Court’s recent interpretation of the </w:t>
      </w:r>
      <w:r>
        <w:rPr>
          <w:rFonts w:ascii="Times New Roman" w:hAnsi="Times New Roman" w:cs="Times New Roman"/>
        </w:rPr>
        <w:t>Maryland Medical Records Act.</w:t>
      </w:r>
      <w:r w:rsidR="0083187C">
        <w:rPr>
          <w:rFonts w:ascii="Times New Roman" w:hAnsi="Times New Roman" w:cs="Times New Roman"/>
        </w:rPr>
        <w:t xml:space="preserve"> </w:t>
      </w:r>
    </w:p>
    <w:p w14:paraId="5486450D" w14:textId="0D0A4F78" w:rsidR="003C5021" w:rsidRPr="00AC00D3" w:rsidRDefault="003C5021" w:rsidP="00043E97">
      <w:pPr>
        <w:jc w:val="both"/>
        <w:rPr>
          <w:rFonts w:ascii="Times New Roman" w:hAnsi="Times New Roman" w:cs="Times New Roman"/>
        </w:rPr>
      </w:pPr>
      <w:r w:rsidRPr="008F2CAB">
        <w:rPr>
          <w:rFonts w:ascii="Times New Roman" w:hAnsi="Times New Roman" w:cs="Times New Roman"/>
          <w:i/>
          <w:iCs/>
        </w:rPr>
        <w:t xml:space="preserve">NOTE: This article is </w:t>
      </w:r>
      <w:r w:rsidR="008F2CAB">
        <w:rPr>
          <w:rFonts w:ascii="Times New Roman" w:hAnsi="Times New Roman" w:cs="Times New Roman"/>
          <w:i/>
          <w:iCs/>
        </w:rPr>
        <w:t xml:space="preserve">informational only and is </w:t>
      </w:r>
      <w:r w:rsidRPr="008F2CAB">
        <w:rPr>
          <w:rFonts w:ascii="Times New Roman" w:hAnsi="Times New Roman" w:cs="Times New Roman"/>
          <w:i/>
          <w:iCs/>
        </w:rPr>
        <w:t>not a substitute for professional legal advice. It is essential to consult with a qualified attorney regarding any specific legal questions or concerns you may have</w:t>
      </w:r>
      <w:r w:rsidR="008F2CAB">
        <w:rPr>
          <w:rFonts w:ascii="Times New Roman" w:hAnsi="Times New Roman" w:cs="Times New Roman"/>
        </w:rPr>
        <w:t>.</w:t>
      </w:r>
    </w:p>
    <w:sectPr w:rsidR="003C5021" w:rsidRPr="00AC00D3" w:rsidSect="00081EA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97"/>
    <w:rsid w:val="00043E97"/>
    <w:rsid w:val="00081EAE"/>
    <w:rsid w:val="00171049"/>
    <w:rsid w:val="001A19C0"/>
    <w:rsid w:val="002405F1"/>
    <w:rsid w:val="0030210A"/>
    <w:rsid w:val="0037428A"/>
    <w:rsid w:val="00391A78"/>
    <w:rsid w:val="003C5021"/>
    <w:rsid w:val="003E10B7"/>
    <w:rsid w:val="003E4000"/>
    <w:rsid w:val="003E7A7C"/>
    <w:rsid w:val="00461FF1"/>
    <w:rsid w:val="00484DBB"/>
    <w:rsid w:val="004F6069"/>
    <w:rsid w:val="005726A3"/>
    <w:rsid w:val="00574C44"/>
    <w:rsid w:val="0061317A"/>
    <w:rsid w:val="0064510B"/>
    <w:rsid w:val="00672B6F"/>
    <w:rsid w:val="006F305B"/>
    <w:rsid w:val="00721275"/>
    <w:rsid w:val="007248CD"/>
    <w:rsid w:val="00771D34"/>
    <w:rsid w:val="007F1DB3"/>
    <w:rsid w:val="008023B9"/>
    <w:rsid w:val="0083187C"/>
    <w:rsid w:val="008C0ABF"/>
    <w:rsid w:val="008C2044"/>
    <w:rsid w:val="008F2CAB"/>
    <w:rsid w:val="00925C17"/>
    <w:rsid w:val="0097629F"/>
    <w:rsid w:val="009A469C"/>
    <w:rsid w:val="009C4166"/>
    <w:rsid w:val="009C741A"/>
    <w:rsid w:val="00A61380"/>
    <w:rsid w:val="00A912B4"/>
    <w:rsid w:val="00AC00D3"/>
    <w:rsid w:val="00BC4503"/>
    <w:rsid w:val="00BC6EFD"/>
    <w:rsid w:val="00BF40B7"/>
    <w:rsid w:val="00C00032"/>
    <w:rsid w:val="00CD57AF"/>
    <w:rsid w:val="00D24B0A"/>
    <w:rsid w:val="00D86846"/>
    <w:rsid w:val="00DA4029"/>
    <w:rsid w:val="00E3639C"/>
    <w:rsid w:val="00F108C0"/>
    <w:rsid w:val="00F26044"/>
    <w:rsid w:val="00F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5A1A"/>
  <w15:chartTrackingRefBased/>
  <w15:docId w15:val="{24A93F46-B0FD-442A-B290-424E0069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cd09d-9403-4fd3-97c6-af98ebf16052">
      <Terms xmlns="http://schemas.microsoft.com/office/infopath/2007/PartnerControls"/>
    </lcf76f155ced4ddcb4097134ff3c332f>
    <TaxCatchAll xmlns="bcee47e5-e0bb-4d01-8422-5d9f71bd75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49F698C45F438472E53F6E0E9745" ma:contentTypeVersion="14" ma:contentTypeDescription="Create a new document." ma:contentTypeScope="" ma:versionID="3a5daa495330d843f8fc7b643fdce1bb">
  <xsd:schema xmlns:xsd="http://www.w3.org/2001/XMLSchema" xmlns:xs="http://www.w3.org/2001/XMLSchema" xmlns:p="http://schemas.microsoft.com/office/2006/metadata/properties" xmlns:ns2="500cd09d-9403-4fd3-97c6-af98ebf16052" xmlns:ns3="bcee47e5-e0bb-4d01-8422-5d9f71bd754d" targetNamespace="http://schemas.microsoft.com/office/2006/metadata/properties" ma:root="true" ma:fieldsID="18f9b2c35fb421a8ddcb8f6679f6ecc4" ns2:_="" ns3:_="">
    <xsd:import namespace="500cd09d-9403-4fd3-97c6-af98ebf16052"/>
    <xsd:import namespace="bcee47e5-e0bb-4d01-8422-5d9f71bd7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d09d-9403-4fd3-97c6-af98ebf16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9d1e08-aa7e-40df-8b3c-5d8527579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47e5-e0bb-4d01-8422-5d9f71bd75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93a880-0159-4f58-84ef-6e305ab480aa}" ma:internalName="TaxCatchAll" ma:showField="CatchAllData" ma:web="bcee47e5-e0bb-4d01-8422-5d9f71bd7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627B5-5F55-47C3-936C-0BC947064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6AC05-C22C-48C4-8AAA-F779AE143A3A}">
  <ds:schemaRefs>
    <ds:schemaRef ds:uri="http://schemas.microsoft.com/office/2006/metadata/properties"/>
    <ds:schemaRef ds:uri="http://schemas.microsoft.com/office/infopath/2007/PartnerControls"/>
    <ds:schemaRef ds:uri="500cd09d-9403-4fd3-97c6-af98ebf16052"/>
    <ds:schemaRef ds:uri="bcee47e5-e0bb-4d01-8422-5d9f71bd754d"/>
  </ds:schemaRefs>
</ds:datastoreItem>
</file>

<file path=customXml/itemProps3.xml><?xml version="1.0" encoding="utf-8"?>
<ds:datastoreItem xmlns:ds="http://schemas.openxmlformats.org/officeDocument/2006/customXml" ds:itemID="{8750221E-1554-4EE9-8099-09081F266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d09d-9403-4fd3-97c6-af98ebf16052"/>
    <ds:schemaRef ds:uri="bcee47e5-e0bb-4d01-8422-5d9f71bd7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Wise</dc:creator>
  <cp:keywords/>
  <dc:description/>
  <cp:lastModifiedBy>Steve Wise</cp:lastModifiedBy>
  <cp:revision>5</cp:revision>
  <cp:lastPrinted>2025-08-20T15:45:00Z</cp:lastPrinted>
  <dcterms:created xsi:type="dcterms:W3CDTF">2025-08-20T15:44:00Z</dcterms:created>
  <dcterms:modified xsi:type="dcterms:W3CDTF">2025-08-20T15:48:00Z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0x010100DDDA49F698C45F438472E53F6E0E9745</vt:lpwstr>
  </property>
</Properties>
</file>