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D52843" w14:textId="77777777" w:rsidR="00A70961" w:rsidRDefault="00A70961">
      <w:pPr>
        <w:ind w:right="720"/>
        <w:jc w:val="center"/>
      </w:pPr>
    </w:p>
    <w:p w14:paraId="487677CB" w14:textId="77777777" w:rsidR="00A70961" w:rsidRDefault="00A70961">
      <w:pPr>
        <w:jc w:val="center"/>
        <w:rPr>
          <w:b/>
        </w:rPr>
      </w:pPr>
    </w:p>
    <w:p w14:paraId="03DE7E7E" w14:textId="77777777" w:rsidR="00A70961" w:rsidRDefault="00A70961">
      <w:pPr>
        <w:jc w:val="center"/>
        <w:rPr>
          <w:b/>
        </w:rPr>
      </w:pPr>
    </w:p>
    <w:p w14:paraId="09A74FCA" w14:textId="77777777" w:rsidR="00A70961" w:rsidRDefault="00A70961">
      <w:pPr>
        <w:jc w:val="center"/>
        <w:rPr>
          <w:b/>
        </w:rPr>
      </w:pPr>
    </w:p>
    <w:p w14:paraId="72ACABB5" w14:textId="77777777" w:rsidR="00A70961" w:rsidRDefault="00A70961">
      <w:pPr>
        <w:rPr>
          <w:b/>
        </w:rPr>
      </w:pPr>
    </w:p>
    <w:p w14:paraId="654428DA" w14:textId="77777777" w:rsidR="00A70961" w:rsidRDefault="00A70961">
      <w:pPr>
        <w:rPr>
          <w:b/>
        </w:rPr>
      </w:pPr>
    </w:p>
    <w:p w14:paraId="02E014D5" w14:textId="77777777" w:rsidR="00A70961" w:rsidRDefault="00A70961">
      <w:pPr>
        <w:jc w:val="center"/>
        <w:rPr>
          <w:b/>
        </w:rPr>
      </w:pPr>
    </w:p>
    <w:p w14:paraId="698BD67D" w14:textId="77777777" w:rsidR="00A70961" w:rsidRDefault="00763C4F">
      <w:pPr>
        <w:jc w:val="center"/>
      </w:pPr>
      <w:r>
        <w:rPr>
          <w:b/>
        </w:rPr>
        <w:t>Maryland Commission on Health Equity - Data Advisory Committee and AHEAD</w:t>
      </w:r>
      <w:r>
        <w:t xml:space="preserve"> </w:t>
      </w:r>
    </w:p>
    <w:p w14:paraId="34B07293" w14:textId="77777777" w:rsidR="00A70961" w:rsidRDefault="00A70961"/>
    <w:p w14:paraId="702830DD" w14:textId="77777777" w:rsidR="00A70961" w:rsidRDefault="00763C4F">
      <w:r>
        <w:rPr>
          <w:u w:val="single"/>
        </w:rPr>
        <w:t>Overview</w:t>
      </w:r>
    </w:p>
    <w:p w14:paraId="50E788B8" w14:textId="77777777" w:rsidR="00A70961" w:rsidRDefault="00763C4F">
      <w:pPr>
        <w:shd w:val="clear" w:color="auto" w:fill="FFFFFF"/>
        <w:spacing w:before="220" w:after="220"/>
        <w:rPr>
          <w:color w:val="202124"/>
        </w:rPr>
      </w:pPr>
      <w:r>
        <w:rPr>
          <w:color w:val="202124"/>
        </w:rPr>
        <w:t xml:space="preserve">The Maryland Department of Health and the Maryland Commission on Health Equity (MCHE) are forming an advisory group (the Data Advisory Committee). The MCHE is required under </w:t>
      </w:r>
      <w:hyperlink r:id="rId6">
        <w:r>
          <w:rPr>
            <w:color w:val="1155CC"/>
            <w:u w:val="single"/>
          </w:rPr>
          <w:t xml:space="preserve">HB1333 </w:t>
        </w:r>
      </w:hyperlink>
      <w:r>
        <w:rPr>
          <w:color w:val="202124"/>
        </w:rPr>
        <w:t>to develop and monitor a State Health Equity Plan (SHEP). Additionally, the MCHE has the authority to establish an advisory committee to help carry out additional requirements under the legislation.</w:t>
      </w:r>
    </w:p>
    <w:p w14:paraId="5D74CD30" w14:textId="77777777" w:rsidR="00A70961" w:rsidRDefault="00763C4F">
      <w:pPr>
        <w:shd w:val="clear" w:color="auto" w:fill="FFFFFF"/>
        <w:spacing w:before="220" w:after="220"/>
        <w:rPr>
          <w:color w:val="202124"/>
        </w:rPr>
      </w:pPr>
      <w:r>
        <w:rPr>
          <w:color w:val="202124"/>
        </w:rPr>
        <w:t xml:space="preserve">Members of the Data Advisory Committee (DAC) will help create the State Health Equity Plan under the States Advancing All-Payer Health Equity Approaches and Development (AHEAD) Model. The model is designed to improve health care quality and equity while lowering costs for all health care payers including Medicare, Medicaid and private insurers. The DAC will advise on the population health, quality and equity measures and targets required for the State Health Equity Plan as part of the AHEAD Model. </w:t>
      </w:r>
      <w:r>
        <w:t xml:space="preserve">Maryland will select measures based on a set of options provided by the </w:t>
      </w:r>
      <w:r>
        <w:rPr>
          <w:highlight w:val="white"/>
        </w:rPr>
        <w:t>Center for Medicare and Medicaid Innovation (CMMI)</w:t>
      </w:r>
      <w:r>
        <w:t xml:space="preserve">. The measures appear in the AHEAD Measures section below. </w:t>
      </w:r>
    </w:p>
    <w:p w14:paraId="64F09C2D" w14:textId="77777777" w:rsidR="00A70961" w:rsidRDefault="00763C4F">
      <w:pPr>
        <w:shd w:val="clear" w:color="auto" w:fill="FFFFFF"/>
        <w:spacing w:before="220" w:after="220"/>
      </w:pPr>
      <w:r>
        <w:rPr>
          <w:color w:val="202124"/>
        </w:rPr>
        <w:t xml:space="preserve">We are looking for individuals who have been patients and consumers of health care to join the Data Advisory Committee. We are also interested in individuals who have experience with measure development (qualitative and quantitative), population health analytics and/or health equity target-setting. </w:t>
      </w:r>
    </w:p>
    <w:p w14:paraId="7DA46035" w14:textId="77777777" w:rsidR="00A70961" w:rsidRDefault="00763C4F">
      <w:r>
        <w:rPr>
          <w:u w:val="single"/>
        </w:rPr>
        <w:t>AHEAD Measures</w:t>
      </w:r>
    </w:p>
    <w:p w14:paraId="260BC6BE" w14:textId="77777777" w:rsidR="00A70961" w:rsidRDefault="00763C4F">
      <w:r>
        <w:t>For the statewide measures, MD will select one measure from each of the six domains listed in Table 1 below. For the sixth domain, the state will need to identify at least one focus area and related measure. Domains 1-5 are called the “core” set. Domain 6 is called “optional</w:t>
      </w:r>
      <w:proofErr w:type="gramStart"/>
      <w:r>
        <w:t>”</w:t>
      </w:r>
      <w:proofErr w:type="gramEnd"/>
      <w:r>
        <w:t xml:space="preserve"> but it is required. Performance targets must be set for the </w:t>
      </w:r>
      <w:proofErr w:type="gramStart"/>
      <w:r>
        <w:t>measures</w:t>
      </w:r>
      <w:proofErr w:type="gramEnd"/>
      <w:r>
        <w:t xml:space="preserve"> and the state must identify one equity target. </w:t>
      </w:r>
      <w:r>
        <w:rPr>
          <w:b/>
          <w:i/>
        </w:rPr>
        <w:t>MD’s statewide population health, quality and equity measures are due to CMMI by July 1, 2025.</w:t>
      </w:r>
      <w:r>
        <w:t xml:space="preserve"> </w:t>
      </w:r>
    </w:p>
    <w:p w14:paraId="2CD439AC" w14:textId="77777777" w:rsidR="00A70961" w:rsidRDefault="00A70961"/>
    <w:p w14:paraId="64B53C5F" w14:textId="77777777" w:rsidR="00A70961" w:rsidRDefault="00763C4F">
      <w:pPr>
        <w:rPr>
          <w:i/>
        </w:rPr>
      </w:pPr>
      <w:r>
        <w:rPr>
          <w:i/>
        </w:rPr>
        <w:t>Table 1 - Statewide Population Health, Quality and Equity Measures</w:t>
      </w:r>
    </w:p>
    <w:tbl>
      <w:tblPr>
        <w:tblStyle w:val="a"/>
        <w:tblW w:w="9480"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2940"/>
        <w:gridCol w:w="6015"/>
      </w:tblGrid>
      <w:tr w:rsidR="00A70961" w14:paraId="4A5B3695" w14:textId="77777777">
        <w:tc>
          <w:tcPr>
            <w:tcW w:w="525" w:type="dxa"/>
            <w:shd w:val="clear" w:color="auto" w:fill="B7B7B7"/>
            <w:tcMar>
              <w:top w:w="100" w:type="dxa"/>
              <w:left w:w="100" w:type="dxa"/>
              <w:bottom w:w="100" w:type="dxa"/>
              <w:right w:w="100" w:type="dxa"/>
            </w:tcMar>
          </w:tcPr>
          <w:p w14:paraId="17D9EDE4" w14:textId="77777777" w:rsidR="00A70961" w:rsidRDefault="00A70961">
            <w:pPr>
              <w:widowControl w:val="0"/>
              <w:spacing w:line="240" w:lineRule="auto"/>
            </w:pPr>
          </w:p>
        </w:tc>
        <w:tc>
          <w:tcPr>
            <w:tcW w:w="2940" w:type="dxa"/>
            <w:shd w:val="clear" w:color="auto" w:fill="B7B7B7"/>
            <w:tcMar>
              <w:top w:w="100" w:type="dxa"/>
              <w:left w:w="100" w:type="dxa"/>
              <w:bottom w:w="100" w:type="dxa"/>
              <w:right w:w="100" w:type="dxa"/>
            </w:tcMar>
          </w:tcPr>
          <w:p w14:paraId="1E881474" w14:textId="77777777" w:rsidR="00A70961" w:rsidRDefault="00763C4F">
            <w:pPr>
              <w:widowControl w:val="0"/>
              <w:spacing w:line="240" w:lineRule="auto"/>
            </w:pPr>
            <w:r>
              <w:t>Domain</w:t>
            </w:r>
          </w:p>
        </w:tc>
        <w:tc>
          <w:tcPr>
            <w:tcW w:w="6015" w:type="dxa"/>
            <w:shd w:val="clear" w:color="auto" w:fill="B7B7B7"/>
            <w:tcMar>
              <w:top w:w="100" w:type="dxa"/>
              <w:left w:w="100" w:type="dxa"/>
              <w:bottom w:w="100" w:type="dxa"/>
              <w:right w:w="100" w:type="dxa"/>
            </w:tcMar>
          </w:tcPr>
          <w:p w14:paraId="65856AB3" w14:textId="77777777" w:rsidR="00A70961" w:rsidRDefault="00763C4F">
            <w:pPr>
              <w:widowControl w:val="0"/>
              <w:spacing w:line="240" w:lineRule="auto"/>
            </w:pPr>
            <w:r>
              <w:t>Measure</w:t>
            </w:r>
          </w:p>
        </w:tc>
      </w:tr>
      <w:tr w:rsidR="00A70961" w14:paraId="4A178AF2" w14:textId="77777777">
        <w:tc>
          <w:tcPr>
            <w:tcW w:w="525" w:type="dxa"/>
            <w:shd w:val="clear" w:color="auto" w:fill="auto"/>
            <w:tcMar>
              <w:top w:w="100" w:type="dxa"/>
              <w:left w:w="100" w:type="dxa"/>
              <w:bottom w:w="100" w:type="dxa"/>
              <w:right w:w="100" w:type="dxa"/>
            </w:tcMar>
          </w:tcPr>
          <w:p w14:paraId="2849DF00" w14:textId="77777777" w:rsidR="00A70961" w:rsidRDefault="00763C4F">
            <w:pPr>
              <w:widowControl w:val="0"/>
              <w:spacing w:line="240" w:lineRule="auto"/>
            </w:pPr>
            <w:r>
              <w:t>1</w:t>
            </w:r>
          </w:p>
        </w:tc>
        <w:tc>
          <w:tcPr>
            <w:tcW w:w="2940" w:type="dxa"/>
            <w:shd w:val="clear" w:color="auto" w:fill="auto"/>
            <w:tcMar>
              <w:top w:w="100" w:type="dxa"/>
              <w:left w:w="100" w:type="dxa"/>
              <w:bottom w:w="100" w:type="dxa"/>
              <w:right w:w="100" w:type="dxa"/>
            </w:tcMar>
          </w:tcPr>
          <w:p w14:paraId="34FCD9EB" w14:textId="77777777" w:rsidR="00A70961" w:rsidRDefault="00763C4F">
            <w:pPr>
              <w:widowControl w:val="0"/>
              <w:spacing w:line="240" w:lineRule="auto"/>
            </w:pPr>
            <w:r>
              <w:t xml:space="preserve">Population Health </w:t>
            </w:r>
          </w:p>
        </w:tc>
        <w:tc>
          <w:tcPr>
            <w:tcW w:w="6015" w:type="dxa"/>
            <w:shd w:val="clear" w:color="auto" w:fill="auto"/>
            <w:tcMar>
              <w:top w:w="100" w:type="dxa"/>
              <w:left w:w="100" w:type="dxa"/>
              <w:bottom w:w="100" w:type="dxa"/>
              <w:right w:w="100" w:type="dxa"/>
            </w:tcMar>
          </w:tcPr>
          <w:p w14:paraId="6340DAD2" w14:textId="77777777" w:rsidR="00A70961" w:rsidRDefault="00763C4F">
            <w:pPr>
              <w:widowControl w:val="0"/>
              <w:spacing w:line="240" w:lineRule="auto"/>
            </w:pPr>
            <w:r>
              <w:t xml:space="preserve">CDC HRQOL– 4 Healthy Days Core Module </w:t>
            </w:r>
          </w:p>
        </w:tc>
      </w:tr>
      <w:tr w:rsidR="00A70961" w14:paraId="25F14C0B" w14:textId="77777777">
        <w:trPr>
          <w:trHeight w:val="420"/>
        </w:trPr>
        <w:tc>
          <w:tcPr>
            <w:tcW w:w="525" w:type="dxa"/>
            <w:vMerge w:val="restart"/>
            <w:shd w:val="clear" w:color="auto" w:fill="auto"/>
            <w:tcMar>
              <w:top w:w="100" w:type="dxa"/>
              <w:left w:w="100" w:type="dxa"/>
              <w:bottom w:w="100" w:type="dxa"/>
              <w:right w:w="100" w:type="dxa"/>
            </w:tcMar>
          </w:tcPr>
          <w:p w14:paraId="043A4BE5" w14:textId="77777777" w:rsidR="00A70961" w:rsidRDefault="00763C4F">
            <w:pPr>
              <w:widowControl w:val="0"/>
              <w:spacing w:line="240" w:lineRule="auto"/>
            </w:pPr>
            <w:r>
              <w:t>2</w:t>
            </w:r>
          </w:p>
        </w:tc>
        <w:tc>
          <w:tcPr>
            <w:tcW w:w="2940" w:type="dxa"/>
            <w:vMerge w:val="restart"/>
            <w:shd w:val="clear" w:color="auto" w:fill="auto"/>
            <w:tcMar>
              <w:top w:w="100" w:type="dxa"/>
              <w:left w:w="100" w:type="dxa"/>
              <w:bottom w:w="100" w:type="dxa"/>
              <w:right w:w="100" w:type="dxa"/>
            </w:tcMar>
          </w:tcPr>
          <w:p w14:paraId="4B7E4BD5" w14:textId="77777777" w:rsidR="00A70961" w:rsidRDefault="00763C4F">
            <w:pPr>
              <w:widowControl w:val="0"/>
              <w:spacing w:line="240" w:lineRule="auto"/>
            </w:pPr>
            <w:r>
              <w:t xml:space="preserve">Prevention &amp; Wellness </w:t>
            </w:r>
          </w:p>
          <w:p w14:paraId="47301AB2" w14:textId="77777777" w:rsidR="00A70961" w:rsidRDefault="00763C4F">
            <w:pPr>
              <w:widowControl w:val="0"/>
            </w:pPr>
            <w:r>
              <w:rPr>
                <w:i/>
              </w:rPr>
              <w:lastRenderedPageBreak/>
              <w:t>Choose at least 1 measure</w:t>
            </w:r>
          </w:p>
        </w:tc>
        <w:tc>
          <w:tcPr>
            <w:tcW w:w="6015" w:type="dxa"/>
            <w:shd w:val="clear" w:color="auto" w:fill="auto"/>
            <w:tcMar>
              <w:top w:w="100" w:type="dxa"/>
              <w:left w:w="100" w:type="dxa"/>
              <w:bottom w:w="100" w:type="dxa"/>
              <w:right w:w="100" w:type="dxa"/>
            </w:tcMar>
          </w:tcPr>
          <w:p w14:paraId="1B7D0338" w14:textId="77777777" w:rsidR="00A70961" w:rsidRDefault="00763C4F">
            <w:pPr>
              <w:widowControl w:val="0"/>
              <w:spacing w:line="240" w:lineRule="auto"/>
            </w:pPr>
            <w:r>
              <w:lastRenderedPageBreak/>
              <w:t xml:space="preserve">Colorectal Cancer Screening (CCS-AD) </w:t>
            </w:r>
          </w:p>
        </w:tc>
      </w:tr>
      <w:tr w:rsidR="00A70961" w14:paraId="305A200D" w14:textId="77777777">
        <w:trPr>
          <w:trHeight w:val="433"/>
        </w:trPr>
        <w:tc>
          <w:tcPr>
            <w:tcW w:w="525" w:type="dxa"/>
            <w:vMerge/>
            <w:shd w:val="clear" w:color="auto" w:fill="auto"/>
            <w:tcMar>
              <w:top w:w="100" w:type="dxa"/>
              <w:left w:w="100" w:type="dxa"/>
              <w:bottom w:w="100" w:type="dxa"/>
              <w:right w:w="100" w:type="dxa"/>
            </w:tcMar>
          </w:tcPr>
          <w:p w14:paraId="34FF0D86" w14:textId="77777777" w:rsidR="00A70961" w:rsidRDefault="00A70961">
            <w:pPr>
              <w:widowControl w:val="0"/>
              <w:spacing w:line="240" w:lineRule="auto"/>
            </w:pPr>
          </w:p>
        </w:tc>
        <w:tc>
          <w:tcPr>
            <w:tcW w:w="2940" w:type="dxa"/>
            <w:vMerge/>
            <w:shd w:val="clear" w:color="auto" w:fill="auto"/>
            <w:tcMar>
              <w:top w:w="100" w:type="dxa"/>
              <w:left w:w="100" w:type="dxa"/>
              <w:bottom w:w="100" w:type="dxa"/>
              <w:right w:w="100" w:type="dxa"/>
            </w:tcMar>
          </w:tcPr>
          <w:p w14:paraId="37B6AB1E" w14:textId="77777777" w:rsidR="00A70961" w:rsidRDefault="00A70961">
            <w:pPr>
              <w:widowControl w:val="0"/>
              <w:spacing w:line="240" w:lineRule="auto"/>
            </w:pPr>
          </w:p>
        </w:tc>
        <w:tc>
          <w:tcPr>
            <w:tcW w:w="6015" w:type="dxa"/>
            <w:shd w:val="clear" w:color="auto" w:fill="auto"/>
            <w:tcMar>
              <w:top w:w="100" w:type="dxa"/>
              <w:left w:w="100" w:type="dxa"/>
              <w:bottom w:w="100" w:type="dxa"/>
              <w:right w:w="100" w:type="dxa"/>
            </w:tcMar>
          </w:tcPr>
          <w:p w14:paraId="75CF64C7" w14:textId="77777777" w:rsidR="00A70961" w:rsidRDefault="00763C4F">
            <w:pPr>
              <w:widowControl w:val="0"/>
              <w:spacing w:line="240" w:lineRule="auto"/>
            </w:pPr>
            <w:r>
              <w:t xml:space="preserve">Breast Cancer Screening: Mammography (BCS-AD) </w:t>
            </w:r>
          </w:p>
        </w:tc>
      </w:tr>
      <w:tr w:rsidR="00A70961" w14:paraId="72AF50FF" w14:textId="77777777">
        <w:trPr>
          <w:trHeight w:val="420"/>
        </w:trPr>
        <w:tc>
          <w:tcPr>
            <w:tcW w:w="525" w:type="dxa"/>
            <w:vMerge w:val="restart"/>
            <w:shd w:val="clear" w:color="auto" w:fill="auto"/>
            <w:tcMar>
              <w:top w:w="100" w:type="dxa"/>
              <w:left w:w="100" w:type="dxa"/>
              <w:bottom w:w="100" w:type="dxa"/>
              <w:right w:w="100" w:type="dxa"/>
            </w:tcMar>
          </w:tcPr>
          <w:p w14:paraId="0C8C7302" w14:textId="77777777" w:rsidR="00A70961" w:rsidRDefault="00763C4F">
            <w:pPr>
              <w:widowControl w:val="0"/>
              <w:spacing w:line="240" w:lineRule="auto"/>
            </w:pPr>
            <w:r>
              <w:t>3</w:t>
            </w:r>
          </w:p>
        </w:tc>
        <w:tc>
          <w:tcPr>
            <w:tcW w:w="2940" w:type="dxa"/>
            <w:vMerge w:val="restart"/>
            <w:shd w:val="clear" w:color="auto" w:fill="auto"/>
            <w:tcMar>
              <w:top w:w="100" w:type="dxa"/>
              <w:left w:w="100" w:type="dxa"/>
              <w:bottom w:w="100" w:type="dxa"/>
              <w:right w:w="100" w:type="dxa"/>
            </w:tcMar>
          </w:tcPr>
          <w:p w14:paraId="0324D6DE" w14:textId="77777777" w:rsidR="00A70961" w:rsidRDefault="00763C4F">
            <w:pPr>
              <w:widowControl w:val="0"/>
              <w:spacing w:line="240" w:lineRule="auto"/>
            </w:pPr>
            <w:r>
              <w:t xml:space="preserve">Chronic Conditions </w:t>
            </w:r>
          </w:p>
          <w:p w14:paraId="3753AC89" w14:textId="77777777" w:rsidR="00A70961" w:rsidRDefault="00763C4F">
            <w:pPr>
              <w:widowControl w:val="0"/>
            </w:pPr>
            <w:r>
              <w:rPr>
                <w:i/>
              </w:rPr>
              <w:t>Choose at least 1 measure</w:t>
            </w:r>
          </w:p>
        </w:tc>
        <w:tc>
          <w:tcPr>
            <w:tcW w:w="6015" w:type="dxa"/>
            <w:shd w:val="clear" w:color="auto" w:fill="auto"/>
            <w:tcMar>
              <w:top w:w="100" w:type="dxa"/>
              <w:left w:w="100" w:type="dxa"/>
              <w:bottom w:w="100" w:type="dxa"/>
              <w:right w:w="100" w:type="dxa"/>
            </w:tcMar>
          </w:tcPr>
          <w:p w14:paraId="200ECBDB" w14:textId="77777777" w:rsidR="00A70961" w:rsidRDefault="00763C4F">
            <w:pPr>
              <w:widowControl w:val="0"/>
              <w:spacing w:line="240" w:lineRule="auto"/>
            </w:pPr>
            <w:r>
              <w:t xml:space="preserve">Controlling High Blood Pressure (CBP-AD) </w:t>
            </w:r>
          </w:p>
        </w:tc>
      </w:tr>
      <w:tr w:rsidR="00A70961" w14:paraId="0C626DC7" w14:textId="77777777">
        <w:trPr>
          <w:trHeight w:val="420"/>
        </w:trPr>
        <w:tc>
          <w:tcPr>
            <w:tcW w:w="525" w:type="dxa"/>
            <w:vMerge/>
            <w:shd w:val="clear" w:color="auto" w:fill="auto"/>
            <w:tcMar>
              <w:top w:w="100" w:type="dxa"/>
              <w:left w:w="100" w:type="dxa"/>
              <w:bottom w:w="100" w:type="dxa"/>
              <w:right w:w="100" w:type="dxa"/>
            </w:tcMar>
          </w:tcPr>
          <w:p w14:paraId="4AC32891" w14:textId="77777777" w:rsidR="00A70961" w:rsidRDefault="00A70961">
            <w:pPr>
              <w:widowControl w:val="0"/>
              <w:spacing w:line="240" w:lineRule="auto"/>
            </w:pPr>
          </w:p>
        </w:tc>
        <w:tc>
          <w:tcPr>
            <w:tcW w:w="2940" w:type="dxa"/>
            <w:vMerge/>
            <w:shd w:val="clear" w:color="auto" w:fill="auto"/>
            <w:tcMar>
              <w:top w:w="100" w:type="dxa"/>
              <w:left w:w="100" w:type="dxa"/>
              <w:bottom w:w="100" w:type="dxa"/>
              <w:right w:w="100" w:type="dxa"/>
            </w:tcMar>
          </w:tcPr>
          <w:p w14:paraId="3BF82C1A" w14:textId="77777777" w:rsidR="00A70961" w:rsidRDefault="00A70961">
            <w:pPr>
              <w:widowControl w:val="0"/>
              <w:spacing w:line="240" w:lineRule="auto"/>
            </w:pPr>
          </w:p>
        </w:tc>
        <w:tc>
          <w:tcPr>
            <w:tcW w:w="6015" w:type="dxa"/>
            <w:shd w:val="clear" w:color="auto" w:fill="auto"/>
            <w:tcMar>
              <w:top w:w="100" w:type="dxa"/>
              <w:left w:w="100" w:type="dxa"/>
              <w:bottom w:w="100" w:type="dxa"/>
              <w:right w:w="100" w:type="dxa"/>
            </w:tcMar>
          </w:tcPr>
          <w:p w14:paraId="3AC0AABA" w14:textId="77777777" w:rsidR="00A70961" w:rsidRDefault="00763C4F">
            <w:pPr>
              <w:widowControl w:val="0"/>
              <w:spacing w:line="240" w:lineRule="auto"/>
            </w:pPr>
            <w:r>
              <w:t xml:space="preserve">Hemoglobin A1c Control for Patients with Diabetes (HBDAD) </w:t>
            </w:r>
          </w:p>
        </w:tc>
      </w:tr>
      <w:tr w:rsidR="00A70961" w14:paraId="38D97FFB" w14:textId="77777777">
        <w:trPr>
          <w:trHeight w:val="420"/>
        </w:trPr>
        <w:tc>
          <w:tcPr>
            <w:tcW w:w="525" w:type="dxa"/>
            <w:vMerge w:val="restart"/>
            <w:shd w:val="clear" w:color="auto" w:fill="auto"/>
            <w:tcMar>
              <w:top w:w="100" w:type="dxa"/>
              <w:left w:w="100" w:type="dxa"/>
              <w:bottom w:w="100" w:type="dxa"/>
              <w:right w:w="100" w:type="dxa"/>
            </w:tcMar>
          </w:tcPr>
          <w:p w14:paraId="371A145B" w14:textId="77777777" w:rsidR="00A70961" w:rsidRDefault="00763C4F">
            <w:pPr>
              <w:widowControl w:val="0"/>
              <w:spacing w:line="240" w:lineRule="auto"/>
            </w:pPr>
            <w:r>
              <w:t>4</w:t>
            </w:r>
          </w:p>
        </w:tc>
        <w:tc>
          <w:tcPr>
            <w:tcW w:w="2940" w:type="dxa"/>
            <w:vMerge w:val="restart"/>
            <w:shd w:val="clear" w:color="auto" w:fill="auto"/>
            <w:tcMar>
              <w:top w:w="100" w:type="dxa"/>
              <w:left w:w="100" w:type="dxa"/>
              <w:bottom w:w="100" w:type="dxa"/>
              <w:right w:w="100" w:type="dxa"/>
            </w:tcMar>
          </w:tcPr>
          <w:p w14:paraId="7E8BAF36" w14:textId="77777777" w:rsidR="00A70961" w:rsidRDefault="00763C4F">
            <w:pPr>
              <w:widowControl w:val="0"/>
              <w:spacing w:line="240" w:lineRule="auto"/>
            </w:pPr>
            <w:r>
              <w:t xml:space="preserve">Behavioral Health  </w:t>
            </w:r>
          </w:p>
          <w:p w14:paraId="4FCDA7BF" w14:textId="77777777" w:rsidR="00A70961" w:rsidRDefault="00763C4F">
            <w:pPr>
              <w:widowControl w:val="0"/>
            </w:pPr>
            <w:r>
              <w:rPr>
                <w:i/>
              </w:rPr>
              <w:t>Choose at least 1 measure</w:t>
            </w:r>
          </w:p>
        </w:tc>
        <w:tc>
          <w:tcPr>
            <w:tcW w:w="6015" w:type="dxa"/>
            <w:shd w:val="clear" w:color="auto" w:fill="auto"/>
            <w:tcMar>
              <w:top w:w="100" w:type="dxa"/>
              <w:left w:w="100" w:type="dxa"/>
              <w:bottom w:w="100" w:type="dxa"/>
              <w:right w:w="100" w:type="dxa"/>
            </w:tcMar>
          </w:tcPr>
          <w:p w14:paraId="1FA9316A" w14:textId="77777777" w:rsidR="00A70961" w:rsidRDefault="00763C4F">
            <w:pPr>
              <w:widowControl w:val="0"/>
              <w:spacing w:line="240" w:lineRule="auto"/>
            </w:pPr>
            <w:r>
              <w:t xml:space="preserve">Use of Pharmacotherapy for Opioid Use Disorder (OUD-AD) </w:t>
            </w:r>
          </w:p>
        </w:tc>
      </w:tr>
      <w:tr w:rsidR="00A70961" w14:paraId="03471650" w14:textId="77777777">
        <w:trPr>
          <w:trHeight w:val="420"/>
        </w:trPr>
        <w:tc>
          <w:tcPr>
            <w:tcW w:w="525" w:type="dxa"/>
            <w:vMerge/>
            <w:shd w:val="clear" w:color="auto" w:fill="auto"/>
            <w:tcMar>
              <w:top w:w="100" w:type="dxa"/>
              <w:left w:w="100" w:type="dxa"/>
              <w:bottom w:w="100" w:type="dxa"/>
              <w:right w:w="100" w:type="dxa"/>
            </w:tcMar>
          </w:tcPr>
          <w:p w14:paraId="0B0F9D2C" w14:textId="77777777" w:rsidR="00A70961" w:rsidRDefault="00A70961">
            <w:pPr>
              <w:widowControl w:val="0"/>
              <w:spacing w:line="240" w:lineRule="auto"/>
            </w:pPr>
          </w:p>
        </w:tc>
        <w:tc>
          <w:tcPr>
            <w:tcW w:w="2940" w:type="dxa"/>
            <w:vMerge/>
            <w:shd w:val="clear" w:color="auto" w:fill="auto"/>
            <w:tcMar>
              <w:top w:w="100" w:type="dxa"/>
              <w:left w:w="100" w:type="dxa"/>
              <w:bottom w:w="100" w:type="dxa"/>
              <w:right w:w="100" w:type="dxa"/>
            </w:tcMar>
          </w:tcPr>
          <w:p w14:paraId="710D646B" w14:textId="77777777" w:rsidR="00A70961" w:rsidRDefault="00A70961">
            <w:pPr>
              <w:widowControl w:val="0"/>
              <w:spacing w:line="240" w:lineRule="auto"/>
            </w:pPr>
          </w:p>
        </w:tc>
        <w:tc>
          <w:tcPr>
            <w:tcW w:w="6015" w:type="dxa"/>
            <w:shd w:val="clear" w:color="auto" w:fill="auto"/>
            <w:tcMar>
              <w:top w:w="100" w:type="dxa"/>
              <w:left w:w="100" w:type="dxa"/>
              <w:bottom w:w="100" w:type="dxa"/>
              <w:right w:w="100" w:type="dxa"/>
            </w:tcMar>
          </w:tcPr>
          <w:p w14:paraId="29D248FF" w14:textId="77777777" w:rsidR="00A70961" w:rsidRDefault="00763C4F">
            <w:pPr>
              <w:widowControl w:val="0"/>
              <w:spacing w:line="240" w:lineRule="auto"/>
            </w:pPr>
            <w:r>
              <w:t xml:space="preserve">Antidepressant Medication Management (AMMAD) </w:t>
            </w:r>
          </w:p>
        </w:tc>
      </w:tr>
      <w:tr w:rsidR="00A70961" w14:paraId="66655855" w14:textId="77777777">
        <w:trPr>
          <w:trHeight w:val="420"/>
        </w:trPr>
        <w:tc>
          <w:tcPr>
            <w:tcW w:w="525" w:type="dxa"/>
            <w:vMerge/>
            <w:shd w:val="clear" w:color="auto" w:fill="auto"/>
            <w:tcMar>
              <w:top w:w="100" w:type="dxa"/>
              <w:left w:w="100" w:type="dxa"/>
              <w:bottom w:w="100" w:type="dxa"/>
              <w:right w:w="100" w:type="dxa"/>
            </w:tcMar>
          </w:tcPr>
          <w:p w14:paraId="592FACF7" w14:textId="77777777" w:rsidR="00A70961" w:rsidRDefault="00A70961">
            <w:pPr>
              <w:widowControl w:val="0"/>
              <w:spacing w:line="240" w:lineRule="auto"/>
            </w:pPr>
          </w:p>
        </w:tc>
        <w:tc>
          <w:tcPr>
            <w:tcW w:w="2940" w:type="dxa"/>
            <w:vMerge/>
            <w:shd w:val="clear" w:color="auto" w:fill="auto"/>
            <w:tcMar>
              <w:top w:w="100" w:type="dxa"/>
              <w:left w:w="100" w:type="dxa"/>
              <w:bottom w:w="100" w:type="dxa"/>
              <w:right w:w="100" w:type="dxa"/>
            </w:tcMar>
          </w:tcPr>
          <w:p w14:paraId="150B5887" w14:textId="77777777" w:rsidR="00A70961" w:rsidRDefault="00A70961">
            <w:pPr>
              <w:widowControl w:val="0"/>
              <w:spacing w:line="240" w:lineRule="auto"/>
            </w:pPr>
          </w:p>
        </w:tc>
        <w:tc>
          <w:tcPr>
            <w:tcW w:w="6015" w:type="dxa"/>
            <w:shd w:val="clear" w:color="auto" w:fill="auto"/>
            <w:tcMar>
              <w:top w:w="100" w:type="dxa"/>
              <w:left w:w="100" w:type="dxa"/>
              <w:bottom w:w="100" w:type="dxa"/>
              <w:right w:w="100" w:type="dxa"/>
            </w:tcMar>
          </w:tcPr>
          <w:p w14:paraId="6F4FE086" w14:textId="77777777" w:rsidR="00A70961" w:rsidRDefault="00763C4F">
            <w:pPr>
              <w:widowControl w:val="0"/>
              <w:spacing w:line="240" w:lineRule="auto"/>
            </w:pPr>
            <w:r>
              <w:t xml:space="preserve">Follow-Up After Hospitalization for Mental Illness (FUHAD) </w:t>
            </w:r>
          </w:p>
        </w:tc>
      </w:tr>
      <w:tr w:rsidR="00A70961" w14:paraId="71A7C205" w14:textId="77777777">
        <w:trPr>
          <w:trHeight w:val="420"/>
        </w:trPr>
        <w:tc>
          <w:tcPr>
            <w:tcW w:w="525" w:type="dxa"/>
            <w:vMerge/>
            <w:shd w:val="clear" w:color="auto" w:fill="auto"/>
            <w:tcMar>
              <w:top w:w="100" w:type="dxa"/>
              <w:left w:w="100" w:type="dxa"/>
              <w:bottom w:w="100" w:type="dxa"/>
              <w:right w:w="100" w:type="dxa"/>
            </w:tcMar>
          </w:tcPr>
          <w:p w14:paraId="58FAA532" w14:textId="77777777" w:rsidR="00A70961" w:rsidRDefault="00A70961">
            <w:pPr>
              <w:widowControl w:val="0"/>
              <w:spacing w:line="240" w:lineRule="auto"/>
            </w:pPr>
          </w:p>
        </w:tc>
        <w:tc>
          <w:tcPr>
            <w:tcW w:w="2940" w:type="dxa"/>
            <w:vMerge/>
            <w:shd w:val="clear" w:color="auto" w:fill="auto"/>
            <w:tcMar>
              <w:top w:w="100" w:type="dxa"/>
              <w:left w:w="100" w:type="dxa"/>
              <w:bottom w:w="100" w:type="dxa"/>
              <w:right w:w="100" w:type="dxa"/>
            </w:tcMar>
          </w:tcPr>
          <w:p w14:paraId="22A053B8" w14:textId="77777777" w:rsidR="00A70961" w:rsidRDefault="00A70961">
            <w:pPr>
              <w:widowControl w:val="0"/>
              <w:spacing w:line="240" w:lineRule="auto"/>
            </w:pPr>
          </w:p>
        </w:tc>
        <w:tc>
          <w:tcPr>
            <w:tcW w:w="6015" w:type="dxa"/>
            <w:shd w:val="clear" w:color="auto" w:fill="auto"/>
            <w:tcMar>
              <w:top w:w="100" w:type="dxa"/>
              <w:left w:w="100" w:type="dxa"/>
              <w:bottom w:w="100" w:type="dxa"/>
              <w:right w:w="100" w:type="dxa"/>
            </w:tcMar>
          </w:tcPr>
          <w:p w14:paraId="7BB88A8A" w14:textId="77777777" w:rsidR="00A70961" w:rsidRDefault="00763C4F">
            <w:pPr>
              <w:widowControl w:val="0"/>
              <w:spacing w:line="240" w:lineRule="auto"/>
            </w:pPr>
            <w:r>
              <w:t xml:space="preserve">Follow-up after ED Visit for Substance Use  </w:t>
            </w:r>
          </w:p>
        </w:tc>
      </w:tr>
      <w:tr w:rsidR="00A70961" w14:paraId="312DB953" w14:textId="77777777">
        <w:tc>
          <w:tcPr>
            <w:tcW w:w="525" w:type="dxa"/>
            <w:shd w:val="clear" w:color="auto" w:fill="auto"/>
            <w:tcMar>
              <w:top w:w="100" w:type="dxa"/>
              <w:left w:w="100" w:type="dxa"/>
              <w:bottom w:w="100" w:type="dxa"/>
              <w:right w:w="100" w:type="dxa"/>
            </w:tcMar>
          </w:tcPr>
          <w:p w14:paraId="4BCB3D9D" w14:textId="77777777" w:rsidR="00A70961" w:rsidRDefault="00763C4F">
            <w:pPr>
              <w:widowControl w:val="0"/>
              <w:spacing w:line="240" w:lineRule="auto"/>
            </w:pPr>
            <w:r>
              <w:t>5</w:t>
            </w:r>
          </w:p>
        </w:tc>
        <w:tc>
          <w:tcPr>
            <w:tcW w:w="2940" w:type="dxa"/>
            <w:shd w:val="clear" w:color="auto" w:fill="auto"/>
            <w:tcMar>
              <w:top w:w="100" w:type="dxa"/>
              <w:left w:w="100" w:type="dxa"/>
              <w:bottom w:w="100" w:type="dxa"/>
              <w:right w:w="100" w:type="dxa"/>
            </w:tcMar>
          </w:tcPr>
          <w:p w14:paraId="4F079D5B" w14:textId="77777777" w:rsidR="00A70961" w:rsidRDefault="00763C4F">
            <w:pPr>
              <w:widowControl w:val="0"/>
              <w:spacing w:line="240" w:lineRule="auto"/>
            </w:pPr>
            <w:r>
              <w:t xml:space="preserve">Health Care Quality and Utilization </w:t>
            </w:r>
          </w:p>
        </w:tc>
        <w:tc>
          <w:tcPr>
            <w:tcW w:w="6015" w:type="dxa"/>
            <w:shd w:val="clear" w:color="auto" w:fill="auto"/>
            <w:tcMar>
              <w:top w:w="100" w:type="dxa"/>
              <w:left w:w="100" w:type="dxa"/>
              <w:bottom w:w="100" w:type="dxa"/>
              <w:right w:w="100" w:type="dxa"/>
            </w:tcMar>
          </w:tcPr>
          <w:p w14:paraId="722C866B" w14:textId="77777777" w:rsidR="00A70961" w:rsidRDefault="00763C4F">
            <w:pPr>
              <w:widowControl w:val="0"/>
              <w:spacing w:line="240" w:lineRule="auto"/>
            </w:pPr>
            <w:r>
              <w:t xml:space="preserve">Plan All-Cause Unplanned Readmission (PCRAD) </w:t>
            </w:r>
          </w:p>
        </w:tc>
      </w:tr>
    </w:tbl>
    <w:p w14:paraId="422B61C5" w14:textId="77777777" w:rsidR="00A70961" w:rsidRDefault="00A70961">
      <w:pPr>
        <w:rPr>
          <w:u w:val="single"/>
        </w:rPr>
      </w:pPr>
    </w:p>
    <w:tbl>
      <w:tblPr>
        <w:tblStyle w:val="a0"/>
        <w:tblW w:w="9450"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
        <w:gridCol w:w="2970"/>
        <w:gridCol w:w="6015"/>
      </w:tblGrid>
      <w:tr w:rsidR="00A70961" w14:paraId="3BA71428" w14:textId="77777777">
        <w:trPr>
          <w:trHeight w:val="420"/>
        </w:trPr>
        <w:tc>
          <w:tcPr>
            <w:tcW w:w="465" w:type="dxa"/>
            <w:shd w:val="clear" w:color="auto" w:fill="999999"/>
            <w:tcMar>
              <w:top w:w="100" w:type="dxa"/>
              <w:left w:w="100" w:type="dxa"/>
              <w:bottom w:w="100" w:type="dxa"/>
              <w:right w:w="100" w:type="dxa"/>
            </w:tcMar>
          </w:tcPr>
          <w:p w14:paraId="15529A63" w14:textId="77777777" w:rsidR="00A70961" w:rsidRDefault="00A70961">
            <w:pPr>
              <w:widowControl w:val="0"/>
            </w:pPr>
          </w:p>
        </w:tc>
        <w:tc>
          <w:tcPr>
            <w:tcW w:w="2970" w:type="dxa"/>
            <w:shd w:val="clear" w:color="auto" w:fill="999999"/>
            <w:tcMar>
              <w:top w:w="100" w:type="dxa"/>
              <w:left w:w="100" w:type="dxa"/>
              <w:bottom w:w="100" w:type="dxa"/>
              <w:right w:w="100" w:type="dxa"/>
            </w:tcMar>
          </w:tcPr>
          <w:p w14:paraId="1CF976F3" w14:textId="77777777" w:rsidR="00A70961" w:rsidRDefault="00763C4F">
            <w:pPr>
              <w:widowControl w:val="0"/>
            </w:pPr>
            <w:r>
              <w:t>Domain</w:t>
            </w:r>
          </w:p>
        </w:tc>
        <w:tc>
          <w:tcPr>
            <w:tcW w:w="6015" w:type="dxa"/>
            <w:shd w:val="clear" w:color="auto" w:fill="999999"/>
            <w:tcMar>
              <w:top w:w="100" w:type="dxa"/>
              <w:left w:w="100" w:type="dxa"/>
              <w:bottom w:w="100" w:type="dxa"/>
              <w:right w:w="100" w:type="dxa"/>
            </w:tcMar>
          </w:tcPr>
          <w:p w14:paraId="2954F77C" w14:textId="77777777" w:rsidR="00A70961" w:rsidRDefault="00763C4F">
            <w:pPr>
              <w:widowControl w:val="0"/>
            </w:pPr>
            <w:r>
              <w:t>Measure</w:t>
            </w:r>
          </w:p>
        </w:tc>
      </w:tr>
      <w:tr w:rsidR="00A70961" w14:paraId="599A12D0" w14:textId="77777777">
        <w:trPr>
          <w:trHeight w:val="420"/>
        </w:trPr>
        <w:tc>
          <w:tcPr>
            <w:tcW w:w="9450" w:type="dxa"/>
            <w:gridSpan w:val="3"/>
            <w:tcMar>
              <w:top w:w="100" w:type="dxa"/>
              <w:left w:w="100" w:type="dxa"/>
              <w:bottom w:w="100" w:type="dxa"/>
              <w:right w:w="100" w:type="dxa"/>
            </w:tcMar>
          </w:tcPr>
          <w:p w14:paraId="13BD20A5" w14:textId="77777777" w:rsidR="00A70961" w:rsidRDefault="00763C4F">
            <w:pPr>
              <w:widowControl w:val="0"/>
              <w:jc w:val="center"/>
              <w:rPr>
                <w:i/>
              </w:rPr>
            </w:pPr>
            <w:r>
              <w:rPr>
                <w:i/>
              </w:rPr>
              <w:t xml:space="preserve">Must choose at least 1 Focus Area </w:t>
            </w:r>
          </w:p>
        </w:tc>
      </w:tr>
      <w:tr w:rsidR="00A70961" w14:paraId="1951C668" w14:textId="77777777">
        <w:trPr>
          <w:trHeight w:val="420"/>
        </w:trPr>
        <w:tc>
          <w:tcPr>
            <w:tcW w:w="465" w:type="dxa"/>
            <w:vMerge w:val="restart"/>
            <w:tcMar>
              <w:top w:w="100" w:type="dxa"/>
              <w:left w:w="100" w:type="dxa"/>
              <w:bottom w:w="100" w:type="dxa"/>
              <w:right w:w="100" w:type="dxa"/>
            </w:tcMar>
          </w:tcPr>
          <w:p w14:paraId="06D08A3C" w14:textId="77777777" w:rsidR="00A70961" w:rsidRDefault="00763C4F">
            <w:pPr>
              <w:widowControl w:val="0"/>
            </w:pPr>
            <w:r>
              <w:t>6</w:t>
            </w:r>
          </w:p>
        </w:tc>
        <w:tc>
          <w:tcPr>
            <w:tcW w:w="2970" w:type="dxa"/>
            <w:vMerge w:val="restart"/>
            <w:tcMar>
              <w:top w:w="100" w:type="dxa"/>
              <w:left w:w="100" w:type="dxa"/>
              <w:bottom w:w="100" w:type="dxa"/>
              <w:right w:w="100" w:type="dxa"/>
            </w:tcMar>
          </w:tcPr>
          <w:p w14:paraId="0953DD04" w14:textId="77777777" w:rsidR="00A70961" w:rsidRDefault="00763C4F">
            <w:pPr>
              <w:widowControl w:val="0"/>
            </w:pPr>
            <w:r>
              <w:t xml:space="preserve">Focus Area 1 - Maternal Health Outcomes </w:t>
            </w:r>
          </w:p>
          <w:p w14:paraId="7152A549" w14:textId="77777777" w:rsidR="00A70961" w:rsidRDefault="00763C4F">
            <w:pPr>
              <w:widowControl w:val="0"/>
              <w:rPr>
                <w:i/>
              </w:rPr>
            </w:pPr>
            <w:r>
              <w:rPr>
                <w:i/>
              </w:rPr>
              <w:t>Choose at least 1 measure</w:t>
            </w:r>
          </w:p>
        </w:tc>
        <w:tc>
          <w:tcPr>
            <w:tcW w:w="6015" w:type="dxa"/>
            <w:tcMar>
              <w:top w:w="100" w:type="dxa"/>
              <w:left w:w="100" w:type="dxa"/>
              <w:bottom w:w="100" w:type="dxa"/>
              <w:right w:w="100" w:type="dxa"/>
            </w:tcMar>
          </w:tcPr>
          <w:p w14:paraId="0A9BE2A0" w14:textId="77777777" w:rsidR="00A70961" w:rsidRDefault="00763C4F">
            <w:pPr>
              <w:widowControl w:val="0"/>
            </w:pPr>
            <w:r>
              <w:t xml:space="preserve">Live Births Weighing Less than 2500 grams (LBWCH) </w:t>
            </w:r>
          </w:p>
        </w:tc>
      </w:tr>
      <w:tr w:rsidR="00A70961" w14:paraId="799CA363" w14:textId="77777777">
        <w:trPr>
          <w:trHeight w:val="420"/>
        </w:trPr>
        <w:tc>
          <w:tcPr>
            <w:tcW w:w="465" w:type="dxa"/>
            <w:vMerge/>
            <w:tcMar>
              <w:top w:w="100" w:type="dxa"/>
              <w:left w:w="100" w:type="dxa"/>
              <w:bottom w:w="100" w:type="dxa"/>
              <w:right w:w="100" w:type="dxa"/>
            </w:tcMar>
          </w:tcPr>
          <w:p w14:paraId="713532AF" w14:textId="77777777" w:rsidR="00A70961" w:rsidRDefault="00A70961">
            <w:pPr>
              <w:widowControl w:val="0"/>
              <w:spacing w:line="240" w:lineRule="auto"/>
            </w:pPr>
          </w:p>
        </w:tc>
        <w:tc>
          <w:tcPr>
            <w:tcW w:w="2970" w:type="dxa"/>
            <w:vMerge/>
            <w:tcMar>
              <w:top w:w="100" w:type="dxa"/>
              <w:left w:w="100" w:type="dxa"/>
              <w:bottom w:w="100" w:type="dxa"/>
              <w:right w:w="100" w:type="dxa"/>
            </w:tcMar>
          </w:tcPr>
          <w:p w14:paraId="20E6588A" w14:textId="77777777" w:rsidR="00A70961" w:rsidRDefault="00A70961">
            <w:pPr>
              <w:widowControl w:val="0"/>
              <w:spacing w:line="240" w:lineRule="auto"/>
            </w:pPr>
          </w:p>
        </w:tc>
        <w:tc>
          <w:tcPr>
            <w:tcW w:w="6015" w:type="dxa"/>
            <w:tcMar>
              <w:top w:w="100" w:type="dxa"/>
              <w:left w:w="100" w:type="dxa"/>
              <w:bottom w:w="100" w:type="dxa"/>
              <w:right w:w="100" w:type="dxa"/>
            </w:tcMar>
          </w:tcPr>
          <w:p w14:paraId="3FDF6E70" w14:textId="77777777" w:rsidR="00A70961" w:rsidRDefault="00763C4F">
            <w:pPr>
              <w:widowControl w:val="0"/>
            </w:pPr>
            <w:r>
              <w:t xml:space="preserve">Prenatal and Postpartum Care: Postpartum Care (PPC-AD) </w:t>
            </w:r>
          </w:p>
        </w:tc>
      </w:tr>
      <w:tr w:rsidR="00A70961" w14:paraId="6B5283B2" w14:textId="77777777">
        <w:trPr>
          <w:trHeight w:val="420"/>
        </w:trPr>
        <w:tc>
          <w:tcPr>
            <w:tcW w:w="465" w:type="dxa"/>
            <w:vMerge/>
            <w:tcMar>
              <w:top w:w="100" w:type="dxa"/>
              <w:left w:w="100" w:type="dxa"/>
              <w:bottom w:w="100" w:type="dxa"/>
              <w:right w:w="100" w:type="dxa"/>
            </w:tcMar>
          </w:tcPr>
          <w:p w14:paraId="093511F7" w14:textId="77777777" w:rsidR="00A70961" w:rsidRDefault="00A70961">
            <w:pPr>
              <w:widowControl w:val="0"/>
              <w:spacing w:line="240" w:lineRule="auto"/>
            </w:pPr>
          </w:p>
        </w:tc>
        <w:tc>
          <w:tcPr>
            <w:tcW w:w="2970" w:type="dxa"/>
            <w:vMerge w:val="restart"/>
            <w:tcMar>
              <w:top w:w="100" w:type="dxa"/>
              <w:left w:w="100" w:type="dxa"/>
              <w:bottom w:w="100" w:type="dxa"/>
              <w:right w:w="100" w:type="dxa"/>
            </w:tcMar>
          </w:tcPr>
          <w:p w14:paraId="53FEF417" w14:textId="77777777" w:rsidR="00A70961" w:rsidRDefault="00763C4F">
            <w:pPr>
              <w:widowControl w:val="0"/>
            </w:pPr>
            <w:r>
              <w:t xml:space="preserve">Focus Area 2 - Prevention Measures </w:t>
            </w:r>
          </w:p>
          <w:p w14:paraId="76E6FB81" w14:textId="77777777" w:rsidR="00A70961" w:rsidRDefault="00763C4F">
            <w:pPr>
              <w:widowControl w:val="0"/>
            </w:pPr>
            <w:r>
              <w:rPr>
                <w:i/>
              </w:rPr>
              <w:t>Choose at least 1 measure</w:t>
            </w:r>
          </w:p>
        </w:tc>
        <w:tc>
          <w:tcPr>
            <w:tcW w:w="6015" w:type="dxa"/>
            <w:tcMar>
              <w:top w:w="100" w:type="dxa"/>
              <w:left w:w="100" w:type="dxa"/>
              <w:bottom w:w="100" w:type="dxa"/>
              <w:right w:w="100" w:type="dxa"/>
            </w:tcMar>
          </w:tcPr>
          <w:p w14:paraId="164B8C50" w14:textId="77777777" w:rsidR="00A70961" w:rsidRDefault="00763C4F">
            <w:pPr>
              <w:widowControl w:val="0"/>
            </w:pPr>
            <w:r>
              <w:t xml:space="preserve">Adult Immunization Status </w:t>
            </w:r>
          </w:p>
        </w:tc>
      </w:tr>
      <w:tr w:rsidR="00A70961" w14:paraId="2D614BD2" w14:textId="77777777">
        <w:trPr>
          <w:trHeight w:val="420"/>
        </w:trPr>
        <w:tc>
          <w:tcPr>
            <w:tcW w:w="465" w:type="dxa"/>
            <w:vMerge/>
            <w:tcMar>
              <w:top w:w="100" w:type="dxa"/>
              <w:left w:w="100" w:type="dxa"/>
              <w:bottom w:w="100" w:type="dxa"/>
              <w:right w:w="100" w:type="dxa"/>
            </w:tcMar>
          </w:tcPr>
          <w:p w14:paraId="57932B10" w14:textId="77777777" w:rsidR="00A70961" w:rsidRDefault="00A70961">
            <w:pPr>
              <w:widowControl w:val="0"/>
              <w:spacing w:line="240" w:lineRule="auto"/>
            </w:pPr>
          </w:p>
        </w:tc>
        <w:tc>
          <w:tcPr>
            <w:tcW w:w="2970" w:type="dxa"/>
            <w:vMerge/>
            <w:tcMar>
              <w:top w:w="100" w:type="dxa"/>
              <w:left w:w="100" w:type="dxa"/>
              <w:bottom w:w="100" w:type="dxa"/>
              <w:right w:w="100" w:type="dxa"/>
            </w:tcMar>
          </w:tcPr>
          <w:p w14:paraId="43E7F821" w14:textId="77777777" w:rsidR="00A70961" w:rsidRDefault="00A70961">
            <w:pPr>
              <w:widowControl w:val="0"/>
              <w:spacing w:line="240" w:lineRule="auto"/>
            </w:pPr>
          </w:p>
        </w:tc>
        <w:tc>
          <w:tcPr>
            <w:tcW w:w="6015" w:type="dxa"/>
            <w:tcMar>
              <w:top w:w="100" w:type="dxa"/>
              <w:left w:w="100" w:type="dxa"/>
              <w:bottom w:w="100" w:type="dxa"/>
              <w:right w:w="100" w:type="dxa"/>
            </w:tcMar>
          </w:tcPr>
          <w:p w14:paraId="3526D25F" w14:textId="77777777" w:rsidR="00A70961" w:rsidRDefault="00763C4F">
            <w:pPr>
              <w:widowControl w:val="0"/>
            </w:pPr>
            <w:r>
              <w:t xml:space="preserve">Prevalence of Obesity </w:t>
            </w:r>
          </w:p>
        </w:tc>
      </w:tr>
      <w:tr w:rsidR="00A70961" w14:paraId="6AB1AB38" w14:textId="77777777">
        <w:trPr>
          <w:trHeight w:val="420"/>
        </w:trPr>
        <w:tc>
          <w:tcPr>
            <w:tcW w:w="465" w:type="dxa"/>
            <w:vMerge/>
            <w:tcMar>
              <w:top w:w="100" w:type="dxa"/>
              <w:left w:w="100" w:type="dxa"/>
              <w:bottom w:w="100" w:type="dxa"/>
              <w:right w:w="100" w:type="dxa"/>
            </w:tcMar>
          </w:tcPr>
          <w:p w14:paraId="08A691CE" w14:textId="77777777" w:rsidR="00A70961" w:rsidRDefault="00A70961">
            <w:pPr>
              <w:widowControl w:val="0"/>
              <w:spacing w:line="240" w:lineRule="auto"/>
            </w:pPr>
          </w:p>
        </w:tc>
        <w:tc>
          <w:tcPr>
            <w:tcW w:w="2970" w:type="dxa"/>
            <w:vMerge/>
            <w:tcMar>
              <w:top w:w="100" w:type="dxa"/>
              <w:left w:w="100" w:type="dxa"/>
              <w:bottom w:w="100" w:type="dxa"/>
              <w:right w:w="100" w:type="dxa"/>
            </w:tcMar>
          </w:tcPr>
          <w:p w14:paraId="79344F7E" w14:textId="77777777" w:rsidR="00A70961" w:rsidRDefault="00A70961">
            <w:pPr>
              <w:widowControl w:val="0"/>
              <w:spacing w:line="240" w:lineRule="auto"/>
            </w:pPr>
          </w:p>
        </w:tc>
        <w:tc>
          <w:tcPr>
            <w:tcW w:w="6015" w:type="dxa"/>
            <w:tcMar>
              <w:top w:w="100" w:type="dxa"/>
              <w:left w:w="100" w:type="dxa"/>
              <w:bottom w:w="100" w:type="dxa"/>
              <w:right w:w="100" w:type="dxa"/>
            </w:tcMar>
          </w:tcPr>
          <w:p w14:paraId="66DA95CC" w14:textId="77777777" w:rsidR="00A70961" w:rsidRDefault="00763C4F">
            <w:pPr>
              <w:widowControl w:val="0"/>
            </w:pPr>
            <w:r>
              <w:t>Medical Assistance with Smoking and Tobacco Use Cessation (MSC)</w:t>
            </w:r>
          </w:p>
        </w:tc>
      </w:tr>
      <w:tr w:rsidR="00A70961" w14:paraId="00B2072A" w14:textId="77777777">
        <w:trPr>
          <w:trHeight w:val="420"/>
        </w:trPr>
        <w:tc>
          <w:tcPr>
            <w:tcW w:w="465" w:type="dxa"/>
            <w:vMerge/>
            <w:tcMar>
              <w:top w:w="100" w:type="dxa"/>
              <w:left w:w="100" w:type="dxa"/>
              <w:bottom w:w="100" w:type="dxa"/>
              <w:right w:w="100" w:type="dxa"/>
            </w:tcMar>
          </w:tcPr>
          <w:p w14:paraId="3D0263B4" w14:textId="77777777" w:rsidR="00A70961" w:rsidRDefault="00A70961">
            <w:pPr>
              <w:widowControl w:val="0"/>
              <w:spacing w:line="240" w:lineRule="auto"/>
            </w:pPr>
          </w:p>
        </w:tc>
        <w:tc>
          <w:tcPr>
            <w:tcW w:w="2970" w:type="dxa"/>
            <w:vMerge/>
            <w:tcMar>
              <w:top w:w="100" w:type="dxa"/>
              <w:left w:w="100" w:type="dxa"/>
              <w:bottom w:w="100" w:type="dxa"/>
              <w:right w:w="100" w:type="dxa"/>
            </w:tcMar>
          </w:tcPr>
          <w:p w14:paraId="1FB7BA7F" w14:textId="77777777" w:rsidR="00A70961" w:rsidRDefault="00A70961">
            <w:pPr>
              <w:widowControl w:val="0"/>
              <w:spacing w:line="240" w:lineRule="auto"/>
            </w:pPr>
          </w:p>
        </w:tc>
        <w:tc>
          <w:tcPr>
            <w:tcW w:w="6015" w:type="dxa"/>
            <w:tcMar>
              <w:top w:w="100" w:type="dxa"/>
              <w:left w:w="100" w:type="dxa"/>
              <w:bottom w:w="100" w:type="dxa"/>
              <w:right w:w="100" w:type="dxa"/>
            </w:tcMar>
          </w:tcPr>
          <w:p w14:paraId="667A6643" w14:textId="77777777" w:rsidR="00A70961" w:rsidRDefault="00763C4F">
            <w:pPr>
              <w:widowControl w:val="0"/>
            </w:pPr>
            <w:r>
              <w:t xml:space="preserve">ED Visits for Alcohol and Substance Use Disorders# </w:t>
            </w:r>
          </w:p>
        </w:tc>
      </w:tr>
      <w:tr w:rsidR="00A70961" w14:paraId="1128488A" w14:textId="77777777">
        <w:trPr>
          <w:trHeight w:val="420"/>
        </w:trPr>
        <w:tc>
          <w:tcPr>
            <w:tcW w:w="465" w:type="dxa"/>
            <w:vMerge/>
            <w:tcMar>
              <w:top w:w="100" w:type="dxa"/>
              <w:left w:w="100" w:type="dxa"/>
              <w:bottom w:w="100" w:type="dxa"/>
              <w:right w:w="100" w:type="dxa"/>
            </w:tcMar>
          </w:tcPr>
          <w:p w14:paraId="48C97C2C" w14:textId="77777777" w:rsidR="00A70961" w:rsidRDefault="00A70961">
            <w:pPr>
              <w:widowControl w:val="0"/>
              <w:spacing w:line="240" w:lineRule="auto"/>
            </w:pPr>
          </w:p>
        </w:tc>
        <w:tc>
          <w:tcPr>
            <w:tcW w:w="2970" w:type="dxa"/>
            <w:vMerge w:val="restart"/>
            <w:tcMar>
              <w:top w:w="100" w:type="dxa"/>
              <w:left w:w="100" w:type="dxa"/>
              <w:bottom w:w="100" w:type="dxa"/>
              <w:right w:w="100" w:type="dxa"/>
            </w:tcMar>
          </w:tcPr>
          <w:p w14:paraId="74AD7A60" w14:textId="77777777" w:rsidR="00A70961" w:rsidRDefault="00763C4F">
            <w:pPr>
              <w:widowControl w:val="0"/>
            </w:pPr>
            <w:r>
              <w:t xml:space="preserve">Focus Area 3 - Social Drivers of Health </w:t>
            </w:r>
          </w:p>
          <w:p w14:paraId="3E3CAABD" w14:textId="77777777" w:rsidR="00A70961" w:rsidRDefault="00763C4F">
            <w:pPr>
              <w:widowControl w:val="0"/>
            </w:pPr>
            <w:r>
              <w:rPr>
                <w:i/>
              </w:rPr>
              <w:t>Choose at least 1 measure</w:t>
            </w:r>
          </w:p>
        </w:tc>
        <w:tc>
          <w:tcPr>
            <w:tcW w:w="6015" w:type="dxa"/>
            <w:tcMar>
              <w:top w:w="100" w:type="dxa"/>
              <w:left w:w="100" w:type="dxa"/>
              <w:bottom w:w="100" w:type="dxa"/>
              <w:right w:w="100" w:type="dxa"/>
            </w:tcMar>
          </w:tcPr>
          <w:p w14:paraId="386EE3DC" w14:textId="77777777" w:rsidR="00A70961" w:rsidRDefault="00763C4F">
            <w:pPr>
              <w:widowControl w:val="0"/>
            </w:pPr>
            <w:r>
              <w:t xml:space="preserve">Food Insecurity </w:t>
            </w:r>
          </w:p>
        </w:tc>
      </w:tr>
      <w:tr w:rsidR="00A70961" w14:paraId="057BA4CB" w14:textId="77777777">
        <w:trPr>
          <w:trHeight w:val="420"/>
        </w:trPr>
        <w:tc>
          <w:tcPr>
            <w:tcW w:w="465" w:type="dxa"/>
            <w:vMerge/>
            <w:tcMar>
              <w:top w:w="100" w:type="dxa"/>
              <w:left w:w="100" w:type="dxa"/>
              <w:bottom w:w="100" w:type="dxa"/>
              <w:right w:w="100" w:type="dxa"/>
            </w:tcMar>
          </w:tcPr>
          <w:p w14:paraId="517392E6" w14:textId="77777777" w:rsidR="00A70961" w:rsidRDefault="00A70961">
            <w:pPr>
              <w:widowControl w:val="0"/>
              <w:spacing w:line="240" w:lineRule="auto"/>
            </w:pPr>
          </w:p>
        </w:tc>
        <w:tc>
          <w:tcPr>
            <w:tcW w:w="2970" w:type="dxa"/>
            <w:vMerge/>
            <w:tcMar>
              <w:top w:w="100" w:type="dxa"/>
              <w:left w:w="100" w:type="dxa"/>
              <w:bottom w:w="100" w:type="dxa"/>
              <w:right w:w="100" w:type="dxa"/>
            </w:tcMar>
          </w:tcPr>
          <w:p w14:paraId="59D7674E" w14:textId="77777777" w:rsidR="00A70961" w:rsidRDefault="00A70961">
            <w:pPr>
              <w:widowControl w:val="0"/>
              <w:spacing w:line="240" w:lineRule="auto"/>
            </w:pPr>
          </w:p>
        </w:tc>
        <w:tc>
          <w:tcPr>
            <w:tcW w:w="6015" w:type="dxa"/>
            <w:tcMar>
              <w:top w:w="100" w:type="dxa"/>
              <w:left w:w="100" w:type="dxa"/>
              <w:bottom w:w="100" w:type="dxa"/>
              <w:right w:w="100" w:type="dxa"/>
            </w:tcMar>
          </w:tcPr>
          <w:p w14:paraId="37A30ECD" w14:textId="77777777" w:rsidR="00A70961" w:rsidRDefault="00763C4F">
            <w:pPr>
              <w:widowControl w:val="0"/>
            </w:pPr>
            <w:r>
              <w:t>Housing Quality</w:t>
            </w:r>
          </w:p>
        </w:tc>
      </w:tr>
    </w:tbl>
    <w:p w14:paraId="736DBCCF" w14:textId="77777777" w:rsidR="00A70961" w:rsidRDefault="00A70961">
      <w:pPr>
        <w:rPr>
          <w:u w:val="single"/>
        </w:rPr>
      </w:pPr>
    </w:p>
    <w:p w14:paraId="53F152D3" w14:textId="77777777" w:rsidR="00A70961" w:rsidRDefault="00763C4F">
      <w:r>
        <w:rPr>
          <w:u w:val="single"/>
        </w:rPr>
        <w:t>DAC Membership</w:t>
      </w:r>
    </w:p>
    <w:p w14:paraId="6C034BC8" w14:textId="77777777" w:rsidR="00A70961" w:rsidRDefault="00763C4F">
      <w:r>
        <w:t xml:space="preserve">The following organizations/sectors should be represented on the DAC. MCHE members are welcome to participate. DAC members should have experience in measure development, population health analytics and/or health equity target setting, or be a patient/consumer of </w:t>
      </w:r>
      <w:r>
        <w:lastRenderedPageBreak/>
        <w:t xml:space="preserve">health care. DAC meetings are subject to the Public Meetings Act and therefore open to everyone. There is an opportunity for public comment at every meeting.  </w:t>
      </w:r>
    </w:p>
    <w:p w14:paraId="557F1D68" w14:textId="77777777" w:rsidR="00A70961" w:rsidRDefault="00A70961"/>
    <w:tbl>
      <w:tblPr>
        <w:tblStyle w:val="a1"/>
        <w:tblW w:w="739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95"/>
      </w:tblGrid>
      <w:tr w:rsidR="00A70961" w14:paraId="4D0690F2" w14:textId="77777777">
        <w:trPr>
          <w:trHeight w:val="647"/>
        </w:trPr>
        <w:tc>
          <w:tcPr>
            <w:tcW w:w="7395" w:type="dxa"/>
            <w:tcBorders>
              <w:top w:val="single" w:sz="5" w:space="0" w:color="000000"/>
              <w:left w:val="single" w:sz="5" w:space="0" w:color="000000"/>
              <w:bottom w:val="single" w:sz="5" w:space="0" w:color="000000"/>
              <w:right w:val="single" w:sz="5" w:space="0" w:color="000000"/>
            </w:tcBorders>
            <w:shd w:val="clear" w:color="auto" w:fill="CCCCCC"/>
            <w:tcMar>
              <w:top w:w="40" w:type="dxa"/>
              <w:left w:w="40" w:type="dxa"/>
              <w:bottom w:w="40" w:type="dxa"/>
              <w:right w:w="40" w:type="dxa"/>
            </w:tcMar>
            <w:vAlign w:val="center"/>
          </w:tcPr>
          <w:p w14:paraId="08981266" w14:textId="77777777" w:rsidR="00A70961" w:rsidRDefault="00763C4F">
            <w:pPr>
              <w:widowControl w:val="0"/>
            </w:pPr>
            <w:r>
              <w:rPr>
                <w:b/>
              </w:rPr>
              <w:t xml:space="preserve">Organization </w:t>
            </w:r>
          </w:p>
        </w:tc>
      </w:tr>
      <w:tr w:rsidR="00A70961" w14:paraId="08FA1476" w14:textId="77777777">
        <w:tc>
          <w:tcPr>
            <w:tcW w:w="7395" w:type="dxa"/>
            <w:shd w:val="clear" w:color="auto" w:fill="auto"/>
            <w:tcMar>
              <w:top w:w="100" w:type="dxa"/>
              <w:left w:w="100" w:type="dxa"/>
              <w:bottom w:w="100" w:type="dxa"/>
              <w:right w:w="100" w:type="dxa"/>
            </w:tcMar>
          </w:tcPr>
          <w:p w14:paraId="0FF36F1B" w14:textId="77777777" w:rsidR="00A70961" w:rsidRDefault="00763C4F">
            <w:pPr>
              <w:widowControl w:val="0"/>
              <w:spacing w:line="240" w:lineRule="auto"/>
            </w:pPr>
            <w:r>
              <w:t xml:space="preserve">Maryland Department of Health (MDH) </w:t>
            </w:r>
          </w:p>
        </w:tc>
      </w:tr>
      <w:tr w:rsidR="00A70961" w14:paraId="111DCC06" w14:textId="77777777">
        <w:tc>
          <w:tcPr>
            <w:tcW w:w="7395" w:type="dxa"/>
            <w:shd w:val="clear" w:color="auto" w:fill="auto"/>
            <w:tcMar>
              <w:top w:w="100" w:type="dxa"/>
              <w:left w:w="100" w:type="dxa"/>
              <w:bottom w:w="100" w:type="dxa"/>
              <w:right w:w="100" w:type="dxa"/>
            </w:tcMar>
          </w:tcPr>
          <w:p w14:paraId="7CEFA870" w14:textId="77777777" w:rsidR="00A70961" w:rsidRDefault="00763C4F">
            <w:pPr>
              <w:widowControl w:val="0"/>
              <w:spacing w:line="240" w:lineRule="auto"/>
            </w:pPr>
            <w:r>
              <w:t xml:space="preserve">Chesapeake Regional Information System for our Patients (CRISP) </w:t>
            </w:r>
          </w:p>
        </w:tc>
      </w:tr>
      <w:tr w:rsidR="00A70961" w14:paraId="17B6C0BE" w14:textId="77777777">
        <w:tc>
          <w:tcPr>
            <w:tcW w:w="7395" w:type="dxa"/>
            <w:shd w:val="clear" w:color="auto" w:fill="auto"/>
            <w:tcMar>
              <w:top w:w="100" w:type="dxa"/>
              <w:left w:w="100" w:type="dxa"/>
              <w:bottom w:w="100" w:type="dxa"/>
              <w:right w:w="100" w:type="dxa"/>
            </w:tcMar>
          </w:tcPr>
          <w:p w14:paraId="3F28B50E" w14:textId="77777777" w:rsidR="00A70961" w:rsidRDefault="00763C4F">
            <w:pPr>
              <w:widowControl w:val="0"/>
              <w:spacing w:line="240" w:lineRule="auto"/>
            </w:pPr>
            <w:r>
              <w:rPr>
                <w:highlight w:val="white"/>
              </w:rPr>
              <w:t>Health Services Cost Review Commission (</w:t>
            </w:r>
            <w:r>
              <w:t>HSCRC)</w:t>
            </w:r>
          </w:p>
        </w:tc>
      </w:tr>
      <w:tr w:rsidR="00A70961" w14:paraId="5EF98642" w14:textId="77777777">
        <w:tc>
          <w:tcPr>
            <w:tcW w:w="7395" w:type="dxa"/>
            <w:shd w:val="clear" w:color="auto" w:fill="auto"/>
            <w:tcMar>
              <w:top w:w="100" w:type="dxa"/>
              <w:left w:w="100" w:type="dxa"/>
              <w:bottom w:w="100" w:type="dxa"/>
              <w:right w:w="100" w:type="dxa"/>
            </w:tcMar>
          </w:tcPr>
          <w:p w14:paraId="590CE6A7" w14:textId="77777777" w:rsidR="00A70961" w:rsidRDefault="00763C4F">
            <w:pPr>
              <w:widowControl w:val="0"/>
              <w:spacing w:line="240" w:lineRule="auto"/>
            </w:pPr>
            <w:r>
              <w:t>Maryland Health Care Commission (MHCC)</w:t>
            </w:r>
          </w:p>
        </w:tc>
      </w:tr>
      <w:tr w:rsidR="00A70961" w14:paraId="18716A49" w14:textId="77777777">
        <w:tc>
          <w:tcPr>
            <w:tcW w:w="7395" w:type="dxa"/>
            <w:shd w:val="clear" w:color="auto" w:fill="auto"/>
            <w:tcMar>
              <w:top w:w="100" w:type="dxa"/>
              <w:left w:w="100" w:type="dxa"/>
              <w:bottom w:w="100" w:type="dxa"/>
              <w:right w:w="100" w:type="dxa"/>
            </w:tcMar>
          </w:tcPr>
          <w:p w14:paraId="25A079E7" w14:textId="77777777" w:rsidR="00A70961" w:rsidRDefault="00763C4F">
            <w:pPr>
              <w:widowControl w:val="0"/>
              <w:spacing w:line="240" w:lineRule="auto"/>
            </w:pPr>
            <w:r>
              <w:t>Behavioral Health Administration</w:t>
            </w:r>
          </w:p>
        </w:tc>
      </w:tr>
      <w:tr w:rsidR="00A70961" w14:paraId="7BD884CD" w14:textId="77777777">
        <w:tc>
          <w:tcPr>
            <w:tcW w:w="7395" w:type="dxa"/>
            <w:shd w:val="clear" w:color="auto" w:fill="auto"/>
            <w:tcMar>
              <w:top w:w="100" w:type="dxa"/>
              <w:left w:w="100" w:type="dxa"/>
              <w:bottom w:w="100" w:type="dxa"/>
              <w:right w:w="100" w:type="dxa"/>
            </w:tcMar>
          </w:tcPr>
          <w:p w14:paraId="5207446A" w14:textId="77777777" w:rsidR="00A70961" w:rsidRDefault="00763C4F">
            <w:pPr>
              <w:widowControl w:val="0"/>
              <w:spacing w:line="240" w:lineRule="auto"/>
            </w:pPr>
            <w:r>
              <w:t>Maryland Medicaid</w:t>
            </w:r>
          </w:p>
        </w:tc>
      </w:tr>
      <w:tr w:rsidR="00A70961" w14:paraId="063463FC" w14:textId="77777777">
        <w:tc>
          <w:tcPr>
            <w:tcW w:w="7395" w:type="dxa"/>
            <w:shd w:val="clear" w:color="auto" w:fill="auto"/>
            <w:tcMar>
              <w:top w:w="100" w:type="dxa"/>
              <w:left w:w="100" w:type="dxa"/>
              <w:bottom w:w="100" w:type="dxa"/>
              <w:right w:w="100" w:type="dxa"/>
            </w:tcMar>
          </w:tcPr>
          <w:p w14:paraId="3C6B94B3" w14:textId="77777777" w:rsidR="00A70961" w:rsidRDefault="00763C4F">
            <w:pPr>
              <w:widowControl w:val="0"/>
              <w:spacing w:line="240" w:lineRule="auto"/>
            </w:pPr>
            <w:r>
              <w:t xml:space="preserve">Maryland Hospital Association (MHA) </w:t>
            </w:r>
          </w:p>
        </w:tc>
      </w:tr>
      <w:tr w:rsidR="00A70961" w14:paraId="60A7EBFC" w14:textId="77777777">
        <w:tc>
          <w:tcPr>
            <w:tcW w:w="7395" w:type="dxa"/>
            <w:shd w:val="clear" w:color="auto" w:fill="auto"/>
            <w:tcMar>
              <w:top w:w="100" w:type="dxa"/>
              <w:left w:w="100" w:type="dxa"/>
              <w:bottom w:w="100" w:type="dxa"/>
              <w:right w:w="100" w:type="dxa"/>
            </w:tcMar>
          </w:tcPr>
          <w:p w14:paraId="22EC5C91" w14:textId="77777777" w:rsidR="00A70961" w:rsidRDefault="00763C4F">
            <w:pPr>
              <w:widowControl w:val="0"/>
              <w:spacing w:line="240" w:lineRule="auto"/>
            </w:pPr>
            <w:r>
              <w:t xml:space="preserve">Hospital - at least 1 located in urban setting </w:t>
            </w:r>
          </w:p>
        </w:tc>
      </w:tr>
      <w:tr w:rsidR="00A70961" w14:paraId="313D1279" w14:textId="77777777">
        <w:tc>
          <w:tcPr>
            <w:tcW w:w="7395" w:type="dxa"/>
            <w:shd w:val="clear" w:color="auto" w:fill="auto"/>
            <w:tcMar>
              <w:top w:w="100" w:type="dxa"/>
              <w:left w:w="100" w:type="dxa"/>
              <w:bottom w:w="100" w:type="dxa"/>
              <w:right w:w="100" w:type="dxa"/>
            </w:tcMar>
          </w:tcPr>
          <w:p w14:paraId="2514FD10" w14:textId="77777777" w:rsidR="00A70961" w:rsidRDefault="00763C4F">
            <w:pPr>
              <w:widowControl w:val="0"/>
              <w:spacing w:line="240" w:lineRule="auto"/>
            </w:pPr>
            <w:r>
              <w:t>Hospital - at least 1 located in rural setting</w:t>
            </w:r>
          </w:p>
        </w:tc>
      </w:tr>
      <w:tr w:rsidR="00A70961" w14:paraId="3C0B535C" w14:textId="77777777">
        <w:tc>
          <w:tcPr>
            <w:tcW w:w="7395" w:type="dxa"/>
            <w:shd w:val="clear" w:color="auto" w:fill="auto"/>
            <w:tcMar>
              <w:top w:w="100" w:type="dxa"/>
              <w:left w:w="100" w:type="dxa"/>
              <w:bottom w:w="100" w:type="dxa"/>
              <w:right w:w="100" w:type="dxa"/>
            </w:tcMar>
          </w:tcPr>
          <w:p w14:paraId="0EFA86A0" w14:textId="77777777" w:rsidR="00A70961" w:rsidRDefault="00763C4F">
            <w:pPr>
              <w:widowControl w:val="0"/>
              <w:spacing w:line="240" w:lineRule="auto"/>
            </w:pPr>
            <w:r>
              <w:t>Community Health Resources Commission</w:t>
            </w:r>
          </w:p>
        </w:tc>
      </w:tr>
      <w:tr w:rsidR="00A70961" w14:paraId="5504AAD0" w14:textId="77777777">
        <w:tc>
          <w:tcPr>
            <w:tcW w:w="7395" w:type="dxa"/>
            <w:shd w:val="clear" w:color="auto" w:fill="auto"/>
            <w:tcMar>
              <w:top w:w="100" w:type="dxa"/>
              <w:left w:w="100" w:type="dxa"/>
              <w:bottom w:w="100" w:type="dxa"/>
              <w:right w:w="100" w:type="dxa"/>
            </w:tcMar>
          </w:tcPr>
          <w:p w14:paraId="1989C2D8" w14:textId="77777777" w:rsidR="00A70961" w:rsidRDefault="00763C4F">
            <w:pPr>
              <w:widowControl w:val="0"/>
              <w:spacing w:line="240" w:lineRule="auto"/>
            </w:pPr>
            <w:r>
              <w:t>Commercial Payor</w:t>
            </w:r>
          </w:p>
        </w:tc>
      </w:tr>
      <w:tr w:rsidR="00A70961" w14:paraId="0E9882D7" w14:textId="77777777">
        <w:tc>
          <w:tcPr>
            <w:tcW w:w="7395" w:type="dxa"/>
            <w:shd w:val="clear" w:color="auto" w:fill="auto"/>
            <w:tcMar>
              <w:top w:w="100" w:type="dxa"/>
              <w:left w:w="100" w:type="dxa"/>
              <w:bottom w:w="100" w:type="dxa"/>
              <w:right w:w="100" w:type="dxa"/>
            </w:tcMar>
          </w:tcPr>
          <w:p w14:paraId="2F19DF4E" w14:textId="77777777" w:rsidR="00A70961" w:rsidRDefault="00763C4F">
            <w:pPr>
              <w:widowControl w:val="0"/>
              <w:spacing w:line="240" w:lineRule="auto"/>
            </w:pPr>
            <w:r>
              <w:t>Medicaid Managed Care Organization (MCO)</w:t>
            </w:r>
          </w:p>
        </w:tc>
      </w:tr>
      <w:tr w:rsidR="00A70961" w14:paraId="2F73894C" w14:textId="77777777">
        <w:tc>
          <w:tcPr>
            <w:tcW w:w="7395" w:type="dxa"/>
            <w:shd w:val="clear" w:color="auto" w:fill="auto"/>
            <w:tcMar>
              <w:top w:w="100" w:type="dxa"/>
              <w:left w:w="100" w:type="dxa"/>
              <w:bottom w:w="100" w:type="dxa"/>
              <w:right w:w="100" w:type="dxa"/>
            </w:tcMar>
          </w:tcPr>
          <w:p w14:paraId="0BE01ADF" w14:textId="77777777" w:rsidR="00A70961" w:rsidRDefault="00763C4F">
            <w:pPr>
              <w:widowControl w:val="0"/>
              <w:spacing w:line="240" w:lineRule="auto"/>
            </w:pPr>
            <w:r>
              <w:t>MDPCP CTO</w:t>
            </w:r>
          </w:p>
        </w:tc>
      </w:tr>
      <w:tr w:rsidR="00A70961" w14:paraId="4D189284" w14:textId="77777777">
        <w:tc>
          <w:tcPr>
            <w:tcW w:w="7395" w:type="dxa"/>
            <w:shd w:val="clear" w:color="auto" w:fill="auto"/>
            <w:tcMar>
              <w:top w:w="100" w:type="dxa"/>
              <w:left w:w="100" w:type="dxa"/>
              <w:bottom w:w="100" w:type="dxa"/>
              <w:right w:w="100" w:type="dxa"/>
            </w:tcMar>
          </w:tcPr>
          <w:p w14:paraId="7E66E97E" w14:textId="77777777" w:rsidR="00A70961" w:rsidRDefault="00763C4F">
            <w:pPr>
              <w:widowControl w:val="0"/>
              <w:spacing w:line="240" w:lineRule="auto"/>
            </w:pPr>
            <w:r>
              <w:t>Local Health Department</w:t>
            </w:r>
          </w:p>
        </w:tc>
      </w:tr>
      <w:tr w:rsidR="00A70961" w14:paraId="66A1AC32" w14:textId="77777777">
        <w:tc>
          <w:tcPr>
            <w:tcW w:w="7395" w:type="dxa"/>
            <w:shd w:val="clear" w:color="auto" w:fill="auto"/>
            <w:tcMar>
              <w:top w:w="100" w:type="dxa"/>
              <w:left w:w="100" w:type="dxa"/>
              <w:bottom w:w="100" w:type="dxa"/>
              <w:right w:w="100" w:type="dxa"/>
            </w:tcMar>
          </w:tcPr>
          <w:p w14:paraId="42B9A2A7" w14:textId="77777777" w:rsidR="00A70961" w:rsidRDefault="00763C4F">
            <w:pPr>
              <w:widowControl w:val="0"/>
              <w:spacing w:line="240" w:lineRule="auto"/>
            </w:pPr>
            <w:r>
              <w:t xml:space="preserve">Community-based organization involved in health-related social needs </w:t>
            </w:r>
          </w:p>
        </w:tc>
      </w:tr>
      <w:tr w:rsidR="00A70961" w14:paraId="3BF6F5D4" w14:textId="77777777">
        <w:tc>
          <w:tcPr>
            <w:tcW w:w="7395" w:type="dxa"/>
            <w:shd w:val="clear" w:color="auto" w:fill="auto"/>
            <w:tcMar>
              <w:top w:w="100" w:type="dxa"/>
              <w:left w:w="100" w:type="dxa"/>
              <w:bottom w:w="100" w:type="dxa"/>
              <w:right w:w="100" w:type="dxa"/>
            </w:tcMar>
          </w:tcPr>
          <w:p w14:paraId="6357D799" w14:textId="77777777" w:rsidR="00A70961" w:rsidRDefault="00763C4F">
            <w:pPr>
              <w:widowControl w:val="0"/>
              <w:spacing w:line="240" w:lineRule="auto"/>
            </w:pPr>
            <w:r>
              <w:t>Population Health and/or Health Equity Researcher</w:t>
            </w:r>
          </w:p>
        </w:tc>
      </w:tr>
      <w:tr w:rsidR="00A70961" w14:paraId="4BA7315A" w14:textId="77777777">
        <w:tc>
          <w:tcPr>
            <w:tcW w:w="7395" w:type="dxa"/>
            <w:shd w:val="clear" w:color="auto" w:fill="auto"/>
            <w:tcMar>
              <w:top w:w="100" w:type="dxa"/>
              <w:left w:w="100" w:type="dxa"/>
              <w:bottom w:w="100" w:type="dxa"/>
              <w:right w:w="100" w:type="dxa"/>
            </w:tcMar>
          </w:tcPr>
          <w:p w14:paraId="0C41996A" w14:textId="77777777" w:rsidR="00A70961" w:rsidRDefault="00763C4F">
            <w:pPr>
              <w:widowControl w:val="0"/>
              <w:spacing w:line="240" w:lineRule="auto"/>
            </w:pPr>
            <w:r>
              <w:t>Patient/consumer</w:t>
            </w:r>
          </w:p>
        </w:tc>
      </w:tr>
    </w:tbl>
    <w:p w14:paraId="681D2C39" w14:textId="77777777" w:rsidR="00A70961" w:rsidRDefault="00A70961"/>
    <w:p w14:paraId="42368171" w14:textId="77777777" w:rsidR="00A70961" w:rsidRDefault="00763C4F">
      <w:pPr>
        <w:rPr>
          <w:u w:val="single"/>
        </w:rPr>
      </w:pPr>
      <w:r>
        <w:rPr>
          <w:u w:val="single"/>
        </w:rPr>
        <w:t xml:space="preserve">DAC Meeting Frequency </w:t>
      </w:r>
    </w:p>
    <w:p w14:paraId="401093C2" w14:textId="77777777" w:rsidR="00A70961" w:rsidRDefault="00763C4F">
      <w:pPr>
        <w:rPr>
          <w:color w:val="202124"/>
        </w:rPr>
      </w:pPr>
      <w:r>
        <w:t xml:space="preserve">The DAC is expected to meet regularly (up to monthly) during the pre-implementation phase of AHEAD. Meeting frequency will be determined </w:t>
      </w:r>
      <w:proofErr w:type="gramStart"/>
      <w:r>
        <w:t>at a later date</w:t>
      </w:r>
      <w:proofErr w:type="gramEnd"/>
      <w:r>
        <w:t xml:space="preserve"> for the model implementation period. </w:t>
      </w:r>
    </w:p>
    <w:p w14:paraId="57014CCC" w14:textId="77777777" w:rsidR="00A70961" w:rsidRDefault="00A70961"/>
    <w:p w14:paraId="67EC0759" w14:textId="77777777" w:rsidR="00A70961" w:rsidRDefault="00763C4F">
      <w:r>
        <w:rPr>
          <w:u w:val="single"/>
        </w:rPr>
        <w:t>DAC Recruitment</w:t>
      </w:r>
    </w:p>
    <w:p w14:paraId="64E2C7FB" w14:textId="77777777" w:rsidR="00A70961" w:rsidRDefault="00763C4F">
      <w:pPr>
        <w:rPr>
          <w:color w:val="202124"/>
        </w:rPr>
      </w:pPr>
      <w:r>
        <w:rPr>
          <w:color w:val="202124"/>
        </w:rPr>
        <w:t xml:space="preserve">Anyone interested in participating in the DAC is asked to complete a </w:t>
      </w:r>
      <w:hyperlink r:id="rId7">
        <w:r>
          <w:rPr>
            <w:color w:val="1155CC"/>
            <w:u w:val="single"/>
          </w:rPr>
          <w:t>short form.</w:t>
        </w:r>
      </w:hyperlink>
      <w:r>
        <w:rPr>
          <w:color w:val="202124"/>
        </w:rPr>
        <w:t xml:space="preserve"> The deadline to submit is </w:t>
      </w:r>
      <w:r>
        <w:rPr>
          <w:b/>
          <w:color w:val="202124"/>
        </w:rPr>
        <w:t>5pm on December 31, 2024</w:t>
      </w:r>
      <w:r>
        <w:rPr>
          <w:color w:val="202124"/>
        </w:rPr>
        <w:t xml:space="preserve">. Individuals selected to participate will be notified by January 7, 2025. </w:t>
      </w:r>
    </w:p>
    <w:p w14:paraId="6B1EE28A" w14:textId="77777777" w:rsidR="00A70961" w:rsidRDefault="00A70961">
      <w:pPr>
        <w:rPr>
          <w:color w:val="202124"/>
        </w:rPr>
      </w:pPr>
    </w:p>
    <w:p w14:paraId="1AE5B9BA" w14:textId="77777777" w:rsidR="00A70961" w:rsidRDefault="00A70961">
      <w:pPr>
        <w:ind w:firstLine="720"/>
      </w:pPr>
    </w:p>
    <w:p w14:paraId="7A12D621" w14:textId="77777777" w:rsidR="00A70961" w:rsidRDefault="00A70961">
      <w:pPr>
        <w:ind w:firstLine="720"/>
      </w:pPr>
    </w:p>
    <w:p w14:paraId="3FADADB8" w14:textId="77777777" w:rsidR="00A70961" w:rsidRDefault="00A70961">
      <w:pPr>
        <w:ind w:firstLine="720"/>
      </w:pPr>
    </w:p>
    <w:p w14:paraId="04EE3DE5" w14:textId="77777777" w:rsidR="00A70961" w:rsidRDefault="00A70961"/>
    <w:sectPr w:rsidR="00A70961">
      <w:headerReference w:type="default" r:id="rId8"/>
      <w:headerReference w:type="first" r:id="rId9"/>
      <w:footerReference w:type="first" r:id="rId10"/>
      <w:pgSz w:w="12240" w:h="15840"/>
      <w:pgMar w:top="72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96B4F" w14:textId="77777777" w:rsidR="00B60D37" w:rsidRDefault="00B60D37">
      <w:pPr>
        <w:spacing w:line="240" w:lineRule="auto"/>
      </w:pPr>
      <w:r>
        <w:separator/>
      </w:r>
    </w:p>
  </w:endnote>
  <w:endnote w:type="continuationSeparator" w:id="0">
    <w:p w14:paraId="35F29523" w14:textId="77777777" w:rsidR="00B60D37" w:rsidRDefault="00B60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63DB" w14:textId="77777777" w:rsidR="00A70961" w:rsidRDefault="00763C4F">
    <w:pPr>
      <w:tabs>
        <w:tab w:val="center" w:pos="4680"/>
        <w:tab w:val="right" w:pos="9360"/>
      </w:tabs>
      <w:spacing w:line="240" w:lineRule="auto"/>
    </w:pPr>
    <w:r>
      <w:rPr>
        <w:rFonts w:ascii="Calibri" w:eastAsia="Calibri" w:hAnsi="Calibri" w:cs="Calibri"/>
        <w:noProof/>
        <w:sz w:val="24"/>
        <w:szCs w:val="24"/>
      </w:rPr>
      <w:drawing>
        <wp:inline distT="0" distB="0" distL="0" distR="0" wp14:anchorId="43BD01AC" wp14:editId="44F5EA37">
          <wp:extent cx="5943600" cy="5010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89" b="489"/>
                  <a:stretch>
                    <a:fillRect/>
                  </a:stretch>
                </pic:blipFill>
                <pic:spPr>
                  <a:xfrm>
                    <a:off x="0" y="0"/>
                    <a:ext cx="5943600" cy="50101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E062C" w14:textId="77777777" w:rsidR="00B60D37" w:rsidRDefault="00B60D37">
      <w:pPr>
        <w:spacing w:line="240" w:lineRule="auto"/>
      </w:pPr>
      <w:r>
        <w:separator/>
      </w:r>
    </w:p>
  </w:footnote>
  <w:footnote w:type="continuationSeparator" w:id="0">
    <w:p w14:paraId="57C93547" w14:textId="77777777" w:rsidR="00B60D37" w:rsidRDefault="00B60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D3FA" w14:textId="77777777" w:rsidR="00A70961" w:rsidRDefault="00A70961">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5840" w14:textId="77777777" w:rsidR="00A70961" w:rsidRDefault="00763C4F">
    <w:r>
      <w:rPr>
        <w:noProof/>
      </w:rPr>
      <w:drawing>
        <wp:anchor distT="0" distB="0" distL="0" distR="0" simplePos="0" relativeHeight="251658240" behindDoc="1" locked="0" layoutInCell="1" hidden="0" allowOverlap="1" wp14:anchorId="2860023D" wp14:editId="0642978F">
          <wp:simplePos x="0" y="0"/>
          <wp:positionH relativeFrom="page">
            <wp:posOffset>914400</wp:posOffset>
          </wp:positionH>
          <wp:positionV relativeFrom="page">
            <wp:posOffset>171450</wp:posOffset>
          </wp:positionV>
          <wp:extent cx="5943600" cy="167830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24" b="124"/>
                  <a:stretch>
                    <a:fillRect/>
                  </a:stretch>
                </pic:blipFill>
                <pic:spPr>
                  <a:xfrm>
                    <a:off x="0" y="0"/>
                    <a:ext cx="5943600" cy="167830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61"/>
    <w:rsid w:val="0048022F"/>
    <w:rsid w:val="0073662C"/>
    <w:rsid w:val="00763C4F"/>
    <w:rsid w:val="00A01D6D"/>
    <w:rsid w:val="00A70961"/>
    <w:rsid w:val="00AA1427"/>
    <w:rsid w:val="00B60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83FEC"/>
  <w15:docId w15:val="{B0A2CA86-5FB4-4F70-8D0E-01795D0A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forms.gle/ACf9fURBFmJLEzqS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galeg.maryland.gov/mgawebsite/Legislation/Details/HB1333?ys=2024R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4281</Characters>
  <Application>Microsoft Office Word</Application>
  <DocSecurity>0</DocSecurity>
  <Lines>35</Lines>
  <Paragraphs>10</Paragraphs>
  <ScaleCrop>false</ScaleCrop>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Ballmann</dc:creator>
  <cp:lastModifiedBy>Olivia Ballmann</cp:lastModifiedBy>
  <cp:revision>2</cp:revision>
  <dcterms:created xsi:type="dcterms:W3CDTF">2024-12-19T19:47:00Z</dcterms:created>
  <dcterms:modified xsi:type="dcterms:W3CDTF">2024-12-19T19:47:00Z</dcterms:modified>
</cp:coreProperties>
</file>