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12BB" w14:textId="77777777" w:rsidR="00C153B0" w:rsidRDefault="00000000">
      <w:pPr>
        <w:spacing w:after="60"/>
      </w:pPr>
      <w:r>
        <w:rPr>
          <w:b/>
          <w:bCs/>
          <w:caps/>
          <w:color w:val="14657A"/>
          <w:spacing w:val="60"/>
          <w:sz w:val="19"/>
          <w:szCs w:val="19"/>
        </w:rPr>
        <w:t>Clinical FAQs</w:t>
      </w:r>
    </w:p>
    <w:p w14:paraId="3E2E5B9D" w14:textId="77777777" w:rsidR="00C153B0" w:rsidRDefault="00000000">
      <w:pPr>
        <w:spacing w:after="80"/>
      </w:pPr>
      <w:r>
        <w:rPr>
          <w:b/>
          <w:bCs/>
          <w:color w:val="0E3F4E"/>
          <w:sz w:val="40"/>
          <w:szCs w:val="40"/>
        </w:rPr>
        <w:t>Minimally Invasive Surgery</w:t>
      </w:r>
    </w:p>
    <w:p w14:paraId="137D5B0C" w14:textId="77777777" w:rsidR="00C153B0" w:rsidRDefault="00000000">
      <w:pPr>
        <w:pBdr>
          <w:bottom w:val="single" w:sz="18" w:space="6" w:color="14657A"/>
        </w:pBdr>
        <w:spacing w:after="200"/>
      </w:pPr>
      <w:r>
        <w:rPr>
          <w:color w:val="5F6B70"/>
          <w:sz w:val="21"/>
          <w:szCs w:val="21"/>
        </w:rPr>
        <w:t xml:space="preserve">Association of </w:t>
      </w:r>
      <w:proofErr w:type="spellStart"/>
      <w:r>
        <w:rPr>
          <w:color w:val="5F6B70"/>
          <w:sz w:val="21"/>
          <w:szCs w:val="21"/>
        </w:rPr>
        <w:t>periOperative</w:t>
      </w:r>
      <w:proofErr w:type="spellEnd"/>
      <w:r>
        <w:rPr>
          <w:color w:val="5F6B70"/>
          <w:sz w:val="21"/>
          <w:szCs w:val="21"/>
        </w:rPr>
        <w:t xml:space="preserve"> Registered Nurses (AORN)</w:t>
      </w:r>
    </w:p>
    <w:tbl>
      <w:tblPr>
        <w:tblW w:w="9648" w:type="dxa"/>
        <w:tblBorders>
          <w:top w:val="single" w:sz="2" w:space="0" w:color="C4D3D8"/>
          <w:left w:val="single" w:sz="18" w:space="0" w:color="14657A"/>
          <w:bottom w:val="single" w:sz="2" w:space="0" w:color="C4D3D8"/>
          <w:right w:val="single" w:sz="2" w:space="0" w:color="C4D3D8"/>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8"/>
      </w:tblGrid>
      <w:tr w:rsidR="00C153B0" w14:paraId="5692C625" w14:textId="77777777">
        <w:tblPrEx>
          <w:tblCellMar>
            <w:top w:w="0" w:type="dxa"/>
            <w:bottom w:w="0" w:type="dxa"/>
          </w:tblCellMar>
        </w:tblPrEx>
        <w:tc>
          <w:tcPr>
            <w:tcW w:w="9648" w:type="dxa"/>
            <w:shd w:val="clear" w:color="auto" w:fill="F1F6F7"/>
            <w:tcMar>
              <w:top w:w="160" w:type="dxa"/>
              <w:left w:w="220" w:type="dxa"/>
              <w:bottom w:w="160" w:type="dxa"/>
              <w:right w:w="220" w:type="dxa"/>
            </w:tcMar>
          </w:tcPr>
          <w:p w14:paraId="4B1A9A00" w14:textId="77777777" w:rsidR="00C153B0" w:rsidRDefault="00000000">
            <w:pPr>
              <w:spacing w:line="264" w:lineRule="auto"/>
            </w:pPr>
            <w:r>
              <w:rPr>
                <w:b/>
                <w:bCs/>
                <w:color w:val="0E3F4E"/>
                <w:sz w:val="18"/>
                <w:szCs w:val="18"/>
              </w:rPr>
              <w:t xml:space="preserve">Source. </w:t>
            </w:r>
            <w:r>
              <w:rPr>
                <w:color w:val="5F6B70"/>
                <w:sz w:val="18"/>
                <w:szCs w:val="18"/>
              </w:rPr>
              <w:t xml:space="preserve">This content is published by AORN, Inc. and is reproduced here for reference. Answers reflect AORN guidance as of the update dates noted; verify against the current edition of </w:t>
            </w:r>
            <w:r>
              <w:rPr>
                <w:i/>
                <w:iCs/>
                <w:color w:val="5F6B70"/>
                <w:sz w:val="18"/>
                <w:szCs w:val="18"/>
              </w:rPr>
              <w:t>Guidelines for Perioperative Practice</w:t>
            </w:r>
            <w:r>
              <w:rPr>
                <w:color w:val="5F6B70"/>
                <w:sz w:val="18"/>
                <w:szCs w:val="18"/>
              </w:rPr>
              <w:t xml:space="preserve"> before applying to practice.</w:t>
            </w:r>
          </w:p>
        </w:tc>
      </w:tr>
    </w:tbl>
    <w:p w14:paraId="57C8529B" w14:textId="77777777" w:rsidR="00C153B0" w:rsidRDefault="00C153B0">
      <w:pPr>
        <w:spacing w:after="260"/>
      </w:pPr>
    </w:p>
    <w:p w14:paraId="3B15E3FE" w14:textId="77777777" w:rsidR="00C153B0" w:rsidRDefault="00000000">
      <w:pPr>
        <w:spacing w:after="140"/>
      </w:pPr>
      <w:r>
        <w:rPr>
          <w:b/>
          <w:bCs/>
          <w:caps/>
          <w:color w:val="14657A"/>
          <w:spacing w:val="30"/>
          <w:sz w:val="19"/>
          <w:szCs w:val="19"/>
        </w:rPr>
        <w:t>Questions in this document</w:t>
      </w:r>
    </w:p>
    <w:p w14:paraId="51D85F63" w14:textId="77777777" w:rsidR="00C153B0" w:rsidRDefault="00000000">
      <w:pPr>
        <w:spacing w:after="90" w:line="252" w:lineRule="auto"/>
        <w:ind w:left="460" w:hanging="460"/>
      </w:pPr>
      <w:r>
        <w:rPr>
          <w:b/>
          <w:bCs/>
          <w:color w:val="14657A"/>
          <w:sz w:val="20"/>
          <w:szCs w:val="20"/>
        </w:rPr>
        <w:t xml:space="preserve">1.  </w:t>
      </w:r>
      <w:r>
        <w:rPr>
          <w:sz w:val="20"/>
          <w:szCs w:val="20"/>
        </w:rPr>
        <w:t>Is the magnetic resonance (MR) imaging scanner (</w:t>
      </w:r>
      <w:proofErr w:type="spellStart"/>
      <w:r>
        <w:rPr>
          <w:sz w:val="20"/>
          <w:szCs w:val="20"/>
        </w:rPr>
        <w:t>ie</w:t>
      </w:r>
      <w:proofErr w:type="spellEnd"/>
      <w:r>
        <w:rPr>
          <w:sz w:val="20"/>
          <w:szCs w:val="20"/>
        </w:rPr>
        <w:t>, magnet) always on in a hybrid OR?</w:t>
      </w:r>
    </w:p>
    <w:p w14:paraId="74D04A2E" w14:textId="77777777" w:rsidR="00C153B0" w:rsidRDefault="00000000">
      <w:pPr>
        <w:spacing w:after="90" w:line="252" w:lineRule="auto"/>
        <w:ind w:left="460" w:hanging="460"/>
      </w:pPr>
      <w:r>
        <w:rPr>
          <w:b/>
          <w:bCs/>
          <w:color w:val="14657A"/>
          <w:sz w:val="20"/>
          <w:szCs w:val="20"/>
        </w:rPr>
        <w:t xml:space="preserve">2.  </w:t>
      </w:r>
      <w:r>
        <w:rPr>
          <w:sz w:val="20"/>
          <w:szCs w:val="20"/>
        </w:rPr>
        <w:t>What are the MR safety zones in the perioperative MR environment?</w:t>
      </w:r>
    </w:p>
    <w:p w14:paraId="75BAB228" w14:textId="77777777" w:rsidR="00C153B0" w:rsidRDefault="00000000">
      <w:pPr>
        <w:spacing w:after="90" w:line="252" w:lineRule="auto"/>
        <w:ind w:left="460" w:hanging="460"/>
      </w:pPr>
      <w:r>
        <w:rPr>
          <w:b/>
          <w:bCs/>
          <w:color w:val="14657A"/>
          <w:sz w:val="20"/>
          <w:szCs w:val="20"/>
        </w:rPr>
        <w:t xml:space="preserve">3.  </w:t>
      </w:r>
      <w:r>
        <w:rPr>
          <w:sz w:val="20"/>
          <w:szCs w:val="20"/>
        </w:rPr>
        <w:t>Can perioperative personnel who are pregnant work in the intraoperative magnetic resonance (MR) hybrid OR?</w:t>
      </w:r>
    </w:p>
    <w:p w14:paraId="16519481" w14:textId="77777777" w:rsidR="00C153B0" w:rsidRDefault="00000000">
      <w:pPr>
        <w:spacing w:after="90" w:line="252" w:lineRule="auto"/>
        <w:ind w:left="460" w:hanging="460"/>
      </w:pPr>
      <w:r>
        <w:rPr>
          <w:b/>
          <w:bCs/>
          <w:color w:val="14657A"/>
          <w:sz w:val="20"/>
          <w:szCs w:val="20"/>
        </w:rPr>
        <w:t xml:space="preserve">4.  </w:t>
      </w:r>
      <w:r>
        <w:rPr>
          <w:sz w:val="20"/>
          <w:szCs w:val="20"/>
        </w:rPr>
        <w:t>What are the maximum fluid deficit thresholds for hysteroscopy?</w:t>
      </w:r>
    </w:p>
    <w:p w14:paraId="52BAE8F6" w14:textId="77777777" w:rsidR="00C153B0" w:rsidRDefault="00000000">
      <w:pPr>
        <w:spacing w:after="90" w:line="252" w:lineRule="auto"/>
        <w:ind w:left="460" w:hanging="460"/>
      </w:pPr>
      <w:r>
        <w:rPr>
          <w:b/>
          <w:bCs/>
          <w:color w:val="14657A"/>
          <w:sz w:val="20"/>
          <w:szCs w:val="20"/>
        </w:rPr>
        <w:t xml:space="preserve">5.  </w:t>
      </w:r>
      <w:r>
        <w:rPr>
          <w:sz w:val="20"/>
          <w:szCs w:val="20"/>
        </w:rPr>
        <w:t>During procedures in which fluid deficit monitoring is indicated (</w:t>
      </w:r>
      <w:proofErr w:type="spellStart"/>
      <w:r>
        <w:rPr>
          <w:sz w:val="20"/>
          <w:szCs w:val="20"/>
        </w:rPr>
        <w:t>ie</w:t>
      </w:r>
      <w:proofErr w:type="spellEnd"/>
      <w:r>
        <w:rPr>
          <w:sz w:val="20"/>
          <w:szCs w:val="20"/>
        </w:rPr>
        <w:t>, hysteroscopy), how frequently should the fluid deficit be reported?</w:t>
      </w:r>
    </w:p>
    <w:p w14:paraId="678805DF" w14:textId="77777777" w:rsidR="00C153B0" w:rsidRDefault="00000000">
      <w:pPr>
        <w:spacing w:after="90" w:line="252" w:lineRule="auto"/>
        <w:ind w:left="460" w:hanging="460"/>
      </w:pPr>
      <w:r>
        <w:rPr>
          <w:b/>
          <w:bCs/>
          <w:color w:val="14657A"/>
          <w:sz w:val="20"/>
          <w:szCs w:val="20"/>
        </w:rPr>
        <w:t xml:space="preserve">6.  </w:t>
      </w:r>
      <w:r>
        <w:rPr>
          <w:sz w:val="20"/>
          <w:szCs w:val="20"/>
        </w:rPr>
        <w:t>What adverse reaction is associated with excess absorption of hypotonic solution?</w:t>
      </w:r>
    </w:p>
    <w:p w14:paraId="68563A6A" w14:textId="77777777" w:rsidR="00C153B0" w:rsidRDefault="00C153B0">
      <w:pPr>
        <w:pBdr>
          <w:bottom w:val="single" w:sz="4" w:space="1" w:color="C4D3D8"/>
        </w:pBdr>
        <w:spacing w:before="300"/>
      </w:pPr>
    </w:p>
    <w:p w14:paraId="4F0BDEC1" w14:textId="77777777" w:rsidR="00C153B0" w:rsidRDefault="00000000">
      <w:pPr>
        <w:pStyle w:val="Heading2"/>
        <w:keepNext/>
        <w:spacing w:before="380" w:after="160"/>
      </w:pPr>
      <w:r>
        <w:rPr>
          <w:color w:val="14657A"/>
        </w:rPr>
        <w:t xml:space="preserve">1.  </w:t>
      </w:r>
      <w:r>
        <w:t>Is the magnetic resonance (MR) imaging scanner (</w:t>
      </w:r>
      <w:proofErr w:type="spellStart"/>
      <w:r>
        <w:t>ie</w:t>
      </w:r>
      <w:proofErr w:type="spellEnd"/>
      <w:r>
        <w:t>, magnet) always on in a hybrid OR?</w:t>
      </w:r>
    </w:p>
    <w:p w14:paraId="156D81AF" w14:textId="77777777" w:rsidR="00C153B0" w:rsidRDefault="00000000">
      <w:pPr>
        <w:spacing w:after="160" w:line="276" w:lineRule="auto"/>
        <w:jc w:val="both"/>
      </w:pPr>
      <w:r>
        <w:t>Yes, the MR scanner for an intraoperative hybrid OR with MR imaging capabilities is always on. Hybrid ORs with intraoperative MR imaging capabilities generally store the MR scanner (</w:t>
      </w:r>
      <w:proofErr w:type="spellStart"/>
      <w:r>
        <w:t>ie</w:t>
      </w:r>
      <w:proofErr w:type="spellEnd"/>
      <w:r>
        <w:t>, the magnet) in an area adjacent to the OR that protects the OR from the magnetic forces of the MR scanner when it is not in use (</w:t>
      </w:r>
      <w:proofErr w:type="spellStart"/>
      <w:r>
        <w:t>ie</w:t>
      </w:r>
      <w:proofErr w:type="spellEnd"/>
      <w:r>
        <w:t>, until it is brought into the room or the patient is moved into position for image acquisition). Checklists and the MR safety time out process assist perioperative and MR personnel in screening patients, personnel, and the environment to verify that it is safe to bring the MR scanner into the room or move the patient to the area where the MR scanner is used.</w:t>
      </w:r>
    </w:p>
    <w:p w14:paraId="2514DBCF" w14:textId="77777777" w:rsidR="00C153B0" w:rsidRDefault="00000000">
      <w:pPr>
        <w:spacing w:before="200" w:after="100"/>
      </w:pPr>
      <w:r>
        <w:rPr>
          <w:b/>
          <w:bCs/>
          <w:caps/>
          <w:color w:val="14657A"/>
          <w:spacing w:val="24"/>
          <w:sz w:val="17"/>
          <w:szCs w:val="17"/>
        </w:rPr>
        <w:t>Resource</w:t>
      </w:r>
    </w:p>
    <w:p w14:paraId="2C4167BF" w14:textId="77777777" w:rsidR="00C153B0" w:rsidRDefault="00000000">
      <w:pPr>
        <w:spacing w:after="90" w:line="250" w:lineRule="auto"/>
        <w:ind w:left="792" w:hanging="288"/>
      </w:pPr>
      <w:r>
        <w:rPr>
          <w:color w:val="5F6B70"/>
          <w:sz w:val="18"/>
          <w:szCs w:val="18"/>
        </w:rPr>
        <w:t xml:space="preserve">Guideline for minimally invasive surgery. In: </w:t>
      </w:r>
      <w:r>
        <w:rPr>
          <w:i/>
          <w:iCs/>
          <w:color w:val="5F6B70"/>
          <w:sz w:val="18"/>
          <w:szCs w:val="18"/>
        </w:rPr>
        <w:t>Guidelines for Perioperative Practice</w:t>
      </w:r>
      <w:r>
        <w:rPr>
          <w:color w:val="5F6B70"/>
          <w:sz w:val="18"/>
          <w:szCs w:val="18"/>
        </w:rPr>
        <w:t>. Denver, CO: AORN, Inc.</w:t>
      </w:r>
    </w:p>
    <w:p w14:paraId="6435D22B" w14:textId="77777777" w:rsidR="00C153B0" w:rsidRDefault="00C153B0">
      <w:pPr>
        <w:pBdr>
          <w:bottom w:val="single" w:sz="4" w:space="1" w:color="C4D3D8"/>
        </w:pBdr>
        <w:spacing w:before="300"/>
      </w:pPr>
    </w:p>
    <w:p w14:paraId="7FCC95E8" w14:textId="77777777" w:rsidR="00C153B0" w:rsidRDefault="00000000">
      <w:pPr>
        <w:pStyle w:val="Heading2"/>
        <w:keepNext/>
        <w:spacing w:before="380" w:after="160"/>
      </w:pPr>
      <w:r>
        <w:rPr>
          <w:color w:val="14657A"/>
        </w:rPr>
        <w:t xml:space="preserve">2.  </w:t>
      </w:r>
      <w:r>
        <w:t>What are the MR safety zones in the perioperative MR environment?</w:t>
      </w:r>
    </w:p>
    <w:p w14:paraId="669FE0C3" w14:textId="77777777" w:rsidR="00C153B0" w:rsidRDefault="00000000">
      <w:pPr>
        <w:spacing w:after="200" w:line="276" w:lineRule="auto"/>
        <w:jc w:val="both"/>
      </w:pPr>
      <w:r>
        <w:t>Magnetic resonance (MR) imaging equipment contains a strong magnetic force that poses a safety risk to patients and personnel if safe MR practices are not followed. The MR safety zones define areas of exposure to magnetic forces in relation to the proximity of the area to the MR imaging scanner.</w:t>
      </w:r>
    </w:p>
    <w:p w14:paraId="1E7E7FDE" w14:textId="77777777" w:rsidR="00C153B0" w:rsidRDefault="00000000">
      <w:pPr>
        <w:pStyle w:val="ListParagraph"/>
        <w:numPr>
          <w:ilvl w:val="0"/>
          <w:numId w:val="2"/>
        </w:numPr>
        <w:spacing w:after="130" w:line="276" w:lineRule="auto"/>
      </w:pPr>
      <w:r>
        <w:rPr>
          <w:b/>
          <w:bCs/>
          <w:color w:val="0E3F4E"/>
        </w:rPr>
        <w:t>Zone I</w:t>
      </w:r>
      <w:r>
        <w:t xml:space="preserve"> is an unrestricted area (</w:t>
      </w:r>
      <w:proofErr w:type="spellStart"/>
      <w:r>
        <w:t>ie</w:t>
      </w:r>
      <w:proofErr w:type="spellEnd"/>
      <w:r>
        <w:t>, public corridor or outside of the perioperative space) that is outside of and furthest from the MR environment and accessible to everyone.</w:t>
      </w:r>
    </w:p>
    <w:p w14:paraId="75FC381E" w14:textId="77777777" w:rsidR="00C153B0" w:rsidRDefault="00000000">
      <w:pPr>
        <w:pStyle w:val="ListParagraph"/>
        <w:numPr>
          <w:ilvl w:val="0"/>
          <w:numId w:val="2"/>
        </w:numPr>
        <w:spacing w:after="130" w:line="276" w:lineRule="auto"/>
      </w:pPr>
      <w:r>
        <w:rPr>
          <w:b/>
          <w:bCs/>
          <w:color w:val="0E3F4E"/>
        </w:rPr>
        <w:lastRenderedPageBreak/>
        <w:t>Zone II</w:t>
      </w:r>
      <w:r>
        <w:t xml:space="preserve"> is a controlled area (</w:t>
      </w:r>
      <w:proofErr w:type="spellStart"/>
      <w:r>
        <w:t>eg</w:t>
      </w:r>
      <w:proofErr w:type="spellEnd"/>
      <w:r>
        <w:t>, waiting room, patient holding) between unrestricted zone I and strictly controlled zone III/IV where MR screening of patients and personnel occurs. It is accessible under the supervision of MR personnel.</w:t>
      </w:r>
    </w:p>
    <w:p w14:paraId="6801DA3F" w14:textId="77777777" w:rsidR="00C153B0" w:rsidRDefault="00000000">
      <w:pPr>
        <w:pStyle w:val="ListParagraph"/>
        <w:numPr>
          <w:ilvl w:val="0"/>
          <w:numId w:val="2"/>
        </w:numPr>
        <w:spacing w:after="130" w:line="276" w:lineRule="auto"/>
      </w:pPr>
      <w:r>
        <w:rPr>
          <w:b/>
          <w:bCs/>
          <w:color w:val="0E3F4E"/>
        </w:rPr>
        <w:t>Zone III</w:t>
      </w:r>
      <w:r>
        <w:t xml:space="preserve"> is a strictly controlled area (</w:t>
      </w:r>
      <w:proofErr w:type="spellStart"/>
      <w:r>
        <w:t>eg</w:t>
      </w:r>
      <w:proofErr w:type="spellEnd"/>
      <w:r>
        <w:t>, control room) immediately adjacent to the room containing the MR scanner. This area is accessible only to individuals and equipment that have been screened and are under the direct supervision of MR personnel.</w:t>
      </w:r>
    </w:p>
    <w:p w14:paraId="2A1E8CC3" w14:textId="77777777" w:rsidR="00C153B0" w:rsidRDefault="00000000">
      <w:pPr>
        <w:pStyle w:val="ListParagraph"/>
        <w:numPr>
          <w:ilvl w:val="0"/>
          <w:numId w:val="2"/>
        </w:numPr>
        <w:spacing w:after="130" w:line="276" w:lineRule="auto"/>
      </w:pPr>
      <w:r>
        <w:rPr>
          <w:b/>
          <w:bCs/>
          <w:color w:val="0E3F4E"/>
        </w:rPr>
        <w:t>Zone IV</w:t>
      </w:r>
      <w:r>
        <w:t xml:space="preserve"> is a restricted area (</w:t>
      </w:r>
      <w:proofErr w:type="spellStart"/>
      <w:r>
        <w:t>ie</w:t>
      </w:r>
      <w:proofErr w:type="spellEnd"/>
      <w:r>
        <w:t>, the OR where the MR scanner is present) that is subject to the strongest magnetic forces. Signage reflects potential danger from the strong magnetic field with a red light or a lighted sign indicating “Magnet On.” This area is restricted to individuals and equipment that have been screened and are under the direct supervision of MR personnel. Only MR-safe, non-ferromagnetic items are allowed in this area because of the potential for serious injury or death if metal items become projectiles.</w:t>
      </w:r>
    </w:p>
    <w:p w14:paraId="710AE190" w14:textId="77777777" w:rsidR="00C153B0" w:rsidRDefault="00000000">
      <w:pPr>
        <w:spacing w:before="200" w:after="100"/>
      </w:pPr>
      <w:r>
        <w:rPr>
          <w:b/>
          <w:bCs/>
          <w:caps/>
          <w:color w:val="14657A"/>
          <w:spacing w:val="24"/>
          <w:sz w:val="17"/>
          <w:szCs w:val="17"/>
        </w:rPr>
        <w:t>Resources</w:t>
      </w:r>
    </w:p>
    <w:p w14:paraId="497C5184" w14:textId="77777777" w:rsidR="00C153B0" w:rsidRDefault="00000000">
      <w:pPr>
        <w:spacing w:after="90" w:line="250" w:lineRule="auto"/>
        <w:ind w:left="792" w:hanging="288"/>
      </w:pPr>
      <w:r>
        <w:rPr>
          <w:i/>
          <w:iCs/>
          <w:color w:val="5F6B70"/>
          <w:sz w:val="18"/>
          <w:szCs w:val="18"/>
        </w:rPr>
        <w:t>ACR Manual on MR Safety.</w:t>
      </w:r>
      <w:r>
        <w:rPr>
          <w:color w:val="5F6B70"/>
          <w:sz w:val="18"/>
          <w:szCs w:val="18"/>
        </w:rPr>
        <w:t xml:space="preserve"> 0 ed. Reston, VA: American College of Radiology: ACR Committee on MR Safety; 2020.</w:t>
      </w:r>
    </w:p>
    <w:p w14:paraId="415006B3" w14:textId="77777777" w:rsidR="00C153B0" w:rsidRDefault="00000000">
      <w:pPr>
        <w:spacing w:after="90" w:line="250" w:lineRule="auto"/>
        <w:ind w:left="792" w:hanging="288"/>
      </w:pPr>
      <w:r>
        <w:rPr>
          <w:color w:val="5F6B70"/>
          <w:sz w:val="18"/>
          <w:szCs w:val="18"/>
        </w:rPr>
        <w:t xml:space="preserve">Guideline for minimally invasive surgery. In: </w:t>
      </w:r>
      <w:r>
        <w:rPr>
          <w:i/>
          <w:iCs/>
          <w:color w:val="5F6B70"/>
          <w:sz w:val="18"/>
          <w:szCs w:val="18"/>
        </w:rPr>
        <w:t>Guidelines for Perioperative Practice</w:t>
      </w:r>
      <w:r>
        <w:rPr>
          <w:color w:val="5F6B70"/>
          <w:sz w:val="18"/>
          <w:szCs w:val="18"/>
        </w:rPr>
        <w:t>. Denver, CO: AORN, Inc.</w:t>
      </w:r>
    </w:p>
    <w:p w14:paraId="361DE163" w14:textId="77777777" w:rsidR="00C153B0" w:rsidRDefault="00000000">
      <w:pPr>
        <w:spacing w:before="140" w:after="40"/>
      </w:pPr>
      <w:r>
        <w:rPr>
          <w:i/>
          <w:iCs/>
          <w:color w:val="5F6B70"/>
          <w:sz w:val="17"/>
          <w:szCs w:val="17"/>
        </w:rPr>
        <w:t>Updated November 18, 2022</w:t>
      </w:r>
    </w:p>
    <w:p w14:paraId="335C5D12" w14:textId="77777777" w:rsidR="00C153B0" w:rsidRDefault="00C153B0">
      <w:pPr>
        <w:pBdr>
          <w:bottom w:val="single" w:sz="4" w:space="1" w:color="C4D3D8"/>
        </w:pBdr>
        <w:spacing w:before="300"/>
      </w:pPr>
    </w:p>
    <w:p w14:paraId="796B47AA" w14:textId="77777777" w:rsidR="00C153B0" w:rsidRDefault="00000000">
      <w:pPr>
        <w:pStyle w:val="Heading2"/>
        <w:keepNext/>
        <w:spacing w:before="380" w:after="160"/>
      </w:pPr>
      <w:r>
        <w:rPr>
          <w:color w:val="14657A"/>
        </w:rPr>
        <w:t xml:space="preserve">3.  </w:t>
      </w:r>
      <w:r>
        <w:t>Can perioperative personnel who are pregnant work in the intraoperative magnetic resonance (MR) hybrid OR?</w:t>
      </w:r>
    </w:p>
    <w:p w14:paraId="23A93394" w14:textId="77777777" w:rsidR="00C153B0" w:rsidRDefault="00000000">
      <w:pPr>
        <w:spacing w:after="160" w:line="276" w:lineRule="auto"/>
        <w:jc w:val="both"/>
      </w:pPr>
      <w:r>
        <w:t>Yes. Personnel who are pregnant may work in and around the MR perioperative environment but should not remain within zone IV (</w:t>
      </w:r>
      <w:proofErr w:type="spellStart"/>
      <w:r>
        <w:t>ie</w:t>
      </w:r>
      <w:proofErr w:type="spellEnd"/>
      <w:r>
        <w:t>, nearest the MR scanner) during scanning. The MR environment does not expose personnel or patients to ionizing radiation. The American College of Radiology states that it is safe for personnel who are pregnant to work in this environment during all stages of pregnancy but recommends that they not remain in zone IV during image acquisition.</w:t>
      </w:r>
    </w:p>
    <w:p w14:paraId="2D2C811E" w14:textId="77777777" w:rsidR="00C153B0" w:rsidRDefault="00000000">
      <w:pPr>
        <w:spacing w:before="200" w:after="100"/>
      </w:pPr>
      <w:r>
        <w:rPr>
          <w:b/>
          <w:bCs/>
          <w:caps/>
          <w:color w:val="14657A"/>
          <w:spacing w:val="24"/>
          <w:sz w:val="17"/>
          <w:szCs w:val="17"/>
        </w:rPr>
        <w:t>Resources</w:t>
      </w:r>
    </w:p>
    <w:p w14:paraId="1F623943" w14:textId="77777777" w:rsidR="00C153B0" w:rsidRDefault="00000000">
      <w:pPr>
        <w:spacing w:after="90" w:line="250" w:lineRule="auto"/>
        <w:ind w:left="792" w:hanging="288"/>
      </w:pPr>
      <w:r>
        <w:rPr>
          <w:i/>
          <w:iCs/>
          <w:color w:val="5F6B70"/>
          <w:sz w:val="18"/>
          <w:szCs w:val="18"/>
        </w:rPr>
        <w:t>ACR Manual on MR Safety.</w:t>
      </w:r>
      <w:r>
        <w:rPr>
          <w:color w:val="5F6B70"/>
          <w:sz w:val="18"/>
          <w:szCs w:val="18"/>
        </w:rPr>
        <w:t xml:space="preserve"> 0 ed. Reston, VA: American College of Radiology: ACR Committee on MR Safety; 2020.</w:t>
      </w:r>
    </w:p>
    <w:p w14:paraId="163B7F42" w14:textId="77777777" w:rsidR="00C153B0" w:rsidRDefault="00000000">
      <w:pPr>
        <w:spacing w:after="90" w:line="250" w:lineRule="auto"/>
        <w:ind w:left="792" w:hanging="288"/>
      </w:pPr>
      <w:r>
        <w:rPr>
          <w:color w:val="5F6B70"/>
          <w:sz w:val="18"/>
          <w:szCs w:val="18"/>
        </w:rPr>
        <w:t xml:space="preserve">Guideline for minimally invasive surgery. In: </w:t>
      </w:r>
      <w:r>
        <w:rPr>
          <w:i/>
          <w:iCs/>
          <w:color w:val="5F6B70"/>
          <w:sz w:val="18"/>
          <w:szCs w:val="18"/>
        </w:rPr>
        <w:t>Guidelines for Perioperative Practice</w:t>
      </w:r>
      <w:r>
        <w:rPr>
          <w:color w:val="5F6B70"/>
          <w:sz w:val="18"/>
          <w:szCs w:val="18"/>
        </w:rPr>
        <w:t>. Denver, CO: AORN, Inc.</w:t>
      </w:r>
    </w:p>
    <w:p w14:paraId="038DB822" w14:textId="77777777" w:rsidR="00C153B0" w:rsidRDefault="00C153B0">
      <w:pPr>
        <w:pBdr>
          <w:bottom w:val="single" w:sz="4" w:space="1" w:color="C4D3D8"/>
        </w:pBdr>
        <w:spacing w:before="300"/>
      </w:pPr>
    </w:p>
    <w:p w14:paraId="6EDDA9D2" w14:textId="77777777" w:rsidR="00C153B0" w:rsidRDefault="00000000">
      <w:pPr>
        <w:pStyle w:val="Heading2"/>
        <w:keepNext/>
        <w:spacing w:before="380" w:after="160"/>
      </w:pPr>
      <w:r>
        <w:rPr>
          <w:color w:val="14657A"/>
        </w:rPr>
        <w:t xml:space="preserve">4.  </w:t>
      </w:r>
      <w:r>
        <w:t>What are the maximum fluid deficit thresholds for hysteroscopy?</w:t>
      </w:r>
    </w:p>
    <w:p w14:paraId="48C8C357" w14:textId="77777777" w:rsidR="00C153B0" w:rsidRDefault="00000000">
      <w:pPr>
        <w:spacing w:after="160" w:line="276" w:lineRule="auto"/>
        <w:jc w:val="both"/>
      </w:pPr>
      <w:r>
        <w:t xml:space="preserve">There is no consensus on specific maximum thresholds for fluid distension media in hysteroscopy. The American Association of Gynecologic Laparoscopists, the British Society for </w:t>
      </w:r>
      <w:proofErr w:type="spellStart"/>
      <w:r>
        <w:t>Gynaecological</w:t>
      </w:r>
      <w:proofErr w:type="spellEnd"/>
      <w:r>
        <w:t xml:space="preserve"> Endoscopy, and the French College of </w:t>
      </w:r>
      <w:proofErr w:type="spellStart"/>
      <w:r>
        <w:t>Gynaecologists</w:t>
      </w:r>
      <w:proofErr w:type="spellEnd"/>
      <w:r>
        <w:t xml:space="preserve"> and Obstetricians have each developed recommendations for maximum fluid deficits based on expert opinion. Tolerance for fluid absorption and decisions regarding the continuation or termination of a procedure depend on the patient’s size, age, comorbidities, and level of health.</w:t>
      </w:r>
    </w:p>
    <w:p w14:paraId="58FAC994" w14:textId="77777777" w:rsidR="00C153B0" w:rsidRDefault="00000000">
      <w:pPr>
        <w:spacing w:after="160" w:line="276" w:lineRule="auto"/>
        <w:jc w:val="both"/>
      </w:pPr>
      <w:r>
        <w:t>For healthy women of reproductive age undergoing hysteroscopy, a maximum fluid deficit of 1,000 mL is suggested for hypotonic solutions (</w:t>
      </w:r>
      <w:proofErr w:type="spellStart"/>
      <w:r>
        <w:t>eg</w:t>
      </w:r>
      <w:proofErr w:type="spellEnd"/>
      <w:r>
        <w:t xml:space="preserve">, glycine, sorbitol, sterile water), after which expeditious termination of </w:t>
      </w:r>
      <w:r>
        <w:lastRenderedPageBreak/>
        <w:t>surgery is recommended. For healthy women of reproductive age, a 2,500 mL maximum is suggested for isotonic solutions (</w:t>
      </w:r>
      <w:proofErr w:type="spellStart"/>
      <w:r>
        <w:t>eg</w:t>
      </w:r>
      <w:proofErr w:type="spellEnd"/>
      <w:r>
        <w:t>, 0.9% sodium chloride, Ringer’s lactate) after which surgery should be expeditiously terminated. For elderly women or women with comorbidities (</w:t>
      </w:r>
      <w:proofErr w:type="spellStart"/>
      <w:r>
        <w:t>eg</w:t>
      </w:r>
      <w:proofErr w:type="spellEnd"/>
      <w:r>
        <w:t>, cardiovascular disease, renal dysfunction), a maximum fluid deficit of 750 mL is suggested for hypotonic solutions and 1,500 mL for isotonic solutions, although these thresholds may need to be reduced depending on the patient’s clinical presentation. When using high-viscosity distention media (</w:t>
      </w:r>
      <w:proofErr w:type="spellStart"/>
      <w:r>
        <w:t>eg</w:t>
      </w:r>
      <w:proofErr w:type="spellEnd"/>
      <w:r>
        <w:t xml:space="preserve">, dextran), the maximum infused volume should not exceed 500 mL for healthy women of reproductive age, and in elderly patients or those with comorbidities, the infused volume should not exceed 300 </w:t>
      </w:r>
      <w:proofErr w:type="spellStart"/>
      <w:r>
        <w:t>mL.</w:t>
      </w:r>
      <w:proofErr w:type="spellEnd"/>
    </w:p>
    <w:p w14:paraId="28141EF7" w14:textId="77777777" w:rsidR="00C153B0" w:rsidRDefault="00000000">
      <w:pPr>
        <w:spacing w:before="200" w:after="100"/>
      </w:pPr>
      <w:r>
        <w:rPr>
          <w:b/>
          <w:bCs/>
          <w:caps/>
          <w:color w:val="14657A"/>
          <w:spacing w:val="24"/>
          <w:sz w:val="17"/>
          <w:szCs w:val="17"/>
        </w:rPr>
        <w:t>Resources</w:t>
      </w:r>
    </w:p>
    <w:p w14:paraId="26F4A84C" w14:textId="77777777" w:rsidR="00C153B0" w:rsidRDefault="00000000">
      <w:pPr>
        <w:spacing w:after="90" w:line="250" w:lineRule="auto"/>
        <w:ind w:left="792" w:hanging="288"/>
      </w:pPr>
      <w:r>
        <w:rPr>
          <w:color w:val="5F6B70"/>
          <w:sz w:val="18"/>
          <w:szCs w:val="18"/>
        </w:rPr>
        <w:t xml:space="preserve">AAGL Advancing Minimally Invasive Gynecology Worldwide; Munro MG, Storz K, et al. AAGL Practice Report: Practice Guidelines for the Management of Hysteroscopic Distending Media: (Replaces Hysteroscopic Fluid Monitoring Guidelines. </w:t>
      </w:r>
      <w:r>
        <w:rPr>
          <w:i/>
          <w:iCs/>
          <w:color w:val="5F6B70"/>
          <w:sz w:val="18"/>
          <w:szCs w:val="18"/>
        </w:rPr>
        <w:t xml:space="preserve">J Am Assoc </w:t>
      </w:r>
      <w:proofErr w:type="spellStart"/>
      <w:r>
        <w:rPr>
          <w:i/>
          <w:iCs/>
          <w:color w:val="5F6B70"/>
          <w:sz w:val="18"/>
          <w:szCs w:val="18"/>
        </w:rPr>
        <w:t>Gynecol</w:t>
      </w:r>
      <w:proofErr w:type="spellEnd"/>
      <w:r>
        <w:rPr>
          <w:i/>
          <w:iCs/>
          <w:color w:val="5F6B70"/>
          <w:sz w:val="18"/>
          <w:szCs w:val="18"/>
        </w:rPr>
        <w:t xml:space="preserve"> </w:t>
      </w:r>
      <w:proofErr w:type="spellStart"/>
      <w:r>
        <w:rPr>
          <w:i/>
          <w:iCs/>
          <w:color w:val="5F6B70"/>
          <w:sz w:val="18"/>
          <w:szCs w:val="18"/>
        </w:rPr>
        <w:t>Laparosc</w:t>
      </w:r>
      <w:proofErr w:type="spellEnd"/>
      <w:r>
        <w:rPr>
          <w:i/>
          <w:iCs/>
          <w:color w:val="5F6B70"/>
          <w:sz w:val="18"/>
          <w:szCs w:val="18"/>
        </w:rPr>
        <w:t>.</w:t>
      </w:r>
      <w:r>
        <w:rPr>
          <w:color w:val="5F6B70"/>
          <w:sz w:val="18"/>
          <w:szCs w:val="18"/>
        </w:rPr>
        <w:t xml:space="preserve"> </w:t>
      </w:r>
      <w:proofErr w:type="gramStart"/>
      <w:r>
        <w:rPr>
          <w:color w:val="5F6B70"/>
          <w:sz w:val="18"/>
          <w:szCs w:val="18"/>
        </w:rPr>
        <w:t>2000;7:167</w:t>
      </w:r>
      <w:proofErr w:type="gramEnd"/>
      <w:r>
        <w:rPr>
          <w:color w:val="5F6B70"/>
          <w:sz w:val="18"/>
          <w:szCs w:val="18"/>
        </w:rPr>
        <w:t xml:space="preserve">-168.). </w:t>
      </w:r>
      <w:r>
        <w:rPr>
          <w:i/>
          <w:iCs/>
          <w:color w:val="5F6B70"/>
          <w:sz w:val="18"/>
          <w:szCs w:val="18"/>
        </w:rPr>
        <w:t>J Minim Invasive Gynecol.</w:t>
      </w:r>
      <w:r>
        <w:rPr>
          <w:color w:val="5F6B70"/>
          <w:sz w:val="18"/>
          <w:szCs w:val="18"/>
        </w:rPr>
        <w:t xml:space="preserve"> 2013;20(2):137-148.</w:t>
      </w:r>
    </w:p>
    <w:p w14:paraId="12E938CA" w14:textId="77777777" w:rsidR="00C153B0" w:rsidRDefault="00000000">
      <w:pPr>
        <w:spacing w:after="90" w:line="250" w:lineRule="auto"/>
        <w:ind w:left="792" w:hanging="288"/>
      </w:pPr>
      <w:proofErr w:type="spellStart"/>
      <w:r>
        <w:rPr>
          <w:color w:val="5F6B70"/>
          <w:sz w:val="18"/>
          <w:szCs w:val="18"/>
        </w:rPr>
        <w:t>Deffieux</w:t>
      </w:r>
      <w:proofErr w:type="spellEnd"/>
      <w:r>
        <w:rPr>
          <w:color w:val="5F6B70"/>
          <w:sz w:val="18"/>
          <w:szCs w:val="18"/>
        </w:rPr>
        <w:t xml:space="preserve"> X, Gauthier T, Menager N, Legendre G, Agostini A, Pierre F. Hysteroscopy: guidelines for clinical practice from the French College of </w:t>
      </w:r>
      <w:proofErr w:type="spellStart"/>
      <w:r>
        <w:rPr>
          <w:color w:val="5F6B70"/>
          <w:sz w:val="18"/>
          <w:szCs w:val="18"/>
        </w:rPr>
        <w:t>Gynaecologists</w:t>
      </w:r>
      <w:proofErr w:type="spellEnd"/>
      <w:r>
        <w:rPr>
          <w:color w:val="5F6B70"/>
          <w:sz w:val="18"/>
          <w:szCs w:val="18"/>
        </w:rPr>
        <w:t xml:space="preserve"> and Obstetricians. </w:t>
      </w:r>
      <w:proofErr w:type="spellStart"/>
      <w:r>
        <w:rPr>
          <w:i/>
          <w:iCs/>
          <w:color w:val="5F6B70"/>
          <w:sz w:val="18"/>
          <w:szCs w:val="18"/>
        </w:rPr>
        <w:t>Eur</w:t>
      </w:r>
      <w:proofErr w:type="spellEnd"/>
      <w:r>
        <w:rPr>
          <w:i/>
          <w:iCs/>
          <w:color w:val="5F6B70"/>
          <w:sz w:val="18"/>
          <w:szCs w:val="18"/>
        </w:rPr>
        <w:t xml:space="preserve"> J </w:t>
      </w:r>
      <w:proofErr w:type="spellStart"/>
      <w:r>
        <w:rPr>
          <w:i/>
          <w:iCs/>
          <w:color w:val="5F6B70"/>
          <w:sz w:val="18"/>
          <w:szCs w:val="18"/>
        </w:rPr>
        <w:t>Obstet</w:t>
      </w:r>
      <w:proofErr w:type="spellEnd"/>
      <w:r>
        <w:rPr>
          <w:i/>
          <w:iCs/>
          <w:color w:val="5F6B70"/>
          <w:sz w:val="18"/>
          <w:szCs w:val="18"/>
        </w:rPr>
        <w:t xml:space="preserve"> </w:t>
      </w:r>
      <w:proofErr w:type="spellStart"/>
      <w:r>
        <w:rPr>
          <w:i/>
          <w:iCs/>
          <w:color w:val="5F6B70"/>
          <w:sz w:val="18"/>
          <w:szCs w:val="18"/>
        </w:rPr>
        <w:t>Gynecol</w:t>
      </w:r>
      <w:proofErr w:type="spellEnd"/>
      <w:r>
        <w:rPr>
          <w:i/>
          <w:iCs/>
          <w:color w:val="5F6B70"/>
          <w:sz w:val="18"/>
          <w:szCs w:val="18"/>
        </w:rPr>
        <w:t xml:space="preserve"> </w:t>
      </w:r>
      <w:proofErr w:type="spellStart"/>
      <w:r>
        <w:rPr>
          <w:i/>
          <w:iCs/>
          <w:color w:val="5F6B70"/>
          <w:sz w:val="18"/>
          <w:szCs w:val="18"/>
        </w:rPr>
        <w:t>Reprod</w:t>
      </w:r>
      <w:proofErr w:type="spellEnd"/>
      <w:r>
        <w:rPr>
          <w:i/>
          <w:iCs/>
          <w:color w:val="5F6B70"/>
          <w:sz w:val="18"/>
          <w:szCs w:val="18"/>
        </w:rPr>
        <w:t xml:space="preserve"> Biol</w:t>
      </w:r>
      <w:r>
        <w:rPr>
          <w:color w:val="5F6B70"/>
          <w:sz w:val="18"/>
          <w:szCs w:val="18"/>
        </w:rPr>
        <w:t xml:space="preserve">. </w:t>
      </w:r>
      <w:proofErr w:type="gramStart"/>
      <w:r>
        <w:rPr>
          <w:color w:val="5F6B70"/>
          <w:sz w:val="18"/>
          <w:szCs w:val="18"/>
        </w:rPr>
        <w:t>2014;178:114</w:t>
      </w:r>
      <w:proofErr w:type="gramEnd"/>
      <w:r>
        <w:rPr>
          <w:color w:val="5F6B70"/>
          <w:sz w:val="18"/>
          <w:szCs w:val="18"/>
        </w:rPr>
        <w:t>-122.</w:t>
      </w:r>
    </w:p>
    <w:p w14:paraId="1834544F" w14:textId="77777777" w:rsidR="00C153B0" w:rsidRDefault="00000000">
      <w:pPr>
        <w:spacing w:after="90" w:line="250" w:lineRule="auto"/>
        <w:ind w:left="792" w:hanging="288"/>
      </w:pPr>
      <w:r>
        <w:rPr>
          <w:color w:val="5F6B70"/>
          <w:sz w:val="18"/>
          <w:szCs w:val="18"/>
        </w:rPr>
        <w:t xml:space="preserve">Guideline for minimally invasive surgery. In: </w:t>
      </w:r>
      <w:r>
        <w:rPr>
          <w:i/>
          <w:iCs/>
          <w:color w:val="5F6B70"/>
          <w:sz w:val="18"/>
          <w:szCs w:val="18"/>
        </w:rPr>
        <w:t>Guidelines for Perioperative Practice</w:t>
      </w:r>
      <w:r>
        <w:rPr>
          <w:color w:val="5F6B70"/>
          <w:sz w:val="18"/>
          <w:szCs w:val="18"/>
        </w:rPr>
        <w:t>. Denver, CO: AORN, Inc.</w:t>
      </w:r>
    </w:p>
    <w:p w14:paraId="2A9313A5" w14:textId="77777777" w:rsidR="00C153B0" w:rsidRDefault="00000000">
      <w:pPr>
        <w:spacing w:after="90" w:line="250" w:lineRule="auto"/>
        <w:ind w:left="792" w:hanging="288"/>
      </w:pPr>
      <w:proofErr w:type="spellStart"/>
      <w:r>
        <w:rPr>
          <w:color w:val="5F6B70"/>
          <w:sz w:val="18"/>
          <w:szCs w:val="18"/>
        </w:rPr>
        <w:t>Umranikar</w:t>
      </w:r>
      <w:proofErr w:type="spellEnd"/>
      <w:r>
        <w:rPr>
          <w:color w:val="5F6B70"/>
          <w:sz w:val="18"/>
          <w:szCs w:val="18"/>
        </w:rPr>
        <w:t xml:space="preserve"> S, Clark TJ, </w:t>
      </w:r>
      <w:proofErr w:type="spellStart"/>
      <w:r>
        <w:rPr>
          <w:color w:val="5F6B70"/>
          <w:sz w:val="18"/>
          <w:szCs w:val="18"/>
        </w:rPr>
        <w:t>Saridogan</w:t>
      </w:r>
      <w:proofErr w:type="spellEnd"/>
      <w:r>
        <w:rPr>
          <w:color w:val="5F6B70"/>
          <w:sz w:val="18"/>
          <w:szCs w:val="18"/>
        </w:rPr>
        <w:t xml:space="preserve"> E, et al. BSGE/ESGE guideline on management of fluid distension media in operative hysteroscopy. </w:t>
      </w:r>
      <w:proofErr w:type="spellStart"/>
      <w:r>
        <w:rPr>
          <w:i/>
          <w:iCs/>
          <w:color w:val="5F6B70"/>
          <w:sz w:val="18"/>
          <w:szCs w:val="18"/>
        </w:rPr>
        <w:t>Gynecol</w:t>
      </w:r>
      <w:proofErr w:type="spellEnd"/>
      <w:r>
        <w:rPr>
          <w:i/>
          <w:iCs/>
          <w:color w:val="5F6B70"/>
          <w:sz w:val="18"/>
          <w:szCs w:val="18"/>
        </w:rPr>
        <w:t xml:space="preserve"> Surg</w:t>
      </w:r>
      <w:r>
        <w:rPr>
          <w:color w:val="5F6B70"/>
          <w:sz w:val="18"/>
          <w:szCs w:val="18"/>
        </w:rPr>
        <w:t>. 2016;13(4):289-303.</w:t>
      </w:r>
    </w:p>
    <w:p w14:paraId="67657C94" w14:textId="77777777" w:rsidR="00C153B0" w:rsidRDefault="00C153B0">
      <w:pPr>
        <w:pBdr>
          <w:bottom w:val="single" w:sz="4" w:space="1" w:color="C4D3D8"/>
        </w:pBdr>
        <w:spacing w:before="300"/>
      </w:pPr>
    </w:p>
    <w:p w14:paraId="3B69193A" w14:textId="77777777" w:rsidR="00C153B0" w:rsidRDefault="00000000">
      <w:pPr>
        <w:pStyle w:val="Heading2"/>
        <w:keepNext/>
        <w:spacing w:before="380" w:after="160"/>
      </w:pPr>
      <w:r>
        <w:rPr>
          <w:color w:val="14657A"/>
        </w:rPr>
        <w:t xml:space="preserve">5.  </w:t>
      </w:r>
      <w:r>
        <w:t>During procedures in which fluid deficit monitoring is indicated (</w:t>
      </w:r>
      <w:proofErr w:type="spellStart"/>
      <w:r>
        <w:t>ie</w:t>
      </w:r>
      <w:proofErr w:type="spellEnd"/>
      <w:r>
        <w:t>, hysteroscopy), how frequently should the fluid deficit be reported?</w:t>
      </w:r>
    </w:p>
    <w:p w14:paraId="49F98948" w14:textId="77777777" w:rsidR="00C153B0" w:rsidRDefault="00000000">
      <w:pPr>
        <w:spacing w:after="160" w:line="276" w:lineRule="auto"/>
        <w:jc w:val="both"/>
      </w:pPr>
      <w:r>
        <w:t>The RN circulator should collaborate with the surgeon and anesthesia professional to determine reporting intervals and report the fluid deficit at these established intervals throughout the procedure.</w:t>
      </w:r>
    </w:p>
    <w:p w14:paraId="05146660" w14:textId="77777777" w:rsidR="00C153B0" w:rsidRDefault="00000000">
      <w:pPr>
        <w:spacing w:after="160" w:line="276" w:lineRule="auto"/>
        <w:jc w:val="both"/>
      </w:pPr>
      <w:r>
        <w:t>A clinical practice guideline recommends measuring fluid deficit at a minimum of 10-minute intervals during hysteroscopy. An expert opinion article suggests that the RN circulator notify the perioperative team when the fluid deficit reaches 500 mL and then announce the deficit in 100 mL increments thereafter.</w:t>
      </w:r>
    </w:p>
    <w:p w14:paraId="7AA834D5" w14:textId="77777777" w:rsidR="00C153B0" w:rsidRDefault="00000000">
      <w:pPr>
        <w:spacing w:after="160" w:line="276" w:lineRule="auto"/>
        <w:jc w:val="both"/>
      </w:pPr>
      <w:r>
        <w:t>Using automated fluid management systems does not preclude the need to regularly report the fluid deficit because although these systems provide real time measurement, they only provide alarm notification after preset deficit thresholds have already been reached. Reporting of the fluid deficit status at designated intervals raises awareness of approaching deficit threshold limits so the surgeon and anesthesia professional can plan for timely completion of the procedure before an urgent need to terminate arises. Patients are at higher risk for harm when these automated systems are not used because of the potential for errors in manually estimating the deficit.</w:t>
      </w:r>
    </w:p>
    <w:p w14:paraId="21FFC5EB" w14:textId="77777777" w:rsidR="00C153B0" w:rsidRDefault="00000000">
      <w:pPr>
        <w:spacing w:before="200" w:after="100"/>
      </w:pPr>
      <w:r>
        <w:rPr>
          <w:b/>
          <w:bCs/>
          <w:caps/>
          <w:color w:val="14657A"/>
          <w:spacing w:val="24"/>
          <w:sz w:val="17"/>
          <w:szCs w:val="17"/>
        </w:rPr>
        <w:t>Resources</w:t>
      </w:r>
    </w:p>
    <w:p w14:paraId="6C58897B" w14:textId="77777777" w:rsidR="00C153B0" w:rsidRDefault="00000000">
      <w:pPr>
        <w:spacing w:after="90" w:line="250" w:lineRule="auto"/>
        <w:ind w:left="792" w:hanging="288"/>
      </w:pPr>
      <w:r>
        <w:rPr>
          <w:color w:val="5F6B70"/>
          <w:sz w:val="18"/>
          <w:szCs w:val="18"/>
        </w:rPr>
        <w:t xml:space="preserve">Donan Jr PC, Pace KA, Ruiz CW, Gracia MM. Distending media used during hysteroscopy: perioperative nursing implications. </w:t>
      </w:r>
      <w:r>
        <w:rPr>
          <w:i/>
          <w:iCs/>
          <w:color w:val="5F6B70"/>
          <w:sz w:val="18"/>
          <w:szCs w:val="18"/>
        </w:rPr>
        <w:t>AORN J.</w:t>
      </w:r>
      <w:r>
        <w:rPr>
          <w:color w:val="5F6B70"/>
          <w:sz w:val="18"/>
          <w:szCs w:val="18"/>
        </w:rPr>
        <w:t xml:space="preserve"> 2020;112(6):634-648.</w:t>
      </w:r>
    </w:p>
    <w:p w14:paraId="1B9F2DF8" w14:textId="77777777" w:rsidR="00C153B0" w:rsidRDefault="00000000">
      <w:pPr>
        <w:spacing w:after="90" w:line="250" w:lineRule="auto"/>
        <w:ind w:left="792" w:hanging="288"/>
      </w:pPr>
      <w:r>
        <w:rPr>
          <w:color w:val="5F6B70"/>
          <w:sz w:val="18"/>
          <w:szCs w:val="18"/>
        </w:rPr>
        <w:t xml:space="preserve">Guideline for minimally invasive surgery. In: </w:t>
      </w:r>
      <w:r>
        <w:rPr>
          <w:i/>
          <w:iCs/>
          <w:color w:val="5F6B70"/>
          <w:sz w:val="18"/>
          <w:szCs w:val="18"/>
        </w:rPr>
        <w:t>Guidelines for Perioperative Practice</w:t>
      </w:r>
      <w:r>
        <w:rPr>
          <w:color w:val="5F6B70"/>
          <w:sz w:val="18"/>
          <w:szCs w:val="18"/>
        </w:rPr>
        <w:t>. Denver, CO: AORN, Inc.</w:t>
      </w:r>
    </w:p>
    <w:p w14:paraId="44B3475A" w14:textId="77777777" w:rsidR="00C153B0" w:rsidRDefault="00000000">
      <w:pPr>
        <w:spacing w:after="90" w:line="250" w:lineRule="auto"/>
        <w:ind w:left="792" w:hanging="288"/>
      </w:pPr>
      <w:proofErr w:type="spellStart"/>
      <w:r>
        <w:rPr>
          <w:color w:val="5F6B70"/>
          <w:sz w:val="18"/>
          <w:szCs w:val="18"/>
        </w:rPr>
        <w:t>Umranikar</w:t>
      </w:r>
      <w:proofErr w:type="spellEnd"/>
      <w:r>
        <w:rPr>
          <w:color w:val="5F6B70"/>
          <w:sz w:val="18"/>
          <w:szCs w:val="18"/>
        </w:rPr>
        <w:t xml:space="preserve"> S, Clark TJ, </w:t>
      </w:r>
      <w:proofErr w:type="spellStart"/>
      <w:r>
        <w:rPr>
          <w:color w:val="5F6B70"/>
          <w:sz w:val="18"/>
          <w:szCs w:val="18"/>
        </w:rPr>
        <w:t>Saridogan</w:t>
      </w:r>
      <w:proofErr w:type="spellEnd"/>
      <w:r>
        <w:rPr>
          <w:color w:val="5F6B70"/>
          <w:sz w:val="18"/>
          <w:szCs w:val="18"/>
        </w:rPr>
        <w:t xml:space="preserve"> E, et al. BSGE/ESGE guideline on management of fluid distension media in operative hysteroscopy. </w:t>
      </w:r>
      <w:proofErr w:type="spellStart"/>
      <w:r>
        <w:rPr>
          <w:i/>
          <w:iCs/>
          <w:color w:val="5F6B70"/>
          <w:sz w:val="18"/>
          <w:szCs w:val="18"/>
        </w:rPr>
        <w:t>Gynecol</w:t>
      </w:r>
      <w:proofErr w:type="spellEnd"/>
      <w:r>
        <w:rPr>
          <w:i/>
          <w:iCs/>
          <w:color w:val="5F6B70"/>
          <w:sz w:val="18"/>
          <w:szCs w:val="18"/>
        </w:rPr>
        <w:t xml:space="preserve"> Surg</w:t>
      </w:r>
      <w:r>
        <w:rPr>
          <w:color w:val="5F6B70"/>
          <w:sz w:val="18"/>
          <w:szCs w:val="18"/>
        </w:rPr>
        <w:t>. 2016;13(4):289-303.</w:t>
      </w:r>
    </w:p>
    <w:p w14:paraId="2CC533BE" w14:textId="77777777" w:rsidR="00C153B0" w:rsidRDefault="00000000">
      <w:pPr>
        <w:spacing w:before="140" w:after="40"/>
      </w:pPr>
      <w:r>
        <w:rPr>
          <w:i/>
          <w:iCs/>
          <w:color w:val="5F6B70"/>
          <w:sz w:val="17"/>
          <w:szCs w:val="17"/>
        </w:rPr>
        <w:t>Updated November 18, 2022</w:t>
      </w:r>
    </w:p>
    <w:p w14:paraId="245ED704" w14:textId="77777777" w:rsidR="00C153B0" w:rsidRDefault="00C153B0">
      <w:pPr>
        <w:pBdr>
          <w:bottom w:val="single" w:sz="4" w:space="1" w:color="C4D3D8"/>
        </w:pBdr>
        <w:spacing w:before="300"/>
      </w:pPr>
    </w:p>
    <w:p w14:paraId="656B89DF" w14:textId="77777777" w:rsidR="00C153B0" w:rsidRDefault="00000000">
      <w:pPr>
        <w:pStyle w:val="Heading2"/>
        <w:keepNext/>
        <w:spacing w:before="380" w:after="160"/>
      </w:pPr>
      <w:r>
        <w:rPr>
          <w:color w:val="14657A"/>
        </w:rPr>
        <w:t xml:space="preserve">6.  </w:t>
      </w:r>
      <w:r>
        <w:t>What adverse reaction is associated with excess absorption of hypotonic solution?</w:t>
      </w:r>
    </w:p>
    <w:p w14:paraId="69950C8C" w14:textId="77777777" w:rsidR="00C153B0" w:rsidRDefault="00000000">
      <w:pPr>
        <w:spacing w:after="160" w:line="276" w:lineRule="auto"/>
        <w:jc w:val="both"/>
      </w:pPr>
      <w:r>
        <w:t>Excessive amounts of hypotonic solution absorbed into the patient’s vasculature during MIS procedures can lead to physiological changes including hyponatremia; hypervolemia; and cardiovascular, neurological, and pulmonary complications. This condition is referred to as transurethral resection (TUR) syndrome because it was first reported in transurethral resection of the prostate.</w:t>
      </w:r>
    </w:p>
    <w:p w14:paraId="160F3D37" w14:textId="77777777" w:rsidR="00C153B0" w:rsidRDefault="00000000">
      <w:pPr>
        <w:spacing w:after="160" w:line="276" w:lineRule="auto"/>
        <w:jc w:val="both"/>
      </w:pPr>
      <w:r>
        <w:t>The fluid can be absorbed through vessels that are disrupted during resection of tissue or when the intracavity pressure is higher than the mean arterial pressure. The absorption of excess hypotonic solution changes the plasma sodium concentration and the tonicity of the cells, resulting in a fluid shift. The plasma sodium concentration decreases rapidly if the volume of fluid infused into the patient exceeds the capacity of the kidneys to excrete the excess fluid.</w:t>
      </w:r>
    </w:p>
    <w:p w14:paraId="61AC1F1A" w14:textId="77777777" w:rsidR="00C153B0" w:rsidRDefault="00000000">
      <w:pPr>
        <w:spacing w:after="160" w:line="276" w:lineRule="auto"/>
        <w:jc w:val="both"/>
      </w:pPr>
      <w:r>
        <w:t>Cases of complications from excess fluid absorption have been reported, including heart failure, cerebral edema, and pulmonary edema. Complications related to fluid distension media occur in less than 1% of procedures, but the risks increase with the length of the procedure and the degree of dissection of the surrounding tissues. Most healthy adults can accommodate the fluid absorption, but patients with comorbidities (</w:t>
      </w:r>
      <w:proofErr w:type="spellStart"/>
      <w:r>
        <w:t>ie</w:t>
      </w:r>
      <w:proofErr w:type="spellEnd"/>
      <w:r>
        <w:t>, cardiovascular or renal dysfunction) are at higher risk for complications.</w:t>
      </w:r>
    </w:p>
    <w:p w14:paraId="23320429" w14:textId="77777777" w:rsidR="00C153B0" w:rsidRDefault="00000000">
      <w:pPr>
        <w:spacing w:before="200" w:after="100"/>
      </w:pPr>
      <w:r>
        <w:rPr>
          <w:b/>
          <w:bCs/>
          <w:caps/>
          <w:color w:val="14657A"/>
          <w:spacing w:val="24"/>
          <w:sz w:val="17"/>
          <w:szCs w:val="17"/>
        </w:rPr>
        <w:t>Resource</w:t>
      </w:r>
    </w:p>
    <w:p w14:paraId="50D658F5" w14:textId="77777777" w:rsidR="00C153B0" w:rsidRDefault="00000000">
      <w:pPr>
        <w:spacing w:after="90" w:line="250" w:lineRule="auto"/>
        <w:ind w:left="792" w:hanging="288"/>
      </w:pPr>
      <w:r>
        <w:rPr>
          <w:color w:val="5F6B70"/>
          <w:sz w:val="18"/>
          <w:szCs w:val="18"/>
        </w:rPr>
        <w:t xml:space="preserve">Guideline for minimally invasive surgery. In: </w:t>
      </w:r>
      <w:r>
        <w:rPr>
          <w:i/>
          <w:iCs/>
          <w:color w:val="5F6B70"/>
          <w:sz w:val="18"/>
          <w:szCs w:val="18"/>
        </w:rPr>
        <w:t>Guidelines for Perioperative Practice</w:t>
      </w:r>
      <w:r>
        <w:rPr>
          <w:color w:val="5F6B70"/>
          <w:sz w:val="18"/>
          <w:szCs w:val="18"/>
        </w:rPr>
        <w:t>. Denver, CO: AORN, Inc.</w:t>
      </w:r>
    </w:p>
    <w:p w14:paraId="4A1F9475" w14:textId="77777777" w:rsidR="00C153B0" w:rsidRDefault="00000000">
      <w:pPr>
        <w:spacing w:before="140" w:after="40"/>
      </w:pPr>
      <w:r>
        <w:rPr>
          <w:i/>
          <w:iCs/>
          <w:color w:val="5F6B70"/>
          <w:sz w:val="17"/>
          <w:szCs w:val="17"/>
        </w:rPr>
        <w:t>Updated November 18, 2022</w:t>
      </w:r>
    </w:p>
    <w:sectPr w:rsidR="00C153B0">
      <w:footerReference w:type="default" r:id="rId7"/>
      <w:pgSz w:w="12240" w:h="15840"/>
      <w:pgMar w:top="1180" w:right="1296" w:bottom="1080" w:left="1296" w:header="560"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AD106" w14:textId="77777777" w:rsidR="004E5F88" w:rsidRDefault="004E5F88">
      <w:r>
        <w:separator/>
      </w:r>
    </w:p>
  </w:endnote>
  <w:endnote w:type="continuationSeparator" w:id="0">
    <w:p w14:paraId="3CBBE09A" w14:textId="77777777" w:rsidR="004E5F88" w:rsidRDefault="004E5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5763" w14:textId="77777777" w:rsidR="00C153B0" w:rsidRDefault="00000000">
    <w:pPr>
      <w:pBdr>
        <w:top w:val="single" w:sz="4" w:space="8" w:color="C4D3D8"/>
      </w:pBdr>
      <w:tabs>
        <w:tab w:val="right" w:pos="9648"/>
      </w:tabs>
    </w:pPr>
    <w:r>
      <w:rPr>
        <w:color w:val="5F6B70"/>
        <w:sz w:val="16"/>
        <w:szCs w:val="16"/>
      </w:rPr>
      <w:t xml:space="preserve">Clinical FAQs: Minimally Invasive </w:t>
    </w:r>
    <w:proofErr w:type="gramStart"/>
    <w:r>
      <w:rPr>
        <w:color w:val="5F6B70"/>
        <w:sz w:val="16"/>
        <w:szCs w:val="16"/>
      </w:rPr>
      <w:t>Surgery  |</w:t>
    </w:r>
    <w:proofErr w:type="gramEnd"/>
    <w:r>
      <w:rPr>
        <w:color w:val="5F6B70"/>
        <w:sz w:val="16"/>
        <w:szCs w:val="16"/>
      </w:rPr>
      <w:t xml:space="preserve">  AORN, Inc.</w:t>
    </w:r>
    <w:r>
      <w:tab/>
    </w:r>
    <w:r>
      <w:rPr>
        <w:color w:val="5F6B70"/>
        <w:sz w:val="16"/>
        <w:szCs w:val="16"/>
      </w:rPr>
      <w:t xml:space="preserve">Page </w:t>
    </w:r>
    <w:r>
      <w:rPr>
        <w:color w:val="5F6B70"/>
        <w:sz w:val="16"/>
        <w:szCs w:val="16"/>
      </w:rPr>
      <w:fldChar w:fldCharType="begin"/>
    </w:r>
    <w:r>
      <w:rPr>
        <w:color w:val="5F6B70"/>
        <w:sz w:val="16"/>
        <w:szCs w:val="16"/>
      </w:rPr>
      <w:instrText>PAGE</w:instrText>
    </w:r>
    <w:r>
      <w:rPr>
        <w:color w:val="5F6B70"/>
        <w:sz w:val="16"/>
        <w:szCs w:val="16"/>
      </w:rPr>
      <w:fldChar w:fldCharType="separate"/>
    </w:r>
    <w:r w:rsidR="00C53D1F">
      <w:rPr>
        <w:noProof/>
        <w:color w:val="5F6B70"/>
        <w:sz w:val="16"/>
        <w:szCs w:val="16"/>
      </w:rPr>
      <w:t>1</w:t>
    </w:r>
    <w:r>
      <w:rPr>
        <w:color w:val="5F6B70"/>
        <w:sz w:val="16"/>
        <w:szCs w:val="16"/>
      </w:rPr>
      <w:fldChar w:fldCharType="end"/>
    </w:r>
    <w:r>
      <w:rPr>
        <w:color w:val="5F6B70"/>
        <w:sz w:val="16"/>
        <w:szCs w:val="16"/>
      </w:rPr>
      <w:t xml:space="preserve"> of </w:t>
    </w:r>
    <w:r>
      <w:rPr>
        <w:color w:val="5F6B70"/>
        <w:sz w:val="16"/>
        <w:szCs w:val="16"/>
      </w:rPr>
      <w:fldChar w:fldCharType="begin"/>
    </w:r>
    <w:r>
      <w:rPr>
        <w:color w:val="5F6B70"/>
        <w:sz w:val="16"/>
        <w:szCs w:val="16"/>
      </w:rPr>
      <w:instrText>NUMPAGES</w:instrText>
    </w:r>
    <w:r>
      <w:rPr>
        <w:color w:val="5F6B70"/>
        <w:sz w:val="16"/>
        <w:szCs w:val="16"/>
      </w:rPr>
      <w:fldChar w:fldCharType="separate"/>
    </w:r>
    <w:r w:rsidR="00C53D1F">
      <w:rPr>
        <w:noProof/>
        <w:color w:val="5F6B70"/>
        <w:sz w:val="16"/>
        <w:szCs w:val="16"/>
      </w:rPr>
      <w:t>2</w:t>
    </w:r>
    <w:r>
      <w:rPr>
        <w:color w:val="5F6B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B4C1C" w14:textId="77777777" w:rsidR="004E5F88" w:rsidRDefault="004E5F88">
      <w:r>
        <w:separator/>
      </w:r>
    </w:p>
  </w:footnote>
  <w:footnote w:type="continuationSeparator" w:id="0">
    <w:p w14:paraId="4A6C6692" w14:textId="77777777" w:rsidR="004E5F88" w:rsidRDefault="004E5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404"/>
    <w:multiLevelType w:val="hybridMultilevel"/>
    <w:tmpl w:val="D2F21DB2"/>
    <w:lvl w:ilvl="0" w:tplc="B440B076">
      <w:start w:val="1"/>
      <w:numFmt w:val="bullet"/>
      <w:lvlText w:val="▪"/>
      <w:lvlJc w:val="left"/>
      <w:pPr>
        <w:ind w:left="504" w:hanging="288"/>
      </w:pPr>
      <w:rPr>
        <w:rFonts w:ascii="Calibri" w:eastAsia="Calibri" w:hAnsi="Calibri" w:cs="Calibri"/>
        <w:color w:val="14657A"/>
        <w:sz w:val="22"/>
        <w:szCs w:val="22"/>
      </w:rPr>
    </w:lvl>
    <w:lvl w:ilvl="1" w:tplc="45A68802">
      <w:numFmt w:val="decimal"/>
      <w:lvlText w:val=""/>
      <w:lvlJc w:val="left"/>
    </w:lvl>
    <w:lvl w:ilvl="2" w:tplc="1D6874F2">
      <w:numFmt w:val="decimal"/>
      <w:lvlText w:val=""/>
      <w:lvlJc w:val="left"/>
    </w:lvl>
    <w:lvl w:ilvl="3" w:tplc="DB389304">
      <w:numFmt w:val="decimal"/>
      <w:lvlText w:val=""/>
      <w:lvlJc w:val="left"/>
    </w:lvl>
    <w:lvl w:ilvl="4" w:tplc="ACBE7458">
      <w:numFmt w:val="decimal"/>
      <w:lvlText w:val=""/>
      <w:lvlJc w:val="left"/>
    </w:lvl>
    <w:lvl w:ilvl="5" w:tplc="B8C0532A">
      <w:numFmt w:val="decimal"/>
      <w:lvlText w:val=""/>
      <w:lvlJc w:val="left"/>
    </w:lvl>
    <w:lvl w:ilvl="6" w:tplc="02A4B490">
      <w:numFmt w:val="decimal"/>
      <w:lvlText w:val=""/>
      <w:lvlJc w:val="left"/>
    </w:lvl>
    <w:lvl w:ilvl="7" w:tplc="7452F93C">
      <w:numFmt w:val="decimal"/>
      <w:lvlText w:val=""/>
      <w:lvlJc w:val="left"/>
    </w:lvl>
    <w:lvl w:ilvl="8" w:tplc="0B38DCD0">
      <w:numFmt w:val="decimal"/>
      <w:lvlText w:val=""/>
      <w:lvlJc w:val="left"/>
    </w:lvl>
  </w:abstractNum>
  <w:abstractNum w:abstractNumId="1" w15:restartNumberingAfterBreak="0">
    <w:nsid w:val="588247AB"/>
    <w:multiLevelType w:val="hybridMultilevel"/>
    <w:tmpl w:val="65B412B2"/>
    <w:lvl w:ilvl="0" w:tplc="BD3C5DE8">
      <w:start w:val="1"/>
      <w:numFmt w:val="bullet"/>
      <w:lvlText w:val="●"/>
      <w:lvlJc w:val="left"/>
      <w:pPr>
        <w:ind w:left="720" w:hanging="360"/>
      </w:pPr>
    </w:lvl>
    <w:lvl w:ilvl="1" w:tplc="2020F192">
      <w:start w:val="1"/>
      <w:numFmt w:val="bullet"/>
      <w:lvlText w:val="○"/>
      <w:lvlJc w:val="left"/>
      <w:pPr>
        <w:ind w:left="1440" w:hanging="360"/>
      </w:pPr>
    </w:lvl>
    <w:lvl w:ilvl="2" w:tplc="193A43A6">
      <w:start w:val="1"/>
      <w:numFmt w:val="bullet"/>
      <w:lvlText w:val="■"/>
      <w:lvlJc w:val="left"/>
      <w:pPr>
        <w:ind w:left="2160" w:hanging="360"/>
      </w:pPr>
    </w:lvl>
    <w:lvl w:ilvl="3" w:tplc="CE52CCEA">
      <w:start w:val="1"/>
      <w:numFmt w:val="bullet"/>
      <w:lvlText w:val="●"/>
      <w:lvlJc w:val="left"/>
      <w:pPr>
        <w:ind w:left="2880" w:hanging="360"/>
      </w:pPr>
    </w:lvl>
    <w:lvl w:ilvl="4" w:tplc="A36C192E">
      <w:start w:val="1"/>
      <w:numFmt w:val="bullet"/>
      <w:lvlText w:val="○"/>
      <w:lvlJc w:val="left"/>
      <w:pPr>
        <w:ind w:left="3600" w:hanging="360"/>
      </w:pPr>
    </w:lvl>
    <w:lvl w:ilvl="5" w:tplc="7F487D02">
      <w:start w:val="1"/>
      <w:numFmt w:val="bullet"/>
      <w:lvlText w:val="■"/>
      <w:lvlJc w:val="left"/>
      <w:pPr>
        <w:ind w:left="4320" w:hanging="360"/>
      </w:pPr>
    </w:lvl>
    <w:lvl w:ilvl="6" w:tplc="43A0CC8A">
      <w:start w:val="1"/>
      <w:numFmt w:val="bullet"/>
      <w:lvlText w:val="●"/>
      <w:lvlJc w:val="left"/>
      <w:pPr>
        <w:ind w:left="5040" w:hanging="360"/>
      </w:pPr>
    </w:lvl>
    <w:lvl w:ilvl="7" w:tplc="6EF2D6F4">
      <w:start w:val="1"/>
      <w:numFmt w:val="bullet"/>
      <w:lvlText w:val="●"/>
      <w:lvlJc w:val="left"/>
      <w:pPr>
        <w:ind w:left="5760" w:hanging="360"/>
      </w:pPr>
    </w:lvl>
    <w:lvl w:ilvl="8" w:tplc="D88E4368">
      <w:start w:val="1"/>
      <w:numFmt w:val="bullet"/>
      <w:lvlText w:val="●"/>
      <w:lvlJc w:val="left"/>
      <w:pPr>
        <w:ind w:left="6480" w:hanging="360"/>
      </w:pPr>
    </w:lvl>
  </w:abstractNum>
  <w:num w:numId="1" w16cid:durableId="1896354741">
    <w:abstractNumId w:val="1"/>
    <w:lvlOverride w:ilvl="0">
      <w:startOverride w:val="1"/>
    </w:lvlOverride>
  </w:num>
  <w:num w:numId="2" w16cid:durableId="21469706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3B0"/>
    <w:rsid w:val="004E5F88"/>
    <w:rsid w:val="00C153B0"/>
    <w:rsid w:val="00C53D1F"/>
    <w:rsid w:val="00E93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086A65"/>
  <w15:docId w15:val="{E96AE788-077B-F94D-8B59-28B7AF05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b/>
      <w:bCs/>
      <w:color w:val="0E3F4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1527</Words>
  <Characters>8704</Characters>
  <Application>Microsoft Office Word</Application>
  <DocSecurity>0</DocSecurity>
  <Lines>72</Lines>
  <Paragraphs>20</Paragraphs>
  <ScaleCrop>false</ScaleCrop>
  <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FAQs: Minimally Invasive Surgery (AORN)</dc:title>
  <dc:creator>Nash Healthcare Consulting</dc:creator>
  <dc:description>AORN Clinical FAQs on minimally invasive surgery, formatted for reference.</dc:description>
  <cp:lastModifiedBy>Gayle Nash</cp:lastModifiedBy>
  <cp:revision>2</cp:revision>
  <dcterms:created xsi:type="dcterms:W3CDTF">2026-08-05T23:45:00Z</dcterms:created>
  <dcterms:modified xsi:type="dcterms:W3CDTF">2026-08-05T23:45:00Z</dcterms:modified>
</cp:coreProperties>
</file>