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40FE" w14:textId="77777777" w:rsidR="00CD099F" w:rsidRDefault="00CD099F" w:rsidP="00CD099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19311514" w14:textId="77777777" w:rsidR="00CD099F" w:rsidRDefault="00CD099F" w:rsidP="00CD09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72F1B617" w14:textId="77777777" w:rsidR="00CD099F" w:rsidRDefault="00CD099F" w:rsidP="00CD09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4F15DF45" w14:textId="63CDAE84" w:rsidR="00CD099F" w:rsidRDefault="00CD099F" w:rsidP="00CD09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noProof/>
          <w:sz w:val="24"/>
          <w:szCs w:val="24"/>
        </w:rPr>
        <w:drawing>
          <wp:inline distT="0" distB="0" distL="0" distR="0" wp14:anchorId="52526424" wp14:editId="66B21C6D">
            <wp:extent cx="2257944" cy="1765448"/>
            <wp:effectExtent l="0" t="0" r="9525" b="635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472" cy="1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CE3C7" w14:textId="57AB43BA" w:rsidR="00CD099F" w:rsidRDefault="00CD099F" w:rsidP="00CD09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605208C4" w14:textId="74ADB06F" w:rsidR="00CD099F" w:rsidRDefault="00CD099F" w:rsidP="00BE311D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Research Update </w:t>
      </w:r>
    </w:p>
    <w:p w14:paraId="33DF54C2" w14:textId="03A4E5A2" w:rsidR="00BE311D" w:rsidRDefault="00BE311D" w:rsidP="00BE311D">
      <w:pPr>
        <w:spacing w:line="240" w:lineRule="auto"/>
        <w:jc w:val="center"/>
        <w:rPr>
          <w:b/>
          <w:bCs/>
        </w:rPr>
      </w:pPr>
      <w:r w:rsidRPr="00BE311D">
        <w:rPr>
          <w:rFonts w:ascii="Calibri" w:hAnsi="Calibri" w:cs="Calibri"/>
          <w:b/>
          <w:bCs/>
          <w:sz w:val="24"/>
          <w:szCs w:val="24"/>
        </w:rPr>
        <w:t>Robert H. Brown, Jr., D.Phil., M.D.</w:t>
      </w:r>
    </w:p>
    <w:p w14:paraId="0FBBAECC" w14:textId="31FC3739" w:rsidR="00CD099F" w:rsidRPr="00BE311D" w:rsidRDefault="00CD099F" w:rsidP="00BE311D">
      <w:pPr>
        <w:spacing w:line="240" w:lineRule="auto"/>
        <w:jc w:val="center"/>
        <w:rPr>
          <w:b/>
          <w:bCs/>
        </w:rPr>
      </w:pPr>
      <w:r>
        <w:rPr>
          <w:rFonts w:ascii="Calibri" w:hAnsi="Calibri" w:cs="Calibri"/>
          <w:b/>
          <w:bCs/>
          <w:i/>
          <w:iCs/>
          <w:sz w:val="24"/>
          <w:szCs w:val="24"/>
        </w:rPr>
        <w:t>UMass Chan Medical School</w:t>
      </w:r>
    </w:p>
    <w:p w14:paraId="060BF49B" w14:textId="77777777" w:rsidR="00CD099F" w:rsidRDefault="00CD099F" w:rsidP="00CD099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"/>
        <w:jc w:val="center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6C0A1FFF" w14:textId="0C71A6DB" w:rsidR="00CD099F" w:rsidRDefault="00BE311D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0D2625A" wp14:editId="7938E1BA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424457" cy="2056765"/>
            <wp:effectExtent l="0" t="0" r="4445" b="635"/>
            <wp:wrapSquare wrapText="bothSides"/>
            <wp:docPr id="3" name="Picture 3" descr="A person wearing glasses and a sui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wearing glasses and a sui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457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D099F">
        <w:rPr>
          <w:rFonts w:ascii="Calibri-Bold" w:hAnsi="Calibri-Bold" w:cs="Calibri-Bold"/>
          <w:b/>
          <w:bCs/>
          <w:sz w:val="24"/>
          <w:szCs w:val="24"/>
        </w:rPr>
        <w:t>Gene Discovery</w:t>
      </w:r>
      <w:r w:rsidR="00CD099F">
        <w:rPr>
          <w:rFonts w:ascii="Calibri" w:hAnsi="Calibri" w:cs="Calibri"/>
          <w:sz w:val="24"/>
          <w:szCs w:val="24"/>
        </w:rPr>
        <w:t>. A major research goal in our laboratory has been to identify genes whose mutations</w:t>
      </w:r>
      <w:r>
        <w:rPr>
          <w:rFonts w:ascii="Calibri" w:hAnsi="Calibri" w:cs="Calibri"/>
          <w:sz w:val="24"/>
          <w:szCs w:val="24"/>
        </w:rPr>
        <w:t xml:space="preserve"> </w:t>
      </w:r>
      <w:r w:rsidR="00CD099F">
        <w:rPr>
          <w:rFonts w:ascii="Calibri" w:hAnsi="Calibri" w:cs="Calibri"/>
          <w:sz w:val="24"/>
          <w:szCs w:val="24"/>
        </w:rPr>
        <w:t>can trigger ALS. The central premise is that these either are themselves direct targets of therapy or that</w:t>
      </w:r>
      <w:r>
        <w:rPr>
          <w:rFonts w:ascii="Calibri" w:hAnsi="Calibri" w:cs="Calibri"/>
          <w:sz w:val="24"/>
          <w:szCs w:val="24"/>
        </w:rPr>
        <w:t xml:space="preserve"> </w:t>
      </w:r>
      <w:r w:rsidR="00CD099F">
        <w:rPr>
          <w:rFonts w:ascii="Calibri" w:hAnsi="Calibri" w:cs="Calibri"/>
          <w:sz w:val="24"/>
          <w:szCs w:val="24"/>
        </w:rPr>
        <w:t>understanding the genes will define treatable pathways that lead to motor neuron death both in</w:t>
      </w:r>
      <w:r>
        <w:rPr>
          <w:rFonts w:ascii="Calibri" w:hAnsi="Calibri" w:cs="Calibri"/>
          <w:sz w:val="24"/>
          <w:szCs w:val="24"/>
        </w:rPr>
        <w:t xml:space="preserve"> </w:t>
      </w:r>
      <w:r w:rsidR="00CD099F">
        <w:rPr>
          <w:rFonts w:ascii="Calibri" w:hAnsi="Calibri" w:cs="Calibri"/>
          <w:sz w:val="24"/>
          <w:szCs w:val="24"/>
        </w:rPr>
        <w:t>familial and sporadic ALS. The Angel Fund support has been central in our gene discovery program. The</w:t>
      </w:r>
    </w:p>
    <w:p w14:paraId="4CFF5237" w14:textId="558C83AA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following genes have been identified in the program, combining the investigations of the Brown,</w:t>
      </w:r>
      <w:r w:rsidR="00BE311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Landers, and Bosco laboratories: FUS, profilin-1, TBK1, Tubulin A4A, ERB4, CCNF, NEK1. As well, Bob</w:t>
      </w:r>
      <w:r w:rsidR="00BE311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Brown and John Landers have been members of large consortia that have identified other genes. Three</w:t>
      </w:r>
      <w:r w:rsidR="00BE311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points must be emphasized here. First, John Landers has been an international leader in establishing</w:t>
      </w:r>
      <w:r w:rsidR="00BE311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these consortia and in gene discovery. Second, in the early phases of this program, the Angel Fund was</w:t>
      </w:r>
      <w:r w:rsidR="00BE311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pivotal in purchasing a large robot to accelerate fluid handling for this project, a technology that greatly</w:t>
      </w:r>
      <w:r w:rsidR="00BE311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accelerated the work. And third, Dr. Bosco’s work on the fundamental biology of these mutant genes</w:t>
      </w:r>
      <w:r w:rsidR="00BE311D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has been widely acknowledged by ALS teams world-wide.</w:t>
      </w:r>
    </w:p>
    <w:p w14:paraId="51AD303D" w14:textId="77777777" w:rsidR="00BE311D" w:rsidRDefault="00BE311D" w:rsidP="00CD09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7A01F7D8" w14:textId="0AA40700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Gene Suppression</w:t>
      </w:r>
      <w:r>
        <w:rPr>
          <w:rFonts w:ascii="Calibri" w:hAnsi="Calibri" w:cs="Calibri"/>
          <w:sz w:val="24"/>
          <w:szCs w:val="24"/>
        </w:rPr>
        <w:t>. For most of the genes discovered thus far in ALS, the mutations endow the gene</w:t>
      </w:r>
    </w:p>
    <w:p w14:paraId="388E20F1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with toxic properties. A major effort of our laboratory has been to identify and implement approaches</w:t>
      </w:r>
    </w:p>
    <w:p w14:paraId="3F92809D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detoxifying these genes. Such studies typically start in petri dishes and mouse models and then, if</w:t>
      </w:r>
    </w:p>
    <w:p w14:paraId="725CD050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appropriate, move to larger animal studies and human trials (in three instances so far). These are multiyear</w:t>
      </w:r>
    </w:p>
    <w:p w14:paraId="6DB07FA0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therapy development programs that require long-term commitment and resources, particularly in</w:t>
      </w:r>
    </w:p>
    <w:p w14:paraId="271D12FD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costly, late-phase animal studies. The Angel Fund has been extremely important in such programs.</w:t>
      </w:r>
    </w:p>
    <w:p w14:paraId="04BE1571" w14:textId="77777777" w:rsidR="00BE311D" w:rsidRDefault="00BE311D" w:rsidP="00CD09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216E431D" w14:textId="7C207890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SOD1. </w:t>
      </w:r>
      <w:r>
        <w:rPr>
          <w:rFonts w:ascii="Calibri" w:hAnsi="Calibri" w:cs="Calibri"/>
          <w:sz w:val="24"/>
          <w:szCs w:val="24"/>
        </w:rPr>
        <w:t>We have developed an approach to suppression mutant SOD1 toxicity using a virus to deliver</w:t>
      </w:r>
    </w:p>
    <w:p w14:paraId="1E1162CA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microRNA to the brain and spinal cord. This proved very effective in mice and monkeys and showed</w:t>
      </w:r>
    </w:p>
    <w:p w14:paraId="1C079C27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promising pilot results in two patients. In conjunction with Anastasia </w:t>
      </w:r>
      <w:proofErr w:type="spellStart"/>
      <w:r>
        <w:rPr>
          <w:rFonts w:ascii="Calibri" w:hAnsi="Calibri" w:cs="Calibri"/>
          <w:sz w:val="24"/>
          <w:szCs w:val="24"/>
        </w:rPr>
        <w:t>Khvorova</w:t>
      </w:r>
      <w:proofErr w:type="spellEnd"/>
      <w:r>
        <w:rPr>
          <w:rFonts w:ascii="Calibri" w:hAnsi="Calibri" w:cs="Calibri"/>
          <w:sz w:val="24"/>
          <w:szCs w:val="24"/>
        </w:rPr>
        <w:t xml:space="preserve"> at UMass Chan Medical</w:t>
      </w:r>
    </w:p>
    <w:p w14:paraId="6AFE438E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School, we have been studying a new type of gene suppression reagent (a “</w:t>
      </w:r>
      <w:proofErr w:type="spellStart"/>
      <w:r>
        <w:rPr>
          <w:rFonts w:ascii="Calibri" w:hAnsi="Calibri" w:cs="Calibri"/>
          <w:sz w:val="24"/>
          <w:szCs w:val="24"/>
        </w:rPr>
        <w:t>disiRNA</w:t>
      </w:r>
      <w:proofErr w:type="spellEnd"/>
      <w:r>
        <w:rPr>
          <w:rFonts w:ascii="Calibri" w:hAnsi="Calibri" w:cs="Calibri"/>
          <w:sz w:val="24"/>
          <w:szCs w:val="24"/>
        </w:rPr>
        <w:t>”) that shows</w:t>
      </w:r>
    </w:p>
    <w:p w14:paraId="3772920D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unusual potency in suppressing SOD1 in mice.</w:t>
      </w:r>
    </w:p>
    <w:p w14:paraId="13CA6E10" w14:textId="77777777" w:rsidR="00BE311D" w:rsidRDefault="00BE311D" w:rsidP="00CD09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4159D31D" w14:textId="0B493D89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C9orf72 (</w:t>
      </w:r>
      <w:proofErr w:type="spellStart"/>
      <w:r>
        <w:rPr>
          <w:rFonts w:ascii="Calibri-Bold" w:hAnsi="Calibri-Bold" w:cs="Calibri-Bold"/>
          <w:b/>
          <w:bCs/>
          <w:sz w:val="24"/>
          <w:szCs w:val="24"/>
        </w:rPr>
        <w:t>UMassChan</w:t>
      </w:r>
      <w:proofErr w:type="spellEnd"/>
      <w:r>
        <w:rPr>
          <w:rFonts w:ascii="Calibri-Bold" w:hAnsi="Calibri-Bold" w:cs="Calibri-Bold"/>
          <w:b/>
          <w:bCs/>
          <w:sz w:val="24"/>
          <w:szCs w:val="24"/>
        </w:rPr>
        <w:t xml:space="preserve">) </w:t>
      </w:r>
      <w:r>
        <w:rPr>
          <w:rFonts w:ascii="Calibri" w:hAnsi="Calibri" w:cs="Calibri"/>
          <w:sz w:val="24"/>
          <w:szCs w:val="24"/>
        </w:rPr>
        <w:t>Another central activity has been the development of anti-sense</w:t>
      </w:r>
    </w:p>
    <w:p w14:paraId="2E04E9EF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oligonucleotides (ASO) to silence toxicity of the C9orf72 gene, the most commonly mutated ALS gene.</w:t>
      </w:r>
    </w:p>
    <w:p w14:paraId="0D8F4CF8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The generosity of the Angel Fund has been the cornerstone of this program. Over the last five years,</w:t>
      </w:r>
    </w:p>
    <w:p w14:paraId="4D888316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working closely with Jonathan Watts, we have moved this therapy from preclinical studies, to monkey</w:t>
      </w:r>
    </w:p>
    <w:p w14:paraId="0919B74A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toxicity testing, and to one human. We are preparing now to treat ~15 more C9orf72 ALS people with</w:t>
      </w:r>
    </w:p>
    <w:p w14:paraId="3A99529F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this same therapy.</w:t>
      </w:r>
    </w:p>
    <w:p w14:paraId="3FC8F504" w14:textId="77777777" w:rsidR="00BE311D" w:rsidRDefault="00BE311D" w:rsidP="00CD09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27037534" w14:textId="57ED259E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C9orf72 (Wave Lifesciences). </w:t>
      </w:r>
      <w:r>
        <w:rPr>
          <w:rFonts w:ascii="Calibri" w:hAnsi="Calibri" w:cs="Calibri"/>
          <w:sz w:val="24"/>
          <w:szCs w:val="24"/>
        </w:rPr>
        <w:t>We were also privileged to perform pre-clinical work on a new type of</w:t>
      </w:r>
    </w:p>
    <w:p w14:paraId="4AB424C1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ASO to suppress C9orf72 developed by the company Wave Lifesciences.</w:t>
      </w:r>
    </w:p>
    <w:p w14:paraId="17598F90" w14:textId="77777777" w:rsidR="007E5062" w:rsidRDefault="007E5062" w:rsidP="00CD099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3112DB1F" w14:textId="0DFF5481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FUS. </w:t>
      </w:r>
      <w:r>
        <w:rPr>
          <w:rFonts w:ascii="Calibri" w:hAnsi="Calibri" w:cs="Calibri"/>
          <w:sz w:val="24"/>
          <w:szCs w:val="24"/>
        </w:rPr>
        <w:t xml:space="preserve">In collaboration with both Jonathan Watts and Neil </w:t>
      </w:r>
      <w:proofErr w:type="spellStart"/>
      <w:r>
        <w:rPr>
          <w:rFonts w:ascii="Calibri" w:hAnsi="Calibri" w:cs="Calibri"/>
          <w:sz w:val="24"/>
          <w:szCs w:val="24"/>
        </w:rPr>
        <w:t>Shneider</w:t>
      </w:r>
      <w:proofErr w:type="spellEnd"/>
      <w:r>
        <w:rPr>
          <w:rFonts w:ascii="Calibri" w:hAnsi="Calibri" w:cs="Calibri"/>
          <w:sz w:val="24"/>
          <w:szCs w:val="24"/>
        </w:rPr>
        <w:t>, MD, PhD, at Columbia, we have</w:t>
      </w:r>
    </w:p>
    <w:p w14:paraId="3B6CFD9E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also developed ASOs to suppress a mutant form of the FUS gene, which triggers very aggressive ALS,</w:t>
      </w:r>
    </w:p>
    <w:p w14:paraId="5F4A6991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even in children. We intend to move our new anti-FUS ASOs into more efficacy and toxicity trials. If</w:t>
      </w:r>
    </w:p>
    <w:p w14:paraId="44C0D158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these are promising we will then progress to human trials,</w:t>
      </w:r>
    </w:p>
    <w:p w14:paraId="357CC17B" w14:textId="77777777" w:rsidR="007E5062" w:rsidRDefault="007E5062" w:rsidP="00CD09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342BE580" w14:textId="61E551B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Animal models. </w:t>
      </w:r>
      <w:r>
        <w:rPr>
          <w:rFonts w:ascii="Calibri" w:hAnsi="Calibri" w:cs="Calibri"/>
          <w:sz w:val="24"/>
          <w:szCs w:val="24"/>
        </w:rPr>
        <w:t>In preclinical development of therapies, it is enormously helpful to have mouse models</w:t>
      </w:r>
    </w:p>
    <w:p w14:paraId="131032C0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for early testing of reagents. We have developed three mouse models for this purpose: a model of</w:t>
      </w:r>
    </w:p>
    <w:p w14:paraId="6F779BA8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C9orf72 in mice, which recreates the molecular events in humans with C9orf72 ALS but not motor</w:t>
      </w:r>
    </w:p>
    <w:p w14:paraId="5A9B66CE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neuron death. This was all-important in the work leading to the human trial. We have also generated</w:t>
      </w:r>
    </w:p>
    <w:p w14:paraId="16C3C089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new models of SOD1 ALS in mice (in which the mutations are put in the mouse’s own SOD1 gene) and a</w:t>
      </w:r>
    </w:p>
    <w:p w14:paraId="6EBDF71F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model of mutations in the TDP43 gene.</w:t>
      </w:r>
    </w:p>
    <w:p w14:paraId="334B0F98" w14:textId="77777777" w:rsidR="007E5062" w:rsidRDefault="007E5062" w:rsidP="00CD09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08BE58AD" w14:textId="0E176A06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Biomarkers. </w:t>
      </w:r>
      <w:r>
        <w:rPr>
          <w:rFonts w:ascii="Calibri" w:hAnsi="Calibri" w:cs="Calibri"/>
          <w:sz w:val="24"/>
          <w:szCs w:val="24"/>
        </w:rPr>
        <w:t>In any disease, it is important to have tests in blood or spinal fluid that indicate the level of</w:t>
      </w:r>
    </w:p>
    <w:p w14:paraId="095C946E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disease activity (such as blood tests used for diagnosing heart attacks). Such biomarkers have been</w:t>
      </w:r>
    </w:p>
    <w:p w14:paraId="3FB7008D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difficult to develop in ALS. For more than a decade we have focused on a new biomarker: a quantitative</w:t>
      </w:r>
    </w:p>
    <w:p w14:paraId="6A9CEABA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measure of how well motor neurons carry a protein (TTC, a non-toxic derivative of tetanus toxin) from</w:t>
      </w:r>
    </w:p>
    <w:p w14:paraId="20E5C2AE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muscle back to the motor neuron (using retrograde axonal transport). Working with an exceptional</w:t>
      </w:r>
    </w:p>
    <w:p w14:paraId="296A5046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graduate student, Justin Lee, we have just published this assay and shown that, in mice, it is a sensitive</w:t>
      </w:r>
    </w:p>
    <w:p w14:paraId="6E9656B5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measure of a positive response to a treatment, well before standard tests. We are hopeful that we can</w:t>
      </w:r>
    </w:p>
    <w:p w14:paraId="18895052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move this toward tests in humans with ALS.</w:t>
      </w:r>
    </w:p>
    <w:p w14:paraId="1F47B363" w14:textId="77777777" w:rsidR="007E5062" w:rsidRDefault="007E5062" w:rsidP="00CD09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66DB2949" w14:textId="61A20286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Drug discovery. </w:t>
      </w:r>
      <w:r>
        <w:rPr>
          <w:rFonts w:ascii="Calibri" w:hAnsi="Calibri" w:cs="Calibri"/>
          <w:sz w:val="24"/>
          <w:szCs w:val="24"/>
        </w:rPr>
        <w:t>Prior to our studies of microRNA and ASO to suppress ALS genes, we conducted</w:t>
      </w:r>
    </w:p>
    <w:p w14:paraId="00CBCB03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searches for drugs that might be beneficial in ALS. One program, conducted jointly with Dr. Robert</w:t>
      </w:r>
    </w:p>
    <w:p w14:paraId="2537DE60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Langer at MIT and a graduate student, Seth Townsend, studied nanoparticles for delivery to motor</w:t>
      </w:r>
    </w:p>
    <w:p w14:paraId="6B5AC9C3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neurons. Other programs investigated small molecules using high throughput drug screening. These</w:t>
      </w:r>
    </w:p>
    <w:p w14:paraId="14FB2EB9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programs reflected the excellent work of three post-doctoral fellows from the U.K.: Paul Wright, Wendy</w:t>
      </w:r>
    </w:p>
    <w:p w14:paraId="033C283B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Broom, and Carsten Russ.</w:t>
      </w:r>
    </w:p>
    <w:p w14:paraId="169F0873" w14:textId="77777777" w:rsidR="007E5062" w:rsidRDefault="007E5062" w:rsidP="00CD09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35E01BAD" w14:textId="1CB9953D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Stem cells therapies</w:t>
      </w:r>
      <w:r>
        <w:rPr>
          <w:rFonts w:ascii="Calibri" w:hAnsi="Calibri" w:cs="Calibri"/>
          <w:sz w:val="24"/>
          <w:szCs w:val="24"/>
        </w:rPr>
        <w:t>. We have had two broad lines of investigation of stem cell therapy in ALS. First, we</w:t>
      </w:r>
    </w:p>
    <w:p w14:paraId="7192972F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initially probed in our mouse models the use of two types of stem cells (umbilical cord cells, fetal pig</w:t>
      </w:r>
    </w:p>
    <w:p w14:paraId="1FBEE707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cells), in a program that was possible through the expert surgical technique of a then neurosurgery</w:t>
      </w:r>
    </w:p>
    <w:p w14:paraId="79B1C23E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resident, Dr. Steven </w:t>
      </w:r>
      <w:proofErr w:type="spellStart"/>
      <w:r>
        <w:rPr>
          <w:rFonts w:ascii="Calibri" w:hAnsi="Calibri" w:cs="Calibri"/>
          <w:sz w:val="24"/>
          <w:szCs w:val="24"/>
        </w:rPr>
        <w:t>Kalkanis</w:t>
      </w:r>
      <w:proofErr w:type="spellEnd"/>
      <w:r>
        <w:rPr>
          <w:rFonts w:ascii="Calibri" w:hAnsi="Calibri" w:cs="Calibri"/>
          <w:sz w:val="24"/>
          <w:szCs w:val="24"/>
        </w:rPr>
        <w:t>. Second, we have collaborated closely with the Israeli company Brainstorm</w:t>
      </w:r>
    </w:p>
    <w:p w14:paraId="3375C866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test use of a patients’ own stem cells (from bone marrow) in ALS. In two multi-center human studies</w:t>
      </w:r>
    </w:p>
    <w:p w14:paraId="4895BEE8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have seen benefit in terms of improved disease markers in the spinal fluid without a robust clinical</w:t>
      </w:r>
    </w:p>
    <w:p w14:paraId="33C9998E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benefit so far (but some very positive anecdotal results from some patients). The company is</w:t>
      </w:r>
    </w:p>
    <w:p w14:paraId="5814BD2B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considering the next steps in this program.</w:t>
      </w:r>
    </w:p>
    <w:p w14:paraId="0ADC62CA" w14:textId="77777777" w:rsidR="007E5062" w:rsidRDefault="007E5062" w:rsidP="00CD09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2EA9F9A2" w14:textId="6E13DB99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Mouse drug tests. </w:t>
      </w:r>
      <w:r>
        <w:rPr>
          <w:rFonts w:ascii="Calibri" w:hAnsi="Calibri" w:cs="Calibri"/>
          <w:sz w:val="24"/>
          <w:szCs w:val="24"/>
        </w:rPr>
        <w:t>For the last 20 years, we have pursued many tests of possible therapies in ALS mice.</w:t>
      </w:r>
    </w:p>
    <w:p w14:paraId="49DA7B9E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These studies have benefitted from Angel Fund support of mouse costs and the expense of hiring</w:t>
      </w:r>
    </w:p>
    <w:p w14:paraId="5DC525FA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mouse technicians. Studies have been performed using classical drugs (</w:t>
      </w:r>
      <w:proofErr w:type="spellStart"/>
      <w:r>
        <w:rPr>
          <w:rFonts w:ascii="Calibri" w:hAnsi="Calibri" w:cs="Calibri"/>
          <w:sz w:val="24"/>
          <w:szCs w:val="24"/>
        </w:rPr>
        <w:t>arimoclomol</w:t>
      </w:r>
      <w:proofErr w:type="spellEnd"/>
      <w:r>
        <w:rPr>
          <w:rFonts w:ascii="Calibri" w:hAnsi="Calibri" w:cs="Calibri"/>
          <w:sz w:val="24"/>
          <w:szCs w:val="24"/>
        </w:rPr>
        <w:t>, combination antioxidants,</w:t>
      </w:r>
    </w:p>
    <w:p w14:paraId="6F4ECFE5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glutathione, BMP-7, mexiletine, </w:t>
      </w:r>
      <w:proofErr w:type="spellStart"/>
      <w:r>
        <w:rPr>
          <w:rFonts w:ascii="Calibri" w:hAnsi="Calibri" w:cs="Calibri"/>
          <w:sz w:val="24"/>
          <w:szCs w:val="24"/>
        </w:rPr>
        <w:t>procysteine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diethylthiocarbamate</w:t>
      </w:r>
      <w:proofErr w:type="spellEnd"/>
      <w:r>
        <w:rPr>
          <w:rFonts w:ascii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hAnsi="Calibri" w:cs="Calibri"/>
          <w:sz w:val="24"/>
          <w:szCs w:val="24"/>
        </w:rPr>
        <w:t>bFGF</w:t>
      </w:r>
      <w:proofErr w:type="spellEnd"/>
      <w:r>
        <w:rPr>
          <w:rFonts w:ascii="Calibri" w:hAnsi="Calibri" w:cs="Calibri"/>
          <w:sz w:val="24"/>
          <w:szCs w:val="24"/>
        </w:rPr>
        <w:t>, penicillamine,</w:t>
      </w:r>
    </w:p>
    <w:p w14:paraId="3D8A697F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selenium, </w:t>
      </w:r>
      <w:proofErr w:type="spellStart"/>
      <w:r>
        <w:rPr>
          <w:rFonts w:ascii="Calibri" w:hAnsi="Calibri" w:cs="Calibri"/>
          <w:sz w:val="24"/>
          <w:szCs w:val="24"/>
        </w:rPr>
        <w:t>neurophilins</w:t>
      </w:r>
      <w:proofErr w:type="spellEnd"/>
      <w:r>
        <w:rPr>
          <w:rFonts w:ascii="Calibri" w:hAnsi="Calibri" w:cs="Calibri"/>
          <w:sz w:val="24"/>
          <w:szCs w:val="24"/>
        </w:rPr>
        <w:t>) as well as genetic manipulations and gene-targeting therapies (e.g., gene</w:t>
      </w:r>
    </w:p>
    <w:p w14:paraId="01FDF6CC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suppression as above; suppression of APOE; elimination of sarm1; knock-out of the </w:t>
      </w:r>
      <w:proofErr w:type="spellStart"/>
      <w:r>
        <w:rPr>
          <w:rFonts w:ascii="Calibri" w:hAnsi="Calibri" w:cs="Calibri"/>
          <w:sz w:val="24"/>
          <w:szCs w:val="24"/>
        </w:rPr>
        <w:t>eNOS</w:t>
      </w:r>
      <w:proofErr w:type="spellEnd"/>
      <w:r>
        <w:rPr>
          <w:rFonts w:ascii="Calibri" w:hAnsi="Calibri" w:cs="Calibri"/>
          <w:sz w:val="24"/>
          <w:szCs w:val="24"/>
        </w:rPr>
        <w:t xml:space="preserve"> gene; caspase</w:t>
      </w:r>
    </w:p>
    <w:p w14:paraId="06F1926E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 inactivation).</w:t>
      </w:r>
    </w:p>
    <w:p w14:paraId="329863A2" w14:textId="77777777" w:rsidR="007E5062" w:rsidRDefault="007E5062" w:rsidP="00CD09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7C8B40C7" w14:textId="43C68991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Other approaches to ALS biology: Single cell transcriptome analysis</w:t>
      </w:r>
      <w:r>
        <w:rPr>
          <w:rFonts w:ascii="Calibri" w:hAnsi="Calibri" w:cs="Calibri"/>
          <w:sz w:val="24"/>
          <w:szCs w:val="24"/>
        </w:rPr>
        <w:t>. We have been fortunate in the</w:t>
      </w:r>
    </w:p>
    <w:p w14:paraId="054119AF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last 3-4 years to collaborate with Paul Greer, PhD, in the Department of Molecular Medicine to use a</w:t>
      </w:r>
    </w:p>
    <w:p w14:paraId="14F589C7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new technique to look at the genes that are expressed in different cell types in ALS mice , as compared</w:t>
      </w:r>
    </w:p>
    <w:p w14:paraId="2AB35BB4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normal mice. The patterns of differential gene expression as the disease evolves are providing</w:t>
      </w:r>
    </w:p>
    <w:p w14:paraId="3DD1DC03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insight into molecular pathology in ALS. We have already determined that a family of genes that Dr.</w:t>
      </w:r>
    </w:p>
    <w:p w14:paraId="36F22DD7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Greer studies, the Ms4a genes, are abnormally activated in mouse ALS. This is intriguing, as the same</w:t>
      </w:r>
    </w:p>
    <w:p w14:paraId="03D56747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genes are hyperactive in Alzheimer disease. This project involves two astute graduate students.</w:t>
      </w:r>
    </w:p>
    <w:p w14:paraId="0E2720C2" w14:textId="77777777" w:rsidR="007E5062" w:rsidRDefault="007E5062" w:rsidP="00CD09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2CE7BDED" w14:textId="1B32FD2B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Chromosome folding in C9orf72 ALS</w:t>
      </w:r>
      <w:r>
        <w:rPr>
          <w:rFonts w:ascii="Calibri" w:hAnsi="Calibri" w:cs="Calibri"/>
          <w:sz w:val="24"/>
          <w:szCs w:val="24"/>
        </w:rPr>
        <w:t>. For seven years, we have been equally fortunate to collaborate</w:t>
      </w:r>
    </w:p>
    <w:p w14:paraId="516DEA3D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with Job Dekker, PhD, in Systems Biology to study how large DNA disturbances, such as those caused by</w:t>
      </w:r>
    </w:p>
    <w:p w14:paraId="00C00865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C9orf72 mutations, may affect properties of whole chromosomes in C9orf72 ALS. Again, this project</w:t>
      </w:r>
    </w:p>
    <w:p w14:paraId="620EC330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has been spear-headed by an exceptional graduate student.</w:t>
      </w:r>
    </w:p>
    <w:p w14:paraId="0C0B1248" w14:textId="77777777" w:rsidR="007E5062" w:rsidRDefault="007E5062" w:rsidP="00CD09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6B62E0A0" w14:textId="0E20668E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Major Equipment. </w:t>
      </w:r>
      <w:r>
        <w:rPr>
          <w:rFonts w:ascii="Calibri" w:hAnsi="Calibri" w:cs="Calibri"/>
          <w:sz w:val="24"/>
          <w:szCs w:val="24"/>
        </w:rPr>
        <w:t>The generosity of the Angel Fund has extended to purchasing two very expensive</w:t>
      </w:r>
    </w:p>
    <w:p w14:paraId="4B505DC6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but pivotal equipment items: the fluid handling robot mentioned above and a microscope that permits</w:t>
      </w:r>
    </w:p>
    <w:p w14:paraId="652A5450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use of a laser to cut single cells out of tissue slides, thereby permitting single cell analysis from such</w:t>
      </w:r>
    </w:p>
    <w:p w14:paraId="23F163AC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slides.</w:t>
      </w:r>
    </w:p>
    <w:p w14:paraId="7EF45AFC" w14:textId="77777777" w:rsidR="007E5062" w:rsidRDefault="007E5062" w:rsidP="00CD09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7E897275" w14:textId="1FC90C94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Publications. </w:t>
      </w:r>
      <w:r>
        <w:rPr>
          <w:rFonts w:ascii="Calibri" w:hAnsi="Calibri" w:cs="Calibri"/>
          <w:sz w:val="24"/>
          <w:szCs w:val="24"/>
        </w:rPr>
        <w:t>It has been our pleasure to acknowledge the funding from the Angel Fund in multiple</w:t>
      </w:r>
    </w:p>
    <w:p w14:paraId="79F8DC73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publications from our laboratory.</w:t>
      </w:r>
    </w:p>
    <w:p w14:paraId="3F439F39" w14:textId="77777777" w:rsidR="007E5062" w:rsidRDefault="007E5062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B2E21FC" w14:textId="7F5371D9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All of us on the </w:t>
      </w:r>
      <w:proofErr w:type="spellStart"/>
      <w:r>
        <w:rPr>
          <w:rFonts w:ascii="Calibri" w:hAnsi="Calibri" w:cs="Calibri"/>
          <w:sz w:val="24"/>
          <w:szCs w:val="24"/>
        </w:rPr>
        <w:t>UMassChan</w:t>
      </w:r>
      <w:proofErr w:type="spellEnd"/>
      <w:r>
        <w:rPr>
          <w:rFonts w:ascii="Calibri" w:hAnsi="Calibri" w:cs="Calibri"/>
          <w:sz w:val="24"/>
          <w:szCs w:val="24"/>
        </w:rPr>
        <w:t xml:space="preserve"> Medical School ALS team are profoundly grateful to the Angel Fund; we</w:t>
      </w:r>
    </w:p>
    <w:p w14:paraId="13DAA448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deeply appreciate the opportunity to work closely with the Angel Fund as we extend research in pursuit</w:t>
      </w:r>
    </w:p>
    <w:p w14:paraId="45DD0891" w14:textId="7777777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of ALS treatments .</w:t>
      </w:r>
    </w:p>
    <w:p w14:paraId="26F58E2D" w14:textId="77777777" w:rsidR="00BE311D" w:rsidRDefault="00BE311D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9E752C" w14:textId="72A7B5C7" w:rsidR="00CD099F" w:rsidRDefault="00CD099F" w:rsidP="00CD09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Respectfully submitted,</w:t>
      </w:r>
    </w:p>
    <w:p w14:paraId="2BADB336" w14:textId="1901F24D" w:rsidR="007469AC" w:rsidRDefault="00CD099F" w:rsidP="00CD099F">
      <w:r>
        <w:rPr>
          <w:rFonts w:ascii="Calibri" w:hAnsi="Calibri" w:cs="Calibri"/>
          <w:sz w:val="24"/>
          <w:szCs w:val="24"/>
        </w:rPr>
        <w:t>Robert H. Brown, Jr., D.Phil., M.D.</w:t>
      </w:r>
    </w:p>
    <w:sectPr w:rsidR="007469AC" w:rsidSect="00CD099F">
      <w:type w:val="continuous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9F"/>
    <w:rsid w:val="007469AC"/>
    <w:rsid w:val="007E5062"/>
    <w:rsid w:val="00BE311D"/>
    <w:rsid w:val="00C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7EB66"/>
  <w15:chartTrackingRefBased/>
  <w15:docId w15:val="{1CA65437-3B89-44CC-B3DC-5D1E333F3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CD09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D099F"/>
    <w:rPr>
      <w:rFonts w:ascii="Calibri" w:hAnsi="Calibri" w:cs="Calibri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CD099F"/>
    <w:pPr>
      <w:autoSpaceDE w:val="0"/>
      <w:autoSpaceDN w:val="0"/>
      <w:adjustRightInd w:val="0"/>
      <w:spacing w:after="0" w:line="240" w:lineRule="auto"/>
      <w:ind w:left="40"/>
    </w:pPr>
    <w:rPr>
      <w:rFonts w:ascii="Calibri" w:hAnsi="Calibri" w:cs="Calibri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CD099F"/>
    <w:rPr>
      <w:rFonts w:ascii="Calibri" w:hAnsi="Calibri" w:cs="Calibri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1237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Hadley</dc:creator>
  <cp:keywords/>
  <dc:description/>
  <cp:lastModifiedBy>Ann Hadley</cp:lastModifiedBy>
  <cp:revision>1</cp:revision>
  <dcterms:created xsi:type="dcterms:W3CDTF">2022-07-18T20:20:00Z</dcterms:created>
  <dcterms:modified xsi:type="dcterms:W3CDTF">2022-07-18T20:34:00Z</dcterms:modified>
</cp:coreProperties>
</file>