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E9585" w14:textId="77777777" w:rsidR="003B4FDB" w:rsidRPr="00B86BE6" w:rsidRDefault="00E02BC0" w:rsidP="00B86BE6">
      <w:pPr>
        <w:spacing w:after="0" w:line="240" w:lineRule="auto"/>
        <w:rPr>
          <w:b/>
          <w:sz w:val="24"/>
          <w:szCs w:val="24"/>
        </w:rPr>
      </w:pPr>
      <w:bookmarkStart w:id="0" w:name="_GoBack"/>
      <w:bookmarkEnd w:id="0"/>
      <w:r w:rsidRPr="00B86BE6">
        <w:rPr>
          <w:b/>
          <w:sz w:val="24"/>
          <w:szCs w:val="24"/>
        </w:rPr>
        <w:t>G</w:t>
      </w:r>
      <w:r w:rsidR="00B86BE6" w:rsidRPr="00B86BE6">
        <w:rPr>
          <w:b/>
          <w:sz w:val="24"/>
          <w:szCs w:val="24"/>
        </w:rPr>
        <w:t xml:space="preserve">UIDANCE AROUND THE FAMILIES FIRST CORONAVIRUS RESPONSE ACT </w:t>
      </w:r>
      <w:r w:rsidRPr="00B86BE6">
        <w:rPr>
          <w:b/>
          <w:sz w:val="24"/>
          <w:szCs w:val="24"/>
        </w:rPr>
        <w:t xml:space="preserve">(Part I) </w:t>
      </w:r>
    </w:p>
    <w:p w14:paraId="0AE99108" w14:textId="77777777" w:rsidR="00B86BE6" w:rsidRDefault="00B86BE6" w:rsidP="00B86BE6">
      <w:pPr>
        <w:spacing w:after="0" w:line="240" w:lineRule="auto"/>
        <w:rPr>
          <w:sz w:val="24"/>
          <w:szCs w:val="24"/>
        </w:rPr>
      </w:pPr>
      <w:r>
        <w:rPr>
          <w:sz w:val="24"/>
          <w:szCs w:val="24"/>
        </w:rPr>
        <w:t>March 25, 2020</w:t>
      </w:r>
    </w:p>
    <w:p w14:paraId="672A6659" w14:textId="77777777" w:rsidR="00B86BE6" w:rsidRPr="00006E38" w:rsidRDefault="00B86BE6" w:rsidP="00B86BE6">
      <w:pPr>
        <w:spacing w:after="0" w:line="240" w:lineRule="auto"/>
        <w:rPr>
          <w:sz w:val="24"/>
          <w:szCs w:val="24"/>
        </w:rPr>
      </w:pPr>
    </w:p>
    <w:p w14:paraId="06DF698C" w14:textId="6B76BBB1" w:rsidR="00E02BC0" w:rsidRPr="00006E38" w:rsidRDefault="00E02BC0">
      <w:pPr>
        <w:rPr>
          <w:sz w:val="24"/>
          <w:szCs w:val="24"/>
        </w:rPr>
      </w:pPr>
      <w:r w:rsidRPr="58F0FAC1">
        <w:rPr>
          <w:sz w:val="24"/>
          <w:szCs w:val="24"/>
        </w:rPr>
        <w:t>Violence Free Minnesota, M</w:t>
      </w:r>
      <w:r w:rsidR="00C37817" w:rsidRPr="58F0FAC1">
        <w:rPr>
          <w:sz w:val="24"/>
          <w:szCs w:val="24"/>
        </w:rPr>
        <w:t>innesota</w:t>
      </w:r>
      <w:r w:rsidRPr="58F0FAC1">
        <w:rPr>
          <w:sz w:val="24"/>
          <w:szCs w:val="24"/>
        </w:rPr>
        <w:t xml:space="preserve"> Coalition </w:t>
      </w:r>
      <w:proofErr w:type="gramStart"/>
      <w:r w:rsidRPr="58F0FAC1">
        <w:rPr>
          <w:sz w:val="24"/>
          <w:szCs w:val="24"/>
        </w:rPr>
        <w:t>Against</w:t>
      </w:r>
      <w:proofErr w:type="gramEnd"/>
      <w:r w:rsidRPr="58F0FAC1">
        <w:rPr>
          <w:sz w:val="24"/>
          <w:szCs w:val="24"/>
        </w:rPr>
        <w:t xml:space="preserve"> Sexual Assault, and Standpoint are working together to provide you the best information that we have regarding the new federal legislation. We will continue to update this information as more guidance is received. </w:t>
      </w:r>
    </w:p>
    <w:p w14:paraId="3C76712E" w14:textId="14230010" w:rsidR="00E02BC0" w:rsidRPr="00006E38" w:rsidRDefault="00E02BC0">
      <w:pPr>
        <w:rPr>
          <w:sz w:val="24"/>
          <w:szCs w:val="24"/>
        </w:rPr>
      </w:pPr>
      <w:r w:rsidRPr="38FBBF70">
        <w:rPr>
          <w:sz w:val="24"/>
          <w:szCs w:val="24"/>
        </w:rPr>
        <w:t xml:space="preserve">On March 18, 2020 the Families First Coronavirus Response Act (Part I) was signed into law. The Response Act is federal legislation that expands the Family Medical Leave Act (FMLA) </w:t>
      </w:r>
      <w:r w:rsidR="00B86BE6" w:rsidRPr="38FBBF70">
        <w:rPr>
          <w:b/>
          <w:bCs/>
          <w:sz w:val="24"/>
          <w:szCs w:val="24"/>
        </w:rPr>
        <w:t>AND</w:t>
      </w:r>
      <w:r w:rsidRPr="38FBBF70">
        <w:rPr>
          <w:sz w:val="24"/>
          <w:szCs w:val="24"/>
        </w:rPr>
        <w:t xml:space="preserve"> expands paid sick leave for employees who are impacted by the coronavirus and are unable to work. The Act goes into effect on April </w:t>
      </w:r>
      <w:r w:rsidR="34BD0901" w:rsidRPr="38FBBF70">
        <w:rPr>
          <w:sz w:val="24"/>
          <w:szCs w:val="24"/>
        </w:rPr>
        <w:t>2</w:t>
      </w:r>
      <w:r w:rsidRPr="38FBBF70">
        <w:rPr>
          <w:sz w:val="24"/>
          <w:szCs w:val="24"/>
        </w:rPr>
        <w:t xml:space="preserve">, 2020 and will be in effect until December 31, 2020. </w:t>
      </w:r>
    </w:p>
    <w:p w14:paraId="7BA01E6D" w14:textId="1387D204" w:rsidR="0A518E50" w:rsidRDefault="0A518E50" w:rsidP="38FBBF70">
      <w:pPr>
        <w:rPr>
          <w:rStyle w:val="Hyperlink"/>
          <w:sz w:val="24"/>
          <w:szCs w:val="24"/>
        </w:rPr>
      </w:pPr>
      <w:r w:rsidRPr="38FBBF70">
        <w:rPr>
          <w:sz w:val="24"/>
          <w:szCs w:val="24"/>
        </w:rPr>
        <w:t xml:space="preserve">A summary of the legislation is available </w:t>
      </w:r>
      <w:hyperlink r:id="rId7">
        <w:r w:rsidRPr="38FBBF70">
          <w:rPr>
            <w:rStyle w:val="Hyperlink"/>
            <w:sz w:val="24"/>
            <w:szCs w:val="24"/>
          </w:rPr>
          <w:t>here</w:t>
        </w:r>
      </w:hyperlink>
      <w:r w:rsidRPr="38FBBF70">
        <w:rPr>
          <w:sz w:val="24"/>
          <w:szCs w:val="24"/>
        </w:rPr>
        <w:t>.</w:t>
      </w:r>
    </w:p>
    <w:p w14:paraId="3FE1D6D5" w14:textId="78D6A8E1" w:rsidR="00E02BC0" w:rsidRPr="00006E38" w:rsidRDefault="00E02BC0">
      <w:pPr>
        <w:rPr>
          <w:sz w:val="24"/>
          <w:szCs w:val="24"/>
        </w:rPr>
      </w:pPr>
      <w:r w:rsidRPr="58F0FAC1">
        <w:rPr>
          <w:sz w:val="24"/>
          <w:szCs w:val="24"/>
        </w:rPr>
        <w:t>We are recommending that programs take the following steps to be in compliance with the new legislation</w:t>
      </w:r>
      <w:r w:rsidR="001038AB" w:rsidRPr="58F0FAC1">
        <w:rPr>
          <w:sz w:val="24"/>
          <w:szCs w:val="24"/>
        </w:rPr>
        <w:t xml:space="preserve">. Prior to April </w:t>
      </w:r>
      <w:r w:rsidR="2AED1D16" w:rsidRPr="58F0FAC1">
        <w:rPr>
          <w:sz w:val="24"/>
          <w:szCs w:val="24"/>
        </w:rPr>
        <w:t>2</w:t>
      </w:r>
      <w:r w:rsidR="2AED1D16" w:rsidRPr="58F0FAC1">
        <w:rPr>
          <w:sz w:val="24"/>
          <w:szCs w:val="24"/>
          <w:vertAlign w:val="superscript"/>
        </w:rPr>
        <w:t>nd</w:t>
      </w:r>
      <w:r w:rsidRPr="58F0FAC1">
        <w:rPr>
          <w:sz w:val="24"/>
          <w:szCs w:val="24"/>
        </w:rPr>
        <w:t xml:space="preserve">: </w:t>
      </w:r>
    </w:p>
    <w:p w14:paraId="45CE4A27" w14:textId="7D795810" w:rsidR="00E02BC0" w:rsidRPr="00006E38" w:rsidRDefault="00E02BC0" w:rsidP="00E02BC0">
      <w:pPr>
        <w:pStyle w:val="ListParagraph"/>
        <w:numPr>
          <w:ilvl w:val="0"/>
          <w:numId w:val="1"/>
        </w:numPr>
        <w:rPr>
          <w:sz w:val="24"/>
          <w:szCs w:val="24"/>
        </w:rPr>
      </w:pPr>
      <w:r w:rsidRPr="06DD53D0">
        <w:rPr>
          <w:sz w:val="24"/>
          <w:szCs w:val="24"/>
        </w:rPr>
        <w:t>Have you</w:t>
      </w:r>
      <w:r w:rsidR="001038AB" w:rsidRPr="06DD53D0">
        <w:rPr>
          <w:sz w:val="24"/>
          <w:szCs w:val="24"/>
        </w:rPr>
        <w:t>r</w:t>
      </w:r>
      <w:r w:rsidRPr="06DD53D0">
        <w:rPr>
          <w:sz w:val="24"/>
          <w:szCs w:val="24"/>
        </w:rPr>
        <w:t xml:space="preserve"> board approve </w:t>
      </w:r>
      <w:r w:rsidR="00B86BE6" w:rsidRPr="06DD53D0">
        <w:rPr>
          <w:sz w:val="24"/>
          <w:szCs w:val="24"/>
        </w:rPr>
        <w:t>two administrative leave policies that are</w:t>
      </w:r>
      <w:r w:rsidRPr="06DD53D0">
        <w:rPr>
          <w:sz w:val="24"/>
          <w:szCs w:val="24"/>
        </w:rPr>
        <w:t xml:space="preserve"> compliant with the Response Act</w:t>
      </w:r>
      <w:r w:rsidR="48665D5D" w:rsidRPr="06DD53D0">
        <w:rPr>
          <w:sz w:val="24"/>
          <w:szCs w:val="24"/>
        </w:rPr>
        <w:t xml:space="preserve">. Sample </w:t>
      </w:r>
      <w:r w:rsidR="6DCD9AEE" w:rsidRPr="06DD53D0">
        <w:rPr>
          <w:sz w:val="24"/>
          <w:szCs w:val="24"/>
        </w:rPr>
        <w:t>administrative</w:t>
      </w:r>
      <w:r w:rsidR="48665D5D" w:rsidRPr="06DD53D0">
        <w:rPr>
          <w:sz w:val="24"/>
          <w:szCs w:val="24"/>
        </w:rPr>
        <w:t xml:space="preserve"> leave policies</w:t>
      </w:r>
      <w:r w:rsidR="4FE4F9F7" w:rsidRPr="06DD53D0">
        <w:rPr>
          <w:sz w:val="24"/>
          <w:szCs w:val="24"/>
        </w:rPr>
        <w:t xml:space="preserve"> available below. </w:t>
      </w:r>
    </w:p>
    <w:p w14:paraId="18819767" w14:textId="1FD93127" w:rsidR="00E02BC0" w:rsidRPr="00006E38" w:rsidRDefault="0055776A" w:rsidP="06DD53D0">
      <w:pPr>
        <w:pStyle w:val="ListParagraph"/>
        <w:numPr>
          <w:ilvl w:val="1"/>
          <w:numId w:val="1"/>
        </w:numPr>
        <w:rPr>
          <w:sz w:val="24"/>
          <w:szCs w:val="24"/>
        </w:rPr>
      </w:pPr>
      <w:hyperlink r:id="rId8">
        <w:r w:rsidR="00B86BE6" w:rsidRPr="06DD53D0">
          <w:rPr>
            <w:rStyle w:val="Hyperlink"/>
            <w:sz w:val="24"/>
            <w:szCs w:val="24"/>
          </w:rPr>
          <w:t xml:space="preserve">Emergency FMLA </w:t>
        </w:r>
        <w:r w:rsidR="3B253F41" w:rsidRPr="06DD53D0">
          <w:rPr>
            <w:rStyle w:val="Hyperlink"/>
            <w:sz w:val="24"/>
            <w:szCs w:val="24"/>
          </w:rPr>
          <w:t>P</w:t>
        </w:r>
        <w:r w:rsidR="00B86BE6" w:rsidRPr="06DD53D0">
          <w:rPr>
            <w:rStyle w:val="Hyperlink"/>
            <w:sz w:val="24"/>
            <w:szCs w:val="24"/>
          </w:rPr>
          <w:t>olicy</w:t>
        </w:r>
      </w:hyperlink>
      <w:r w:rsidR="6D0CBE9C" w:rsidRPr="06DD53D0">
        <w:rPr>
          <w:sz w:val="24"/>
          <w:szCs w:val="24"/>
        </w:rPr>
        <w:t xml:space="preserve"> </w:t>
      </w:r>
    </w:p>
    <w:p w14:paraId="573CC94C" w14:textId="255D5E7F" w:rsidR="00E02BC0" w:rsidRPr="00006E38" w:rsidRDefault="0055776A" w:rsidP="06DD53D0">
      <w:pPr>
        <w:pStyle w:val="ListParagraph"/>
        <w:numPr>
          <w:ilvl w:val="1"/>
          <w:numId w:val="1"/>
        </w:numPr>
        <w:rPr>
          <w:sz w:val="24"/>
          <w:szCs w:val="24"/>
        </w:rPr>
      </w:pPr>
      <w:hyperlink r:id="rId9">
        <w:r w:rsidR="00B86BE6" w:rsidRPr="06DD53D0">
          <w:rPr>
            <w:rStyle w:val="Hyperlink"/>
            <w:sz w:val="24"/>
            <w:szCs w:val="24"/>
          </w:rPr>
          <w:t>Emergency Sick Leave policy</w:t>
        </w:r>
      </w:hyperlink>
      <w:r w:rsidR="0B847346" w:rsidRPr="06DD53D0">
        <w:rPr>
          <w:sz w:val="24"/>
          <w:szCs w:val="24"/>
        </w:rPr>
        <w:t xml:space="preserve"> </w:t>
      </w:r>
    </w:p>
    <w:p w14:paraId="323A638A" w14:textId="77777777" w:rsidR="00E02BC0" w:rsidRPr="00006E38" w:rsidRDefault="00E02BC0" w:rsidP="00E02BC0">
      <w:pPr>
        <w:pStyle w:val="ListParagraph"/>
        <w:numPr>
          <w:ilvl w:val="0"/>
          <w:numId w:val="1"/>
        </w:numPr>
        <w:rPr>
          <w:sz w:val="24"/>
          <w:szCs w:val="24"/>
        </w:rPr>
      </w:pPr>
      <w:r w:rsidRPr="38FBBF70">
        <w:rPr>
          <w:sz w:val="24"/>
          <w:szCs w:val="24"/>
        </w:rPr>
        <w:t>Provide a notice to all of your employees abou</w:t>
      </w:r>
      <w:r w:rsidR="00B86BE6" w:rsidRPr="38FBBF70">
        <w:rPr>
          <w:sz w:val="24"/>
          <w:szCs w:val="24"/>
        </w:rPr>
        <w:t>t the newly adopted leave policies</w:t>
      </w:r>
      <w:r w:rsidRPr="38FBBF70">
        <w:rPr>
          <w:sz w:val="24"/>
          <w:szCs w:val="24"/>
        </w:rPr>
        <w:t xml:space="preserve">. </w:t>
      </w:r>
    </w:p>
    <w:p w14:paraId="4CB3361C" w14:textId="624C56EB" w:rsidR="51392F66" w:rsidRDefault="0055776A" w:rsidP="38FBBF70">
      <w:pPr>
        <w:pStyle w:val="ListParagraph"/>
        <w:numPr>
          <w:ilvl w:val="1"/>
          <w:numId w:val="1"/>
        </w:numPr>
        <w:rPr>
          <w:sz w:val="24"/>
          <w:szCs w:val="24"/>
        </w:rPr>
      </w:pPr>
      <w:hyperlink r:id="rId10">
        <w:r w:rsidR="51392F66" w:rsidRPr="38FBBF70">
          <w:rPr>
            <w:rStyle w:val="Hyperlink"/>
            <w:sz w:val="24"/>
            <w:szCs w:val="24"/>
          </w:rPr>
          <w:t>Department of Labor Policy</w:t>
        </w:r>
      </w:hyperlink>
    </w:p>
    <w:p w14:paraId="0A37501D" w14:textId="77777777" w:rsidR="00E02BC0" w:rsidRPr="00006E38" w:rsidRDefault="00E02BC0" w:rsidP="00006E38">
      <w:pPr>
        <w:pStyle w:val="ListParagraph"/>
        <w:rPr>
          <w:sz w:val="24"/>
          <w:szCs w:val="24"/>
        </w:rPr>
      </w:pPr>
    </w:p>
    <w:p w14:paraId="64E5D652" w14:textId="77777777" w:rsidR="00006E38" w:rsidRPr="00006E38" w:rsidRDefault="00006E38" w:rsidP="00006E38">
      <w:pPr>
        <w:pStyle w:val="ListParagraph"/>
        <w:ind w:left="0"/>
        <w:rPr>
          <w:sz w:val="24"/>
          <w:szCs w:val="24"/>
        </w:rPr>
      </w:pPr>
      <w:r w:rsidRPr="00006E38">
        <w:rPr>
          <w:sz w:val="24"/>
          <w:szCs w:val="24"/>
        </w:rPr>
        <w:t xml:space="preserve">Questions that are yet to be answered: </w:t>
      </w:r>
    </w:p>
    <w:p w14:paraId="1B9F8431" w14:textId="77777777" w:rsidR="00006E38" w:rsidRPr="00006E38" w:rsidRDefault="00006E38" w:rsidP="00006E38">
      <w:pPr>
        <w:pStyle w:val="ListParagraph"/>
        <w:numPr>
          <w:ilvl w:val="0"/>
          <w:numId w:val="2"/>
        </w:numPr>
        <w:rPr>
          <w:sz w:val="24"/>
          <w:szCs w:val="24"/>
        </w:rPr>
      </w:pPr>
      <w:r w:rsidRPr="00006E38">
        <w:rPr>
          <w:sz w:val="24"/>
          <w:szCs w:val="24"/>
        </w:rPr>
        <w:t xml:space="preserve">The Response Act exempts businesses with fewer than 50 employees from providing paid leave to employees who are unable to work because of a need to care for a child whose school or child care provider is unavailable, if providing such paid leave would jeopardize the ability of the business to continue.  The </w:t>
      </w:r>
      <w:proofErr w:type="spellStart"/>
      <w:r w:rsidRPr="00006E38">
        <w:rPr>
          <w:sz w:val="24"/>
          <w:szCs w:val="24"/>
        </w:rPr>
        <w:t>Dept</w:t>
      </w:r>
      <w:proofErr w:type="spellEnd"/>
      <w:r w:rsidRPr="00006E38">
        <w:rPr>
          <w:sz w:val="24"/>
          <w:szCs w:val="24"/>
        </w:rPr>
        <w:t xml:space="preserve"> of Labor is to provide emergency guidance about this exemption. We will update once we see that guidance. </w:t>
      </w:r>
    </w:p>
    <w:p w14:paraId="3BE36875" w14:textId="77777777" w:rsidR="00006E38" w:rsidRDefault="00006E38" w:rsidP="00006E38">
      <w:pPr>
        <w:pStyle w:val="ListParagraph"/>
        <w:numPr>
          <w:ilvl w:val="0"/>
          <w:numId w:val="2"/>
        </w:numPr>
        <w:rPr>
          <w:sz w:val="24"/>
          <w:szCs w:val="24"/>
        </w:rPr>
      </w:pPr>
      <w:r w:rsidRPr="00006E38">
        <w:rPr>
          <w:sz w:val="24"/>
          <w:szCs w:val="24"/>
        </w:rPr>
        <w:t xml:space="preserve">The Response Act says that employees can first use the paid leave under the act before they are required to use any accrued sick/vacation/PTO. We are awaiting direction from OJP as to whether programs can use their OJP grant funds to pay for the Response Act required leave. We will circulate OJP’s guidance as soon as we receive it. </w:t>
      </w:r>
    </w:p>
    <w:p w14:paraId="02EB378F" w14:textId="266B6ED6" w:rsidR="001038AB" w:rsidRPr="001038AB" w:rsidRDefault="6B4122C8" w:rsidP="6B4122C8">
      <w:pPr>
        <w:pStyle w:val="ListParagraph"/>
        <w:numPr>
          <w:ilvl w:val="0"/>
          <w:numId w:val="2"/>
        </w:numPr>
        <w:rPr>
          <w:sz w:val="24"/>
          <w:szCs w:val="24"/>
        </w:rPr>
      </w:pPr>
      <w:r w:rsidRPr="6B4122C8">
        <w:rPr>
          <w:sz w:val="24"/>
          <w:szCs w:val="24"/>
        </w:rPr>
        <w:t xml:space="preserve">Under the Response Act, employers are able to recoup any payments they made due to the Response Act through a paid sick leave credit and or a paid childcare leave credit. The tax credits can be offset against the employer’s federal payroll tax liabilities and if the amount that the employer paid is more than their federal payroll tax liabilities, they can file a request for an accelerated payment of the refundable tax credit from the IRS. They anticipate processing those requests in less than two weeks. We are waiting for further guidance to understand how programs should handle payroll taxes and requests for the tax credit with the IRS. </w:t>
      </w:r>
    </w:p>
    <w:sectPr w:rsidR="001038AB" w:rsidRPr="001038AB">
      <w:headerReference w:type="default" r:id="rId11"/>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CA839" w14:textId="77777777" w:rsidR="0055776A" w:rsidRDefault="0055776A">
      <w:pPr>
        <w:spacing w:after="0" w:line="240" w:lineRule="auto"/>
      </w:pPr>
      <w:r>
        <w:separator/>
      </w:r>
    </w:p>
  </w:endnote>
  <w:endnote w:type="continuationSeparator" w:id="0">
    <w:p w14:paraId="0AEF4CE0" w14:textId="77777777" w:rsidR="0055776A" w:rsidRDefault="0055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58F0FAC1" w14:paraId="1880609F" w14:textId="77777777" w:rsidTr="58F0FAC1">
      <w:tc>
        <w:tcPr>
          <w:tcW w:w="3120" w:type="dxa"/>
        </w:tcPr>
        <w:p w14:paraId="012CA77B" w14:textId="0F5B322E" w:rsidR="58F0FAC1" w:rsidRDefault="58F0FAC1" w:rsidP="58F0FAC1">
          <w:pPr>
            <w:pStyle w:val="Header"/>
            <w:ind w:left="-115"/>
          </w:pPr>
        </w:p>
      </w:tc>
      <w:tc>
        <w:tcPr>
          <w:tcW w:w="3120" w:type="dxa"/>
        </w:tcPr>
        <w:p w14:paraId="11817A39" w14:textId="0D1C1C3E" w:rsidR="58F0FAC1" w:rsidRDefault="58F0FAC1" w:rsidP="58F0FAC1">
          <w:pPr>
            <w:pStyle w:val="Header"/>
            <w:jc w:val="center"/>
          </w:pPr>
        </w:p>
      </w:tc>
      <w:tc>
        <w:tcPr>
          <w:tcW w:w="3120" w:type="dxa"/>
        </w:tcPr>
        <w:p w14:paraId="50B6AD63" w14:textId="164897F6" w:rsidR="58F0FAC1" w:rsidRDefault="58F0FAC1" w:rsidP="58F0FAC1">
          <w:pPr>
            <w:pStyle w:val="Header"/>
            <w:ind w:right="-115"/>
            <w:jc w:val="right"/>
          </w:pPr>
        </w:p>
      </w:tc>
    </w:tr>
  </w:tbl>
  <w:p w14:paraId="15D515E6" w14:textId="7386942D" w:rsidR="58F0FAC1" w:rsidRDefault="58F0FAC1" w:rsidP="58F0F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7B6B8" w14:textId="77777777" w:rsidR="0055776A" w:rsidRDefault="0055776A">
      <w:pPr>
        <w:spacing w:after="0" w:line="240" w:lineRule="auto"/>
      </w:pPr>
      <w:r>
        <w:separator/>
      </w:r>
    </w:p>
  </w:footnote>
  <w:footnote w:type="continuationSeparator" w:id="0">
    <w:p w14:paraId="73D17700" w14:textId="77777777" w:rsidR="0055776A" w:rsidRDefault="0055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58F0FAC1" w14:paraId="7D2964D2" w14:textId="77777777" w:rsidTr="58F0FAC1">
      <w:tc>
        <w:tcPr>
          <w:tcW w:w="3120" w:type="dxa"/>
        </w:tcPr>
        <w:p w14:paraId="3E3DB27B" w14:textId="15E98EAE" w:rsidR="58F0FAC1" w:rsidRDefault="58F0FAC1" w:rsidP="58F0FAC1">
          <w:pPr>
            <w:pStyle w:val="Header"/>
            <w:ind w:left="-115"/>
          </w:pPr>
        </w:p>
      </w:tc>
      <w:tc>
        <w:tcPr>
          <w:tcW w:w="3120" w:type="dxa"/>
        </w:tcPr>
        <w:p w14:paraId="0C2F468E" w14:textId="56D48F0C" w:rsidR="58F0FAC1" w:rsidRDefault="58F0FAC1" w:rsidP="58F0FAC1">
          <w:pPr>
            <w:pStyle w:val="Header"/>
            <w:jc w:val="center"/>
          </w:pPr>
        </w:p>
      </w:tc>
      <w:tc>
        <w:tcPr>
          <w:tcW w:w="3120" w:type="dxa"/>
        </w:tcPr>
        <w:p w14:paraId="5FBFA276" w14:textId="4716E555" w:rsidR="58F0FAC1" w:rsidRDefault="58F0FAC1" w:rsidP="58F0FAC1">
          <w:pPr>
            <w:pStyle w:val="Header"/>
            <w:ind w:right="-115"/>
            <w:jc w:val="right"/>
          </w:pPr>
        </w:p>
      </w:tc>
    </w:tr>
  </w:tbl>
  <w:p w14:paraId="453B8AB0" w14:textId="734F33D8" w:rsidR="58F0FAC1" w:rsidRDefault="58F0FAC1" w:rsidP="58F0F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C307F"/>
    <w:multiLevelType w:val="hybridMultilevel"/>
    <w:tmpl w:val="53B25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C80CB3"/>
    <w:multiLevelType w:val="hybridMultilevel"/>
    <w:tmpl w:val="D3A4DBD6"/>
    <w:lvl w:ilvl="0" w:tplc="0409000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C0"/>
    <w:rsid w:val="00006E38"/>
    <w:rsid w:val="001038AB"/>
    <w:rsid w:val="001D7682"/>
    <w:rsid w:val="003B4FDB"/>
    <w:rsid w:val="003D3F12"/>
    <w:rsid w:val="0055776A"/>
    <w:rsid w:val="00B86BE6"/>
    <w:rsid w:val="00C37817"/>
    <w:rsid w:val="00E02BC0"/>
    <w:rsid w:val="03632685"/>
    <w:rsid w:val="05AE406D"/>
    <w:rsid w:val="06DD53D0"/>
    <w:rsid w:val="09FE9EAC"/>
    <w:rsid w:val="0A0DA746"/>
    <w:rsid w:val="0A518E50"/>
    <w:rsid w:val="0B847346"/>
    <w:rsid w:val="0D1F9686"/>
    <w:rsid w:val="11E136A6"/>
    <w:rsid w:val="13F3EA5A"/>
    <w:rsid w:val="1FEEF273"/>
    <w:rsid w:val="2075FD6F"/>
    <w:rsid w:val="238089AF"/>
    <w:rsid w:val="2AED1D16"/>
    <w:rsid w:val="2FEF1609"/>
    <w:rsid w:val="34BD0901"/>
    <w:rsid w:val="38FBBF70"/>
    <w:rsid w:val="3A9AA378"/>
    <w:rsid w:val="3B253F41"/>
    <w:rsid w:val="3E4FC282"/>
    <w:rsid w:val="4037B2BB"/>
    <w:rsid w:val="40EB6E87"/>
    <w:rsid w:val="48665D5D"/>
    <w:rsid w:val="4CD346EF"/>
    <w:rsid w:val="4FE4F9F7"/>
    <w:rsid w:val="51129287"/>
    <w:rsid w:val="51392F66"/>
    <w:rsid w:val="53A57C17"/>
    <w:rsid w:val="557AC73B"/>
    <w:rsid w:val="58F0FAC1"/>
    <w:rsid w:val="5DCC14CE"/>
    <w:rsid w:val="5FF776F3"/>
    <w:rsid w:val="6B4122C8"/>
    <w:rsid w:val="6D0CBE9C"/>
    <w:rsid w:val="6DCD9AEE"/>
    <w:rsid w:val="752B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E9BD"/>
  <w15:chartTrackingRefBased/>
  <w15:docId w15:val="{CB2B5E6D-1F52-4194-A522-569B1C4F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BC0"/>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C37817"/>
    <w:rPr>
      <w:color w:val="954F72" w:themeColor="followedHyperlink"/>
      <w:u w:val="single"/>
    </w:rPr>
  </w:style>
  <w:style w:type="paragraph" w:styleId="BalloonText">
    <w:name w:val="Balloon Text"/>
    <w:basedOn w:val="Normal"/>
    <w:link w:val="BalloonTextChar"/>
    <w:uiPriority w:val="99"/>
    <w:semiHidden/>
    <w:unhideWhenUsed/>
    <w:rsid w:val="00C37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817"/>
    <w:rPr>
      <w:rFonts w:ascii="Segoe UI" w:hAnsi="Segoe UI" w:cs="Segoe UI"/>
      <w:sz w:val="18"/>
      <w:szCs w:val="18"/>
    </w:rPr>
  </w:style>
  <w:style w:type="character" w:styleId="CommentReference">
    <w:name w:val="annotation reference"/>
    <w:basedOn w:val="DefaultParagraphFont"/>
    <w:uiPriority w:val="99"/>
    <w:semiHidden/>
    <w:unhideWhenUsed/>
    <w:rsid w:val="00C37817"/>
    <w:rPr>
      <w:sz w:val="16"/>
      <w:szCs w:val="16"/>
    </w:rPr>
  </w:style>
  <w:style w:type="paragraph" w:styleId="CommentText">
    <w:name w:val="annotation text"/>
    <w:basedOn w:val="Normal"/>
    <w:link w:val="CommentTextChar"/>
    <w:uiPriority w:val="99"/>
    <w:semiHidden/>
    <w:unhideWhenUsed/>
    <w:rsid w:val="00C37817"/>
    <w:pPr>
      <w:spacing w:line="240" w:lineRule="auto"/>
    </w:pPr>
    <w:rPr>
      <w:sz w:val="20"/>
      <w:szCs w:val="20"/>
    </w:rPr>
  </w:style>
  <w:style w:type="character" w:customStyle="1" w:styleId="CommentTextChar">
    <w:name w:val="Comment Text Char"/>
    <w:basedOn w:val="DefaultParagraphFont"/>
    <w:link w:val="CommentText"/>
    <w:uiPriority w:val="99"/>
    <w:semiHidden/>
    <w:rsid w:val="00C37817"/>
    <w:rPr>
      <w:sz w:val="20"/>
      <w:szCs w:val="20"/>
    </w:rPr>
  </w:style>
  <w:style w:type="paragraph" w:styleId="CommentSubject">
    <w:name w:val="annotation subject"/>
    <w:basedOn w:val="CommentText"/>
    <w:next w:val="CommentText"/>
    <w:link w:val="CommentSubjectChar"/>
    <w:uiPriority w:val="99"/>
    <w:semiHidden/>
    <w:unhideWhenUsed/>
    <w:rsid w:val="00C37817"/>
    <w:rPr>
      <w:b/>
      <w:bCs/>
    </w:rPr>
  </w:style>
  <w:style w:type="character" w:customStyle="1" w:styleId="CommentSubjectChar">
    <w:name w:val="Comment Subject Char"/>
    <w:basedOn w:val="CommentTextChar"/>
    <w:link w:val="CommentSubject"/>
    <w:uiPriority w:val="99"/>
    <w:semiHidden/>
    <w:rsid w:val="00C37817"/>
    <w:rPr>
      <w:b/>
      <w:bCs/>
      <w:sz w:val="20"/>
      <w:szCs w:val="20"/>
    </w:rPr>
  </w:style>
  <w:style w:type="character" w:customStyle="1" w:styleId="UnresolvedMention">
    <w:name w:val="Unresolved Mention"/>
    <w:basedOn w:val="DefaultParagraphFont"/>
    <w:uiPriority w:val="99"/>
    <w:semiHidden/>
    <w:unhideWhenUsed/>
    <w:rsid w:val="00C37817"/>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nesotacoali-my.sharepoint.com/:b:/g/personal/jshannon_vfmn_org/EVMsTtOapPJGiYuzbnqh1UsBTtph9Lzpij3HTK4n8lKyIQ?e=NPGKl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47d5ce9-473d-419f-88e4-9cf62c2a68d1.filesusr.com/ugd/f4bdb8_0824d32675ea464780418a97e3e879c5.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s://www.dol.gov/sites/dolgov/files/WHD/posters/FFCRA_Poster_WH1422_Non-Federal.pdf" TargetMode="External"/><Relationship Id="rId4" Type="http://schemas.openxmlformats.org/officeDocument/2006/relationships/webSettings" Target="webSettings.xml"/><Relationship Id="rId9" Type="http://schemas.openxmlformats.org/officeDocument/2006/relationships/hyperlink" Target="https://minnesotacoali-my.sharepoint.com/:b:/g/personal/jshannon_vfmn_org/EQ46G2lmNNNOllw1b_rtBdsB-DRxmn6N-sfSdyHUNidzOg?e=RZ6UF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2</cp:revision>
  <dcterms:created xsi:type="dcterms:W3CDTF">2020-03-25T19:03:00Z</dcterms:created>
  <dcterms:modified xsi:type="dcterms:W3CDTF">2020-03-25T19:03:00Z</dcterms:modified>
</cp:coreProperties>
</file>