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06B1" w14:textId="77777777" w:rsidR="009B164C" w:rsidRPr="003E4379" w:rsidRDefault="009B164C" w:rsidP="009B164C">
      <w:pPr>
        <w:pStyle w:val="Level3"/>
        <w:tabs>
          <w:tab w:val="clear" w:pos="1080"/>
        </w:tabs>
        <w:ind w:left="540" w:hanging="540"/>
        <w:jc w:val="both"/>
        <w:rPr>
          <w:b w:val="0"/>
          <w:bCs/>
        </w:rPr>
      </w:pPr>
      <w:r w:rsidRPr="00ED0B51">
        <w:t xml:space="preserve">Executive Summary Notes - </w:t>
      </w:r>
      <w:r w:rsidRPr="003E4379">
        <w:rPr>
          <w:b w:val="0"/>
          <w:bCs/>
        </w:rPr>
        <w:t xml:space="preserve">The Administrative Code provides the processes and procedures for the review of various land use petitions or applications identified within the Land Development Code (LDC).  </w:t>
      </w:r>
    </w:p>
    <w:p w14:paraId="077781EE"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 xml:space="preserve">On September 13, 2022, the Board directed staff to bring back an amendment to the Administrative Code to address an expressed concern for public safety, meeting decorum, and virtual Neighborhood Information Meeting (NIM) options.  The County Attorney’s Office later determined that an ordinance amending the LDC would also be required because some of the proposed provisions are substantive in nature and/or set policy. The Administrative Code is only to be used in a procedural context.  </w:t>
      </w:r>
    </w:p>
    <w:p w14:paraId="0EC041D5"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On September 26, 2023, the Board discussed the staff request (then Agenda Item 16.A.1.), asking for the Board’s direction to advertise a draft ordinance establishing the NIM Rules of Decorum at a future hearing.  The central point of the discussion centered upon the prospect of amending the LDC to make it mandatory for applicants to provide a virtual option at NIM so that the public can attend remotely. The points from that discussion included but were not limited to the following:</w:t>
      </w:r>
    </w:p>
    <w:p w14:paraId="00AA4EF7"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·Requiring that all NIMs provide a virtual opportunity for the public to attend remotely.</w:t>
      </w:r>
    </w:p>
    <w:p w14:paraId="20A41141"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·Virtual attendance can be easily recorded.</w:t>
      </w:r>
    </w:p>
    <w:p w14:paraId="5136B4F1"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·Concerns over civil disobedience and that attendees can potentially disrupt NIMs without accountability.</w:t>
      </w:r>
    </w:p>
    <w:p w14:paraId="3AC86E16"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·Concerns about special interest groups and those who reside outside the area of overwhelming the virtual method.</w:t>
      </w:r>
    </w:p>
    <w:p w14:paraId="36340CC6"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·The public has a right to speak, and the virtual method helps increase public attendance, particularly for zoning and use changes that can potentially affect a larger group of people.</w:t>
      </w:r>
    </w:p>
    <w:p w14:paraId="05DAC60D" w14:textId="77777777" w:rsidR="009B164C" w:rsidRPr="003E4379" w:rsidRDefault="009B164C" w:rsidP="009B164C">
      <w:pPr>
        <w:pStyle w:val="Level3"/>
        <w:tabs>
          <w:tab w:val="clear" w:pos="1080"/>
        </w:tabs>
        <w:spacing w:after="0"/>
        <w:ind w:left="540" w:hanging="540"/>
        <w:jc w:val="both"/>
        <w:rPr>
          <w:b w:val="0"/>
          <w:bCs/>
        </w:rPr>
      </w:pPr>
      <w:r w:rsidRPr="003E4379">
        <w:rPr>
          <w:b w:val="0"/>
          <w:bCs/>
        </w:rPr>
        <w:tab/>
        <w:t xml:space="preserve">The Board has the authority to request the applicant hold a second NIM if the Board determines the first is unsuccessful, too short, incomplete, or does not otherwise meet the purpose and intent of having the NIM.  Conversely, the Board can also decide to accept a disrupted NIM, particularly if done so by a special interest group or an unruly crowd.  Staff </w:t>
      </w:r>
      <w:proofErr w:type="gramStart"/>
      <w:r w:rsidRPr="003E4379">
        <w:rPr>
          <w:b w:val="0"/>
          <w:bCs/>
        </w:rPr>
        <w:t>is</w:t>
      </w:r>
      <w:proofErr w:type="gramEnd"/>
      <w:r w:rsidRPr="003E4379">
        <w:rPr>
          <w:b w:val="0"/>
          <w:bCs/>
        </w:rPr>
        <w:t xml:space="preserve"> always available to provide input to the Board when the Board is faced with such a decision.</w:t>
      </w:r>
    </w:p>
    <w:p w14:paraId="16AB26ED" w14:textId="77777777" w:rsidR="00F14C64" w:rsidRDefault="00F14C64"/>
    <w:p w14:paraId="05FF2FE5" w14:textId="24077BE1" w:rsidR="009B164C" w:rsidRDefault="009B164C">
      <w:r w:rsidRPr="00E22024">
        <w:rPr>
          <w:noProof/>
        </w:rPr>
        <w:drawing>
          <wp:inline distT="0" distB="0" distL="0" distR="0" wp14:anchorId="29DD1C8A" wp14:editId="5FA04F1A">
            <wp:extent cx="3893820" cy="1501140"/>
            <wp:effectExtent l="0" t="0" r="0" b="3810"/>
            <wp:docPr id="307001402"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01402" name="Picture 1" descr="A close up of a documen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3820" cy="1501140"/>
                    </a:xfrm>
                    <a:prstGeom prst="rect">
                      <a:avLst/>
                    </a:prstGeom>
                    <a:noFill/>
                    <a:ln>
                      <a:noFill/>
                    </a:ln>
                  </pic:spPr>
                </pic:pic>
              </a:graphicData>
            </a:graphic>
          </wp:inline>
        </w:drawing>
      </w:r>
    </w:p>
    <w:p w14:paraId="1FFB2275" w14:textId="203B0945" w:rsidR="009B164C" w:rsidRDefault="009B164C">
      <w:r w:rsidRPr="00E22024">
        <w:rPr>
          <w:noProof/>
        </w:rPr>
        <w:lastRenderedPageBreak/>
        <w:drawing>
          <wp:inline distT="0" distB="0" distL="0" distR="0" wp14:anchorId="0065B741" wp14:editId="475197D8">
            <wp:extent cx="4274820" cy="3550920"/>
            <wp:effectExtent l="0" t="0" r="0" b="0"/>
            <wp:docPr id="687681542" name="Picture 2"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81542" name="Picture 2" descr="A white paper with black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4820" cy="3550920"/>
                    </a:xfrm>
                    <a:prstGeom prst="rect">
                      <a:avLst/>
                    </a:prstGeom>
                    <a:noFill/>
                    <a:ln>
                      <a:noFill/>
                    </a:ln>
                  </pic:spPr>
                </pic:pic>
              </a:graphicData>
            </a:graphic>
          </wp:inline>
        </w:drawing>
      </w:r>
    </w:p>
    <w:sectPr w:rsidR="009B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4C"/>
    <w:rsid w:val="005C5049"/>
    <w:rsid w:val="009B164C"/>
    <w:rsid w:val="00F1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277D"/>
  <w15:chartTrackingRefBased/>
  <w15:docId w15:val="{825279E2-6C14-47C8-8847-3869C832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basedOn w:val="Normal"/>
    <w:qFormat/>
    <w:rsid w:val="009B164C"/>
    <w:pPr>
      <w:keepLines/>
      <w:tabs>
        <w:tab w:val="left" w:pos="1080"/>
      </w:tabs>
      <w:spacing w:after="240" w:line="240" w:lineRule="auto"/>
      <w:ind w:left="1080" w:hanging="1080"/>
    </w:pPr>
    <w:rPr>
      <w:rFonts w:ascii="Times New Roman" w:eastAsia="Times New Roman" w:hAnsi="Times New Roman"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Curatolo</dc:creator>
  <cp:keywords/>
  <dc:description/>
  <cp:lastModifiedBy>Kathy Curatolo</cp:lastModifiedBy>
  <cp:revision>1</cp:revision>
  <dcterms:created xsi:type="dcterms:W3CDTF">2023-11-15T16:14:00Z</dcterms:created>
  <dcterms:modified xsi:type="dcterms:W3CDTF">2023-11-15T16:18:00Z</dcterms:modified>
</cp:coreProperties>
</file>