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F648" w14:textId="77777777" w:rsidR="000F7C82" w:rsidRDefault="00265D5E">
      <w:r w:rsidRPr="00265D5E">
        <w:rPr>
          <w:noProof/>
        </w:rPr>
        <w:drawing>
          <wp:anchor distT="0" distB="0" distL="114300" distR="114300" simplePos="0" relativeHeight="251658240" behindDoc="0" locked="0" layoutInCell="1" allowOverlap="1" wp14:anchorId="58DE62D2" wp14:editId="155A7BD7">
            <wp:simplePos x="0" y="0"/>
            <wp:positionH relativeFrom="margin">
              <wp:posOffset>2074692</wp:posOffset>
            </wp:positionH>
            <wp:positionV relativeFrom="margin">
              <wp:posOffset>-35169</wp:posOffset>
            </wp:positionV>
            <wp:extent cx="2510790" cy="716280"/>
            <wp:effectExtent l="0" t="0" r="3810" b="7620"/>
            <wp:wrapSquare wrapText="bothSides"/>
            <wp:docPr id="1" name="Picture 1" descr="C:\Users\dhaugh\Desktop\Office Admin\Logos\GMHF LOGO high res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ugh\Desktop\Office Admin\Logos\GMHF LOGO high res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E1AF3" w14:textId="77777777" w:rsidR="00265D5E" w:rsidRDefault="00265D5E"/>
    <w:p w14:paraId="372C9A3E" w14:textId="77777777" w:rsidR="00265D5E" w:rsidRDefault="00265D5E"/>
    <w:p w14:paraId="4839DD7F" w14:textId="5E1ED52E" w:rsidR="00833DB8" w:rsidRPr="00DF55B2" w:rsidRDefault="00833DB8" w:rsidP="00833DB8">
      <w:pPr>
        <w:pStyle w:val="Heading1"/>
        <w:spacing w:before="0" w:line="240" w:lineRule="auto"/>
        <w:jc w:val="center"/>
        <w:rPr>
          <w:rFonts w:asciiTheme="minorHAnsi" w:hAnsiTheme="minorHAnsi"/>
          <w:b/>
          <w:color w:val="auto"/>
          <w:sz w:val="56"/>
          <w:szCs w:val="56"/>
        </w:rPr>
      </w:pPr>
      <w:r w:rsidRPr="00DF55B2">
        <w:rPr>
          <w:rFonts w:asciiTheme="minorHAnsi" w:hAnsiTheme="minorHAnsi"/>
          <w:b/>
          <w:color w:val="auto"/>
          <w:sz w:val="56"/>
          <w:szCs w:val="56"/>
        </w:rPr>
        <w:t>COVID-19 Tenant &amp; Rental Property Impacts</w:t>
      </w:r>
    </w:p>
    <w:p w14:paraId="6EF32CB2" w14:textId="6C013C77" w:rsidR="00833DB8" w:rsidRPr="00CC736C" w:rsidRDefault="00833DB8" w:rsidP="00833DB8">
      <w:pPr>
        <w:pStyle w:val="Heading1"/>
        <w:spacing w:before="0" w:line="240" w:lineRule="auto"/>
        <w:jc w:val="center"/>
        <w:rPr>
          <w:rFonts w:cstheme="majorHAnsi"/>
          <w:bCs/>
          <w:i/>
          <w:iCs/>
          <w:color w:val="auto"/>
          <w:sz w:val="24"/>
          <w:szCs w:val="24"/>
        </w:rPr>
      </w:pPr>
      <w:r w:rsidRPr="00CC736C">
        <w:rPr>
          <w:rFonts w:cstheme="majorHAnsi"/>
          <w:bCs/>
          <w:i/>
          <w:iCs/>
          <w:color w:val="auto"/>
        </w:rPr>
        <w:t xml:space="preserve"> </w:t>
      </w:r>
      <w:r w:rsidR="00DF55B2" w:rsidRPr="00CC736C">
        <w:rPr>
          <w:rFonts w:cstheme="majorHAnsi"/>
          <w:bCs/>
          <w:i/>
          <w:iCs/>
          <w:color w:val="auto"/>
        </w:rPr>
        <w:t>Survey of</w:t>
      </w:r>
      <w:r w:rsidRPr="00CC736C">
        <w:rPr>
          <w:rFonts w:cstheme="majorHAnsi"/>
          <w:bCs/>
          <w:i/>
          <w:iCs/>
          <w:color w:val="auto"/>
        </w:rPr>
        <w:t xml:space="preserve"> </w:t>
      </w:r>
      <w:r w:rsidRPr="00CC736C">
        <w:rPr>
          <w:rFonts w:cstheme="majorHAnsi"/>
          <w:bCs/>
          <w:i/>
          <w:iCs/>
          <w:color w:val="000000" w:themeColor="text1"/>
          <w:u w:val="single"/>
        </w:rPr>
        <w:t>Unpaid Rent</w:t>
      </w:r>
      <w:r w:rsidR="00DF55B2" w:rsidRPr="00CC736C">
        <w:rPr>
          <w:rFonts w:cstheme="majorHAnsi"/>
          <w:bCs/>
          <w:i/>
          <w:iCs/>
          <w:color w:val="000000" w:themeColor="text1"/>
          <w:u w:val="single"/>
        </w:rPr>
        <w:t>s</w:t>
      </w:r>
      <w:r w:rsidRPr="00CC736C">
        <w:rPr>
          <w:rFonts w:cstheme="majorHAnsi"/>
          <w:bCs/>
          <w:i/>
          <w:iCs/>
          <w:color w:val="000000" w:themeColor="text1"/>
        </w:rPr>
        <w:t xml:space="preserve"> </w:t>
      </w:r>
      <w:r w:rsidRPr="00CC736C">
        <w:rPr>
          <w:rFonts w:cstheme="majorHAnsi"/>
          <w:bCs/>
          <w:i/>
          <w:iCs/>
          <w:color w:val="auto"/>
        </w:rPr>
        <w:t xml:space="preserve">for April 2020 Due to </w:t>
      </w:r>
      <w:r w:rsidR="00DF55B2" w:rsidRPr="00CC736C">
        <w:rPr>
          <w:rFonts w:cstheme="majorHAnsi"/>
          <w:bCs/>
          <w:i/>
          <w:iCs/>
          <w:color w:val="auto"/>
        </w:rPr>
        <w:t xml:space="preserve">the </w:t>
      </w:r>
      <w:r w:rsidRPr="00CC736C">
        <w:rPr>
          <w:rFonts w:cstheme="majorHAnsi"/>
          <w:bCs/>
          <w:i/>
          <w:iCs/>
          <w:color w:val="auto"/>
        </w:rPr>
        <w:t>C</w:t>
      </w:r>
      <w:r w:rsidR="00DF55B2" w:rsidRPr="00CC736C">
        <w:rPr>
          <w:rFonts w:cstheme="majorHAnsi"/>
          <w:bCs/>
          <w:i/>
          <w:iCs/>
          <w:color w:val="auto"/>
        </w:rPr>
        <w:t>OVID</w:t>
      </w:r>
      <w:r w:rsidRPr="00CC736C">
        <w:rPr>
          <w:rFonts w:cstheme="majorHAnsi"/>
          <w:bCs/>
          <w:i/>
          <w:iCs/>
          <w:color w:val="auto"/>
        </w:rPr>
        <w:t>-19</w:t>
      </w:r>
      <w:r w:rsidR="00DF55B2" w:rsidRPr="00CC736C">
        <w:rPr>
          <w:rFonts w:cstheme="majorHAnsi"/>
          <w:bCs/>
          <w:i/>
          <w:iCs/>
          <w:color w:val="auto"/>
        </w:rPr>
        <w:t xml:space="preserve"> Pandemic </w:t>
      </w:r>
    </w:p>
    <w:p w14:paraId="6A6C7704" w14:textId="6D7A6E37" w:rsidR="00833DB8" w:rsidRPr="008A4D1E" w:rsidRDefault="00833DB8" w:rsidP="00555F66">
      <w:pPr>
        <w:jc w:val="center"/>
        <w:rPr>
          <w:b/>
          <w:sz w:val="36"/>
          <w:szCs w:val="36"/>
        </w:rPr>
      </w:pPr>
      <w:r w:rsidRPr="008A4D1E">
        <w:rPr>
          <w:b/>
          <w:sz w:val="36"/>
          <w:szCs w:val="36"/>
        </w:rPr>
        <w:t>April 16, 2020</w:t>
      </w:r>
      <w:r w:rsidR="00DF55B2">
        <w:rPr>
          <w:b/>
          <w:sz w:val="36"/>
          <w:szCs w:val="36"/>
        </w:rPr>
        <w:t xml:space="preserve"> </w:t>
      </w:r>
      <w:r w:rsidR="00DF55B2" w:rsidRPr="00DF55B2">
        <w:rPr>
          <w:b/>
          <w:color w:val="A6A6A6" w:themeColor="background1" w:themeShade="A6"/>
          <w:sz w:val="14"/>
          <w:szCs w:val="14"/>
        </w:rPr>
        <w:t>v5</w:t>
      </w:r>
    </w:p>
    <w:p w14:paraId="1B3FC2FA" w14:textId="3EEB727D" w:rsidR="00D72FE6" w:rsidRPr="001158E4" w:rsidRDefault="009D6A08" w:rsidP="00835624">
      <w:pPr>
        <w:pStyle w:val="Heading2"/>
        <w:spacing w:before="120" w:after="160" w:line="240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1158E4">
        <w:rPr>
          <w:rFonts w:asciiTheme="minorHAnsi" w:hAnsiTheme="minorHAnsi"/>
          <w:b/>
          <w:color w:val="000000" w:themeColor="text1"/>
        </w:rPr>
        <w:t xml:space="preserve">Survey </w:t>
      </w:r>
      <w:r w:rsidR="00A06420" w:rsidRPr="001158E4">
        <w:rPr>
          <w:rFonts w:asciiTheme="minorHAnsi" w:hAnsiTheme="minorHAnsi"/>
          <w:b/>
          <w:color w:val="000000" w:themeColor="text1"/>
        </w:rPr>
        <w:t>Overview</w:t>
      </w:r>
      <w:r w:rsidR="00555F66" w:rsidRPr="001158E4">
        <w:rPr>
          <w:rFonts w:asciiTheme="minorHAnsi" w:hAnsiTheme="minorHAnsi"/>
          <w:b/>
          <w:color w:val="000000" w:themeColor="text1"/>
        </w:rPr>
        <w:br/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COVID-19 has taken a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n economic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toll on thousands of low-income Minnesotans 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who live 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paycheck to paycheck 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and 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are </w:t>
      </w:r>
      <w:r w:rsidR="001E6C73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un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able to absorb an unexpected loss of income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and meet basic living expenses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Many of these Minnesotans 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lost 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their jobs immediately when 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COVID-19 stay-at-home orders 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went into effect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and are now without </w:t>
      </w:r>
      <w:r w:rsidR="00BD21B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adequate </w:t>
      </w:r>
      <w:r w:rsidR="00545611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income for food, healthcare and </w:t>
      </w:r>
      <w:r w:rsidR="00D72FE6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rent. </w:t>
      </w:r>
    </w:p>
    <w:p w14:paraId="78E1B10B" w14:textId="2E4ED2A5" w:rsidR="00C71FAC" w:rsidRPr="001158E4" w:rsidRDefault="00545611" w:rsidP="00C71FAC">
      <w:pPr>
        <w:pStyle w:val="Heading2"/>
        <w:spacing w:before="120" w:after="160" w:line="240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</w:pP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In early April,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Greater Minnesota Housing Fund (GMHF) conducted a survey of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Minnesota’s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affordable rental 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housing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owners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to determine the degree to which </w:t>
      </w:r>
      <w:r w:rsidR="00BD21B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tenants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were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unable to pay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April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rent due to the Covid-19 pandemic</w:t>
      </w:r>
      <w:r w:rsidR="00BD21B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and </w:t>
      </w:r>
      <w:r w:rsidR="00C71FAC" w:rsidRPr="001158E4">
        <w:rPr>
          <w:rFonts w:asciiTheme="minorHAnsi" w:hAnsiTheme="minorHAnsi"/>
          <w:color w:val="000000" w:themeColor="text1"/>
          <w:sz w:val="22"/>
          <w:szCs w:val="22"/>
        </w:rPr>
        <w:t>quantify the need for greater governmental rental assistance to prevent evictions and homelessness among Minnesota’s low income households.</w:t>
      </w:r>
      <w:r w:rsidR="00BD21B3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="00C71FAC" w:rsidRPr="001158E4">
        <w:rPr>
          <w:rFonts w:asciiTheme="minorHAnsi" w:hAnsiTheme="minorHAnsi"/>
          <w:color w:val="000000" w:themeColor="text1"/>
          <w:sz w:val="22"/>
          <w:szCs w:val="22"/>
        </w:rPr>
        <w:t xml:space="preserve"> survey also helps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identify 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upstream 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impacts 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on the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stability and safety of </w:t>
      </w:r>
      <w:r w:rsidR="00BD21B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the 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affordable properties</w:t>
      </w:r>
      <w:r w:rsidR="00BD21B3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that require rental incomes to stay solvent</w:t>
      </w:r>
      <w:r w:rsidR="004D6AB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. Finally, the survey illustrates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the </w:t>
      </w:r>
      <w:r w:rsidR="004D6AB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existential </w:t>
      </w:r>
      <w:r w:rsidR="00221E2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threat to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Minnesota’s 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housi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ng development 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organizations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that </w:t>
      </w:r>
      <w:r w:rsidR="004D6AB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are essential to the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creat</w:t>
      </w:r>
      <w:r w:rsidR="004D6AB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ion, preservation </w:t>
      </w:r>
      <w:r w:rsidR="00221E2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and </w:t>
      </w:r>
      <w:r w:rsidR="004D6ABA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sound management of 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affordable housing</w:t>
      </w:r>
      <w:r w:rsidR="00833DB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.</w:t>
      </w:r>
      <w:r w:rsidR="00C71FAC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67D2AC3" w14:textId="47B682B7" w:rsidR="00D72FE6" w:rsidRPr="001158E4" w:rsidRDefault="00221E2C" w:rsidP="00B45499">
      <w:p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 xml:space="preserve">The rental property survey </w:t>
      </w:r>
      <w:r w:rsidR="00833DB8" w:rsidRPr="001158E4">
        <w:rPr>
          <w:color w:val="000000" w:themeColor="text1"/>
        </w:rPr>
        <w:t>focused primarily on providers of affordable housing</w:t>
      </w:r>
      <w:r w:rsidRPr="001158E4">
        <w:rPr>
          <w:color w:val="000000" w:themeColor="text1"/>
        </w:rPr>
        <w:t>,</w:t>
      </w:r>
      <w:r w:rsidR="00833DB8" w:rsidRPr="001158E4">
        <w:rPr>
          <w:color w:val="000000" w:themeColor="text1"/>
        </w:rPr>
        <w:t xml:space="preserve"> but data for all rental units in respondent portfolios was requested, including market rate units.  </w:t>
      </w:r>
      <w:r w:rsidR="00B45499" w:rsidRPr="001158E4">
        <w:rPr>
          <w:color w:val="000000" w:themeColor="text1"/>
        </w:rPr>
        <w:t xml:space="preserve">The types of units reported by survey respondents were about evenly split between </w:t>
      </w:r>
      <w:r w:rsidRPr="001158E4">
        <w:rPr>
          <w:color w:val="000000" w:themeColor="text1"/>
        </w:rPr>
        <w:t xml:space="preserve">rent </w:t>
      </w:r>
      <w:r w:rsidR="00B45499" w:rsidRPr="001158E4">
        <w:rPr>
          <w:color w:val="000000" w:themeColor="text1"/>
        </w:rPr>
        <w:t xml:space="preserve">assisted </w:t>
      </w:r>
      <w:r w:rsidRPr="001158E4">
        <w:rPr>
          <w:color w:val="000000" w:themeColor="text1"/>
        </w:rPr>
        <w:t xml:space="preserve">housing </w:t>
      </w:r>
      <w:proofErr w:type="gramStart"/>
      <w:r w:rsidRPr="001158E4">
        <w:rPr>
          <w:color w:val="000000" w:themeColor="text1"/>
        </w:rPr>
        <w:t>units</w:t>
      </w:r>
      <w:r w:rsidR="00B45499" w:rsidRPr="001158E4">
        <w:rPr>
          <w:color w:val="000000" w:themeColor="text1"/>
        </w:rPr>
        <w:t>(</w:t>
      </w:r>
      <w:proofErr w:type="gramEnd"/>
      <w:r w:rsidR="00B45499" w:rsidRPr="001158E4">
        <w:rPr>
          <w:color w:val="000000" w:themeColor="text1"/>
        </w:rPr>
        <w:t>55%) and non-</w:t>
      </w:r>
      <w:r w:rsidRPr="001158E4">
        <w:rPr>
          <w:color w:val="000000" w:themeColor="text1"/>
        </w:rPr>
        <w:t xml:space="preserve">rent </w:t>
      </w:r>
      <w:r w:rsidR="00B45499" w:rsidRPr="001158E4">
        <w:rPr>
          <w:color w:val="000000" w:themeColor="text1"/>
        </w:rPr>
        <w:t xml:space="preserve">assisted units (45%).  </w:t>
      </w:r>
    </w:p>
    <w:p w14:paraId="52322DCB" w14:textId="55D46178" w:rsidR="00B45499" w:rsidRPr="001158E4" w:rsidRDefault="00B45499" w:rsidP="00B45499">
      <w:p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 xml:space="preserve">Due to income targeting in key federal subsidy programs, over 75% of the </w:t>
      </w:r>
      <w:r w:rsidR="00221E2C" w:rsidRPr="001158E4">
        <w:rPr>
          <w:color w:val="000000" w:themeColor="text1"/>
        </w:rPr>
        <w:t xml:space="preserve">rent </w:t>
      </w:r>
      <w:r w:rsidRPr="001158E4">
        <w:rPr>
          <w:color w:val="000000" w:themeColor="text1"/>
        </w:rPr>
        <w:t xml:space="preserve">assisted units are presumed to be households with incomes at or below 30% of the Area Median Income </w:t>
      </w:r>
      <w:r w:rsidR="00221E2C" w:rsidRPr="001158E4">
        <w:rPr>
          <w:color w:val="000000" w:themeColor="text1"/>
        </w:rPr>
        <w:t xml:space="preserve">(AMI), </w:t>
      </w:r>
      <w:r w:rsidRPr="001158E4">
        <w:rPr>
          <w:color w:val="000000" w:themeColor="text1"/>
        </w:rPr>
        <w:t>or about $25,000/per year in the Twin Cities metro.</w:t>
      </w:r>
      <w:r w:rsidR="00D72FE6" w:rsidRPr="001158E4">
        <w:rPr>
          <w:color w:val="000000" w:themeColor="text1"/>
        </w:rPr>
        <w:t xml:space="preserve">  At this income level, households are unable to withstand even short-term disruptions in income without being required to make trade-offs such as forgoing </w:t>
      </w:r>
      <w:r w:rsidR="00221E2C" w:rsidRPr="001158E4">
        <w:rPr>
          <w:color w:val="000000" w:themeColor="text1"/>
        </w:rPr>
        <w:t xml:space="preserve">healthcare </w:t>
      </w:r>
      <w:r w:rsidR="00D72FE6" w:rsidRPr="001158E4">
        <w:rPr>
          <w:color w:val="000000" w:themeColor="text1"/>
        </w:rPr>
        <w:t>or food to</w:t>
      </w:r>
      <w:r w:rsidR="00221E2C" w:rsidRPr="001158E4">
        <w:rPr>
          <w:color w:val="000000" w:themeColor="text1"/>
        </w:rPr>
        <w:t xml:space="preserve"> remain housed</w:t>
      </w:r>
      <w:r w:rsidR="00D72FE6" w:rsidRPr="001158E4">
        <w:rPr>
          <w:color w:val="000000" w:themeColor="text1"/>
        </w:rPr>
        <w:t xml:space="preserve">.  </w:t>
      </w:r>
      <w:r w:rsidRPr="001158E4">
        <w:rPr>
          <w:color w:val="000000" w:themeColor="text1"/>
        </w:rPr>
        <w:t xml:space="preserve"> </w:t>
      </w:r>
    </w:p>
    <w:p w14:paraId="4F270324" w14:textId="695259D8" w:rsidR="00833DB8" w:rsidRPr="001158E4" w:rsidRDefault="008A4D1E" w:rsidP="00555F66">
      <w:p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 xml:space="preserve">The rental property survey gathered data for over 31,500 units in the market statewide.  This is a sample that is equal to 5% of the total rental housing market of 610,000 units, of which 120,000 (20%) are affordable units. </w:t>
      </w:r>
      <w:r w:rsidR="00221E2C" w:rsidRPr="001158E4">
        <w:rPr>
          <w:color w:val="000000" w:themeColor="text1"/>
        </w:rPr>
        <w:t xml:space="preserve">The rental property survey was conducted </w:t>
      </w:r>
      <w:r w:rsidR="00833DB8" w:rsidRPr="001158E4">
        <w:rPr>
          <w:color w:val="000000" w:themeColor="text1"/>
        </w:rPr>
        <w:t>April 6</w:t>
      </w:r>
      <w:r w:rsidR="00833DB8" w:rsidRPr="001158E4">
        <w:rPr>
          <w:color w:val="000000" w:themeColor="text1"/>
          <w:vertAlign w:val="superscript"/>
        </w:rPr>
        <w:t>th</w:t>
      </w:r>
      <w:r w:rsidR="00221E2C" w:rsidRPr="001158E4">
        <w:rPr>
          <w:color w:val="000000" w:themeColor="text1"/>
        </w:rPr>
        <w:t>-</w:t>
      </w:r>
      <w:r w:rsidR="00833DB8" w:rsidRPr="001158E4">
        <w:rPr>
          <w:color w:val="000000" w:themeColor="text1"/>
        </w:rPr>
        <w:t xml:space="preserve"> 13</w:t>
      </w:r>
      <w:r w:rsidR="00833DB8" w:rsidRPr="001158E4">
        <w:rPr>
          <w:color w:val="000000" w:themeColor="text1"/>
          <w:vertAlign w:val="superscript"/>
        </w:rPr>
        <w:t>th</w:t>
      </w:r>
      <w:r w:rsidR="00221E2C" w:rsidRPr="001158E4">
        <w:rPr>
          <w:color w:val="000000" w:themeColor="text1"/>
        </w:rPr>
        <w:t xml:space="preserve"> of </w:t>
      </w:r>
      <w:r w:rsidR="00833DB8" w:rsidRPr="001158E4">
        <w:rPr>
          <w:color w:val="000000" w:themeColor="text1"/>
        </w:rPr>
        <w:t>2020</w:t>
      </w:r>
      <w:r w:rsidRPr="001158E4">
        <w:rPr>
          <w:color w:val="000000" w:themeColor="text1"/>
        </w:rPr>
        <w:t xml:space="preserve"> to capture the loss of rental income from March to April 2020</w:t>
      </w:r>
      <w:r w:rsidR="00221E2C" w:rsidRPr="001158E4">
        <w:rPr>
          <w:color w:val="000000" w:themeColor="text1"/>
        </w:rPr>
        <w:t xml:space="preserve">. Data </w:t>
      </w:r>
      <w:r w:rsidR="00833DB8" w:rsidRPr="001158E4">
        <w:rPr>
          <w:color w:val="000000" w:themeColor="text1"/>
        </w:rPr>
        <w:t xml:space="preserve">was provided </w:t>
      </w:r>
      <w:r w:rsidRPr="001158E4">
        <w:rPr>
          <w:color w:val="000000" w:themeColor="text1"/>
        </w:rPr>
        <w:t xml:space="preserve">directly </w:t>
      </w:r>
      <w:r w:rsidR="00833DB8" w:rsidRPr="001158E4">
        <w:rPr>
          <w:color w:val="000000" w:themeColor="text1"/>
        </w:rPr>
        <w:t xml:space="preserve">by owner operators </w:t>
      </w:r>
      <w:r w:rsidR="00221E2C" w:rsidRPr="001158E4">
        <w:rPr>
          <w:color w:val="000000" w:themeColor="text1"/>
        </w:rPr>
        <w:t xml:space="preserve">and </w:t>
      </w:r>
      <w:r w:rsidR="00833DB8" w:rsidRPr="001158E4">
        <w:rPr>
          <w:color w:val="000000" w:themeColor="text1"/>
        </w:rPr>
        <w:t>their property manage</w:t>
      </w:r>
      <w:r w:rsidR="00221E2C" w:rsidRPr="001158E4">
        <w:rPr>
          <w:color w:val="000000" w:themeColor="text1"/>
        </w:rPr>
        <w:t>rs</w:t>
      </w:r>
      <w:r w:rsidR="00833DB8" w:rsidRPr="001158E4">
        <w:rPr>
          <w:color w:val="000000" w:themeColor="text1"/>
        </w:rPr>
        <w:t xml:space="preserve">. </w:t>
      </w:r>
      <w:r w:rsidR="00221E2C" w:rsidRPr="001158E4">
        <w:rPr>
          <w:color w:val="000000" w:themeColor="text1"/>
        </w:rPr>
        <w:t xml:space="preserve"> </w:t>
      </w:r>
    </w:p>
    <w:p w14:paraId="7707188B" w14:textId="77777777" w:rsidR="007235D0" w:rsidRPr="001158E4" w:rsidRDefault="009D6A08" w:rsidP="00555F66">
      <w:pPr>
        <w:pStyle w:val="Heading2"/>
        <w:spacing w:line="240" w:lineRule="auto"/>
        <w:rPr>
          <w:rFonts w:asciiTheme="minorHAnsi" w:hAnsiTheme="minorHAnsi"/>
          <w:b/>
          <w:color w:val="000000" w:themeColor="text1"/>
        </w:rPr>
      </w:pPr>
      <w:r w:rsidRPr="001158E4">
        <w:rPr>
          <w:rFonts w:asciiTheme="minorHAnsi" w:hAnsiTheme="minorHAnsi"/>
          <w:b/>
          <w:color w:val="000000" w:themeColor="text1"/>
        </w:rPr>
        <w:t xml:space="preserve">Survey </w:t>
      </w:r>
      <w:r w:rsidR="007235D0" w:rsidRPr="001158E4">
        <w:rPr>
          <w:rFonts w:asciiTheme="minorHAnsi" w:hAnsiTheme="minorHAnsi"/>
          <w:b/>
          <w:color w:val="000000" w:themeColor="text1"/>
        </w:rPr>
        <w:t>Finding</w:t>
      </w:r>
      <w:r w:rsidRPr="001158E4">
        <w:rPr>
          <w:rFonts w:asciiTheme="minorHAnsi" w:hAnsiTheme="minorHAnsi"/>
          <w:b/>
          <w:color w:val="000000" w:themeColor="text1"/>
        </w:rPr>
        <w:t xml:space="preserve">s </w:t>
      </w:r>
    </w:p>
    <w:p w14:paraId="6645905E" w14:textId="77777777" w:rsidR="00CA5643" w:rsidRPr="001158E4" w:rsidRDefault="00CA5643" w:rsidP="00555F66">
      <w:pPr>
        <w:pStyle w:val="Heading3"/>
        <w:numPr>
          <w:ilvl w:val="0"/>
          <w:numId w:val="9"/>
        </w:numPr>
        <w:spacing w:line="240" w:lineRule="auto"/>
        <w:rPr>
          <w:rFonts w:asciiTheme="minorHAnsi" w:hAnsiTheme="minorHAnsi"/>
          <w:b/>
          <w:color w:val="000000" w:themeColor="text1"/>
        </w:rPr>
      </w:pPr>
      <w:r w:rsidRPr="001158E4">
        <w:rPr>
          <w:rFonts w:asciiTheme="minorHAnsi" w:hAnsiTheme="minorHAnsi"/>
          <w:b/>
          <w:color w:val="000000" w:themeColor="text1"/>
        </w:rPr>
        <w:t>COVID-19 has had immediate impacts on tenants and property owners</w:t>
      </w:r>
      <w:r w:rsidR="00BC4454" w:rsidRPr="001158E4">
        <w:rPr>
          <w:rFonts w:asciiTheme="minorHAnsi" w:hAnsiTheme="minorHAnsi"/>
          <w:b/>
          <w:color w:val="000000" w:themeColor="text1"/>
        </w:rPr>
        <w:t xml:space="preserve"> </w:t>
      </w:r>
      <w:r w:rsidRPr="001158E4">
        <w:rPr>
          <w:rFonts w:asciiTheme="minorHAnsi" w:hAnsiTheme="minorHAnsi"/>
          <w:b/>
          <w:color w:val="000000" w:themeColor="text1"/>
        </w:rPr>
        <w:t xml:space="preserve"> </w:t>
      </w:r>
    </w:p>
    <w:p w14:paraId="15C05A5D" w14:textId="685230E0" w:rsidR="006B66C1" w:rsidRPr="001158E4" w:rsidRDefault="006B66C1" w:rsidP="00555F66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 xml:space="preserve">Early </w:t>
      </w:r>
      <w:r w:rsidR="00511DC9" w:rsidRPr="001158E4">
        <w:rPr>
          <w:color w:val="000000" w:themeColor="text1"/>
        </w:rPr>
        <w:t>report</w:t>
      </w:r>
      <w:r w:rsidRPr="001158E4">
        <w:rPr>
          <w:color w:val="000000" w:themeColor="text1"/>
        </w:rPr>
        <w:t>s include clear evidence of significant adverse tenant impacts</w:t>
      </w:r>
      <w:r w:rsidR="00555F66" w:rsidRPr="001158E4">
        <w:rPr>
          <w:color w:val="000000" w:themeColor="text1"/>
        </w:rPr>
        <w:t xml:space="preserve"> on ability to pay rent</w:t>
      </w:r>
      <w:r w:rsidRPr="001158E4">
        <w:rPr>
          <w:color w:val="000000" w:themeColor="text1"/>
        </w:rPr>
        <w:t xml:space="preserve">, </w:t>
      </w:r>
      <w:r w:rsidR="003C0D0E" w:rsidRPr="001158E4">
        <w:rPr>
          <w:color w:val="000000" w:themeColor="text1"/>
        </w:rPr>
        <w:t>disruptions to routine maintenance</w:t>
      </w:r>
      <w:r w:rsidRPr="001158E4">
        <w:rPr>
          <w:color w:val="000000" w:themeColor="text1"/>
        </w:rPr>
        <w:t xml:space="preserve">, and </w:t>
      </w:r>
      <w:r w:rsidR="00555F66" w:rsidRPr="001158E4">
        <w:rPr>
          <w:color w:val="000000" w:themeColor="text1"/>
        </w:rPr>
        <w:t xml:space="preserve">significant </w:t>
      </w:r>
      <w:r w:rsidRPr="001158E4">
        <w:rPr>
          <w:color w:val="000000" w:themeColor="text1"/>
        </w:rPr>
        <w:t>rental income decline</w:t>
      </w:r>
      <w:r w:rsidR="00555F66" w:rsidRPr="001158E4">
        <w:rPr>
          <w:color w:val="000000" w:themeColor="text1"/>
        </w:rPr>
        <w:t xml:space="preserve">s which threaten </w:t>
      </w:r>
      <w:r w:rsidR="003C0D0E" w:rsidRPr="001158E4">
        <w:rPr>
          <w:color w:val="000000" w:themeColor="text1"/>
        </w:rPr>
        <w:t xml:space="preserve">housing </w:t>
      </w:r>
      <w:r w:rsidR="00555F66" w:rsidRPr="001158E4">
        <w:rPr>
          <w:color w:val="000000" w:themeColor="text1"/>
        </w:rPr>
        <w:t xml:space="preserve">stability </w:t>
      </w:r>
      <w:r w:rsidR="003C0D0E" w:rsidRPr="001158E4">
        <w:rPr>
          <w:color w:val="000000" w:themeColor="text1"/>
        </w:rPr>
        <w:t>for tenants and financial stability for property owners</w:t>
      </w:r>
      <w:r w:rsidR="00555F66" w:rsidRPr="001158E4">
        <w:rPr>
          <w:color w:val="000000" w:themeColor="text1"/>
        </w:rPr>
        <w:t xml:space="preserve"> going forward</w:t>
      </w:r>
      <w:r w:rsidRPr="001158E4">
        <w:rPr>
          <w:color w:val="000000" w:themeColor="text1"/>
        </w:rPr>
        <w:t xml:space="preserve">. </w:t>
      </w:r>
    </w:p>
    <w:p w14:paraId="0F577110" w14:textId="7263038A" w:rsidR="006B66C1" w:rsidRPr="001158E4" w:rsidRDefault="003C0D0E" w:rsidP="00555F66">
      <w:pPr>
        <w:pStyle w:val="ListParagraph"/>
        <w:numPr>
          <w:ilvl w:val="0"/>
          <w:numId w:val="13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>H</w:t>
      </w:r>
      <w:r w:rsidR="00555F66" w:rsidRPr="001158E4">
        <w:rPr>
          <w:color w:val="000000" w:themeColor="text1"/>
        </w:rPr>
        <w:t xml:space="preserve">ousing </w:t>
      </w:r>
      <w:r w:rsidRPr="001158E4">
        <w:rPr>
          <w:color w:val="000000" w:themeColor="text1"/>
        </w:rPr>
        <w:t>provider</w:t>
      </w:r>
      <w:r w:rsidR="00555F66" w:rsidRPr="001158E4">
        <w:rPr>
          <w:color w:val="000000" w:themeColor="text1"/>
        </w:rPr>
        <w:t xml:space="preserve"> </w:t>
      </w:r>
      <w:r w:rsidR="006B66C1" w:rsidRPr="001158E4">
        <w:rPr>
          <w:color w:val="000000" w:themeColor="text1"/>
        </w:rPr>
        <w:t xml:space="preserve">respondents expressed </w:t>
      </w:r>
      <w:r w:rsidR="00555F66" w:rsidRPr="001158E4">
        <w:rPr>
          <w:color w:val="000000" w:themeColor="text1"/>
        </w:rPr>
        <w:t xml:space="preserve">concern </w:t>
      </w:r>
      <w:r w:rsidR="006B66C1" w:rsidRPr="001158E4">
        <w:rPr>
          <w:color w:val="000000" w:themeColor="text1"/>
        </w:rPr>
        <w:t xml:space="preserve">that adverse </w:t>
      </w:r>
      <w:r w:rsidR="00555F66" w:rsidRPr="001158E4">
        <w:rPr>
          <w:color w:val="000000" w:themeColor="text1"/>
        </w:rPr>
        <w:t xml:space="preserve">economic </w:t>
      </w:r>
      <w:r w:rsidR="006B66C1" w:rsidRPr="001158E4">
        <w:rPr>
          <w:color w:val="000000" w:themeColor="text1"/>
        </w:rPr>
        <w:t xml:space="preserve">impacts will intensify in May </w:t>
      </w:r>
      <w:r w:rsidR="00555F66" w:rsidRPr="001158E4">
        <w:rPr>
          <w:color w:val="000000" w:themeColor="text1"/>
        </w:rPr>
        <w:t xml:space="preserve">2020 </w:t>
      </w:r>
      <w:r w:rsidR="006B66C1" w:rsidRPr="001158E4">
        <w:rPr>
          <w:color w:val="000000" w:themeColor="text1"/>
        </w:rPr>
        <w:t xml:space="preserve">and later in the summer as temporary </w:t>
      </w:r>
      <w:r w:rsidR="00555F66" w:rsidRPr="001158E4">
        <w:rPr>
          <w:color w:val="000000" w:themeColor="text1"/>
        </w:rPr>
        <w:t xml:space="preserve">income support </w:t>
      </w:r>
      <w:r w:rsidR="006B66C1" w:rsidRPr="001158E4">
        <w:rPr>
          <w:color w:val="000000" w:themeColor="text1"/>
        </w:rPr>
        <w:t>measures expire.</w:t>
      </w:r>
    </w:p>
    <w:p w14:paraId="34EDD662" w14:textId="676C7B7D" w:rsidR="00555F66" w:rsidRPr="001158E4" w:rsidRDefault="00555F66" w:rsidP="00555F66">
      <w:pPr>
        <w:pStyle w:val="ListParagraph"/>
        <w:numPr>
          <w:ilvl w:val="0"/>
          <w:numId w:val="13"/>
        </w:numPr>
        <w:spacing w:line="240" w:lineRule="auto"/>
        <w:rPr>
          <w:i/>
          <w:iCs/>
          <w:noProof/>
          <w:color w:val="000000" w:themeColor="text1"/>
        </w:rPr>
      </w:pPr>
      <w:r w:rsidRPr="001158E4">
        <w:rPr>
          <w:noProof/>
          <w:color w:val="000000" w:themeColor="text1"/>
        </w:rPr>
        <w:t>GMHF will be adding to this data in May 2020 and over the coming months to determine the rate of rent losses and</w:t>
      </w:r>
      <w:r w:rsidR="00B77F28" w:rsidRPr="001158E4">
        <w:rPr>
          <w:noProof/>
          <w:color w:val="000000" w:themeColor="text1"/>
        </w:rPr>
        <w:t xml:space="preserve"> </w:t>
      </w:r>
      <w:r w:rsidR="00B77F28" w:rsidRPr="001158E4">
        <w:rPr>
          <w:i/>
          <w:iCs/>
          <w:noProof/>
          <w:color w:val="000000" w:themeColor="text1"/>
        </w:rPr>
        <w:t xml:space="preserve">the </w:t>
      </w:r>
      <w:r w:rsidRPr="001158E4">
        <w:rPr>
          <w:i/>
          <w:iCs/>
          <w:noProof/>
          <w:color w:val="000000" w:themeColor="text1"/>
        </w:rPr>
        <w:t xml:space="preserve">demand for </w:t>
      </w:r>
      <w:r w:rsidR="00B77F28" w:rsidRPr="001158E4">
        <w:rPr>
          <w:i/>
          <w:iCs/>
          <w:noProof/>
          <w:color w:val="000000" w:themeColor="text1"/>
        </w:rPr>
        <w:t xml:space="preserve">long term </w:t>
      </w:r>
      <w:r w:rsidRPr="001158E4">
        <w:rPr>
          <w:i/>
          <w:iCs/>
          <w:noProof/>
          <w:color w:val="000000" w:themeColor="text1"/>
        </w:rPr>
        <w:t xml:space="preserve">tenant based rental assistance </w:t>
      </w:r>
      <w:r w:rsidR="00B77F28" w:rsidRPr="001158E4">
        <w:rPr>
          <w:i/>
          <w:iCs/>
          <w:noProof/>
          <w:color w:val="000000" w:themeColor="text1"/>
        </w:rPr>
        <w:t>to stabilize families and support the operations of the rental housing</w:t>
      </w:r>
      <w:r w:rsidRPr="001158E4">
        <w:rPr>
          <w:i/>
          <w:iCs/>
          <w:noProof/>
          <w:color w:val="000000" w:themeColor="text1"/>
        </w:rPr>
        <w:t xml:space="preserve">.  </w:t>
      </w:r>
    </w:p>
    <w:p w14:paraId="17616AEB" w14:textId="1D29BC6F" w:rsidR="009D6A08" w:rsidRPr="001158E4" w:rsidRDefault="007235D0" w:rsidP="00555F66">
      <w:pPr>
        <w:pStyle w:val="Heading3"/>
        <w:numPr>
          <w:ilvl w:val="0"/>
          <w:numId w:val="9"/>
        </w:numPr>
        <w:spacing w:line="240" w:lineRule="auto"/>
        <w:rPr>
          <w:rFonts w:asciiTheme="minorHAnsi" w:hAnsiTheme="minorHAnsi"/>
          <w:b/>
          <w:color w:val="000000" w:themeColor="text1"/>
        </w:rPr>
      </w:pPr>
      <w:r w:rsidRPr="001158E4">
        <w:rPr>
          <w:rFonts w:asciiTheme="minorHAnsi" w:hAnsiTheme="minorHAnsi"/>
          <w:b/>
          <w:color w:val="000000" w:themeColor="text1"/>
        </w:rPr>
        <w:t xml:space="preserve">Rental </w:t>
      </w:r>
      <w:r w:rsidR="00321B84" w:rsidRPr="001158E4">
        <w:rPr>
          <w:rFonts w:asciiTheme="minorHAnsi" w:hAnsiTheme="minorHAnsi"/>
          <w:b/>
          <w:color w:val="000000" w:themeColor="text1"/>
        </w:rPr>
        <w:t>i</w:t>
      </w:r>
      <w:r w:rsidRPr="001158E4">
        <w:rPr>
          <w:rFonts w:asciiTheme="minorHAnsi" w:hAnsiTheme="minorHAnsi"/>
          <w:b/>
          <w:color w:val="000000" w:themeColor="text1"/>
        </w:rPr>
        <w:t>ncome declined</w:t>
      </w:r>
      <w:r w:rsidR="00447D97" w:rsidRPr="001158E4">
        <w:rPr>
          <w:rFonts w:asciiTheme="minorHAnsi" w:hAnsiTheme="minorHAnsi"/>
          <w:b/>
          <w:color w:val="000000" w:themeColor="text1"/>
        </w:rPr>
        <w:t xml:space="preserve"> on average by 16% </w:t>
      </w:r>
      <w:r w:rsidRPr="001158E4">
        <w:rPr>
          <w:rFonts w:asciiTheme="minorHAnsi" w:hAnsiTheme="minorHAnsi"/>
          <w:b/>
          <w:color w:val="000000" w:themeColor="text1"/>
        </w:rPr>
        <w:t xml:space="preserve">in April </w:t>
      </w:r>
      <w:r w:rsidR="00B77F28" w:rsidRPr="001158E4">
        <w:rPr>
          <w:rFonts w:asciiTheme="minorHAnsi" w:hAnsiTheme="minorHAnsi"/>
          <w:b/>
          <w:color w:val="000000" w:themeColor="text1"/>
        </w:rPr>
        <w:t xml:space="preserve">2020 </w:t>
      </w:r>
      <w:r w:rsidRPr="001158E4">
        <w:rPr>
          <w:rFonts w:asciiTheme="minorHAnsi" w:hAnsiTheme="minorHAnsi"/>
          <w:b/>
          <w:color w:val="000000" w:themeColor="text1"/>
        </w:rPr>
        <w:t>as compared with March</w:t>
      </w:r>
      <w:r w:rsidR="00973E85" w:rsidRPr="001158E4">
        <w:rPr>
          <w:rFonts w:asciiTheme="minorHAnsi" w:hAnsiTheme="minorHAnsi"/>
          <w:b/>
          <w:color w:val="000000" w:themeColor="text1"/>
        </w:rPr>
        <w:t xml:space="preserve"> </w:t>
      </w:r>
      <w:r w:rsidR="00B77F28" w:rsidRPr="001158E4">
        <w:rPr>
          <w:rFonts w:asciiTheme="minorHAnsi" w:hAnsiTheme="minorHAnsi"/>
          <w:b/>
          <w:color w:val="000000" w:themeColor="text1"/>
        </w:rPr>
        <w:t>2020</w:t>
      </w:r>
    </w:p>
    <w:p w14:paraId="0F4F7923" w14:textId="52429D24" w:rsidR="00EE57D3" w:rsidRPr="001158E4" w:rsidRDefault="00775487" w:rsidP="00555F6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 xml:space="preserve">99% of </w:t>
      </w:r>
      <w:r w:rsidR="00EE57D3" w:rsidRPr="001158E4">
        <w:rPr>
          <w:color w:val="000000" w:themeColor="text1"/>
        </w:rPr>
        <w:t>units reported on were in portfolios that saw a month over month decline in rental income</w:t>
      </w:r>
      <w:r w:rsidRPr="001158E4">
        <w:rPr>
          <w:color w:val="000000" w:themeColor="text1"/>
        </w:rPr>
        <w:t>.</w:t>
      </w:r>
    </w:p>
    <w:p w14:paraId="76E6FD4B" w14:textId="6093460B" w:rsidR="007235D0" w:rsidRPr="001158E4" w:rsidRDefault="00C93A40" w:rsidP="00555F6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>Declines in rental income ranged from less than 10% up to 40%</w:t>
      </w:r>
      <w:r w:rsidR="00775487" w:rsidRPr="001158E4">
        <w:rPr>
          <w:color w:val="000000" w:themeColor="text1"/>
        </w:rPr>
        <w:t>.</w:t>
      </w:r>
      <w:r w:rsidRPr="001158E4">
        <w:rPr>
          <w:color w:val="000000" w:themeColor="text1"/>
        </w:rPr>
        <w:t xml:space="preserve">  </w:t>
      </w:r>
    </w:p>
    <w:p w14:paraId="16900E53" w14:textId="0CF2F748" w:rsidR="00973E85" w:rsidRPr="001158E4" w:rsidRDefault="009D6A08" w:rsidP="00555F6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>Average rental losses of less than 10% were most prevalent affecting 48% of units in portfolios</w:t>
      </w:r>
      <w:r w:rsidR="00775487" w:rsidRPr="001158E4">
        <w:rPr>
          <w:color w:val="000000" w:themeColor="text1"/>
        </w:rPr>
        <w:t>.</w:t>
      </w:r>
      <w:r w:rsidR="00973E85" w:rsidRPr="001158E4">
        <w:rPr>
          <w:color w:val="000000" w:themeColor="text1"/>
        </w:rPr>
        <w:t xml:space="preserve"> </w:t>
      </w:r>
    </w:p>
    <w:p w14:paraId="2F82452B" w14:textId="60052C1E" w:rsidR="00973E85" w:rsidRPr="001158E4" w:rsidRDefault="00973E85" w:rsidP="00555F66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lastRenderedPageBreak/>
        <w:t>Th</w:t>
      </w:r>
      <w:r w:rsidR="00C93A40" w:rsidRPr="001158E4">
        <w:rPr>
          <w:color w:val="000000" w:themeColor="text1"/>
        </w:rPr>
        <w:t xml:space="preserve">is rate of decline represents an estimated loss of rental income of </w:t>
      </w:r>
      <w:r w:rsidRPr="001158E4">
        <w:rPr>
          <w:color w:val="000000" w:themeColor="text1"/>
        </w:rPr>
        <w:t>$</w:t>
      </w:r>
      <w:r w:rsidR="00321B84" w:rsidRPr="001158E4">
        <w:rPr>
          <w:color w:val="000000" w:themeColor="text1"/>
        </w:rPr>
        <w:t>60 million</w:t>
      </w:r>
      <w:r w:rsidRPr="001158E4">
        <w:rPr>
          <w:color w:val="000000" w:themeColor="text1"/>
        </w:rPr>
        <w:t xml:space="preserve"> </w:t>
      </w:r>
      <w:r w:rsidR="00321B84" w:rsidRPr="001158E4">
        <w:rPr>
          <w:color w:val="000000" w:themeColor="text1"/>
        </w:rPr>
        <w:t>statewide in April</w:t>
      </w:r>
      <w:r w:rsidR="00775487" w:rsidRPr="001158E4">
        <w:rPr>
          <w:color w:val="000000" w:themeColor="text1"/>
        </w:rPr>
        <w:t>.</w:t>
      </w:r>
      <w:r w:rsidRPr="001158E4">
        <w:rPr>
          <w:color w:val="000000" w:themeColor="text1"/>
        </w:rPr>
        <w:t xml:space="preserve">  </w:t>
      </w:r>
    </w:p>
    <w:p w14:paraId="33A4533F" w14:textId="77777777" w:rsidR="007C4191" w:rsidRPr="001158E4" w:rsidRDefault="007C4191" w:rsidP="00555F66">
      <w:pPr>
        <w:pStyle w:val="Heading3"/>
        <w:numPr>
          <w:ilvl w:val="0"/>
          <w:numId w:val="9"/>
        </w:numPr>
        <w:spacing w:line="240" w:lineRule="auto"/>
        <w:rPr>
          <w:rFonts w:asciiTheme="minorHAnsi" w:hAnsiTheme="minorHAnsi"/>
          <w:b/>
          <w:color w:val="000000" w:themeColor="text1"/>
        </w:rPr>
      </w:pPr>
      <w:r w:rsidRPr="001158E4">
        <w:rPr>
          <w:rFonts w:asciiTheme="minorHAnsi" w:hAnsiTheme="minorHAnsi"/>
          <w:b/>
          <w:color w:val="000000" w:themeColor="text1"/>
        </w:rPr>
        <w:t>Rental inc</w:t>
      </w:r>
      <w:r w:rsidR="00EB2CCF" w:rsidRPr="001158E4">
        <w:rPr>
          <w:rFonts w:asciiTheme="minorHAnsi" w:hAnsiTheme="minorHAnsi"/>
          <w:b/>
          <w:color w:val="000000" w:themeColor="text1"/>
        </w:rPr>
        <w:t>ome declined by more among rent-</w:t>
      </w:r>
      <w:r w:rsidRPr="001158E4">
        <w:rPr>
          <w:rFonts w:asciiTheme="minorHAnsi" w:hAnsiTheme="minorHAnsi"/>
          <w:b/>
          <w:color w:val="000000" w:themeColor="text1"/>
        </w:rPr>
        <w:t>assisted units, on average over 19%</w:t>
      </w:r>
    </w:p>
    <w:p w14:paraId="085962F9" w14:textId="430D5255" w:rsidR="00CA5643" w:rsidRPr="001158E4" w:rsidRDefault="00B77F28" w:rsidP="00555F66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 xml:space="preserve">The loss of rental income is a direct indicator </w:t>
      </w:r>
      <w:r w:rsidR="00CA5643" w:rsidRPr="001158E4">
        <w:rPr>
          <w:color w:val="000000" w:themeColor="text1"/>
        </w:rPr>
        <w:t xml:space="preserve">of the scale of </w:t>
      </w:r>
      <w:r w:rsidRPr="001158E4">
        <w:rPr>
          <w:color w:val="000000" w:themeColor="text1"/>
        </w:rPr>
        <w:t xml:space="preserve">lost income for renter households and the rising demand for </w:t>
      </w:r>
      <w:r w:rsidR="00CA5643" w:rsidRPr="001158E4">
        <w:rPr>
          <w:color w:val="000000" w:themeColor="text1"/>
        </w:rPr>
        <w:t>rent</w:t>
      </w:r>
      <w:r w:rsidRPr="001158E4">
        <w:rPr>
          <w:color w:val="000000" w:themeColor="text1"/>
        </w:rPr>
        <w:t xml:space="preserve">al assistance </w:t>
      </w:r>
      <w:r w:rsidR="00CA5643" w:rsidRPr="001158E4">
        <w:rPr>
          <w:color w:val="000000" w:themeColor="text1"/>
        </w:rPr>
        <w:t xml:space="preserve">programs and additional appropriations </w:t>
      </w:r>
      <w:r w:rsidRPr="001158E4">
        <w:rPr>
          <w:color w:val="000000" w:themeColor="text1"/>
        </w:rPr>
        <w:t xml:space="preserve">for </w:t>
      </w:r>
      <w:r w:rsidR="00EB2CCF" w:rsidRPr="001158E4">
        <w:rPr>
          <w:color w:val="000000" w:themeColor="text1"/>
        </w:rPr>
        <w:t>these programs</w:t>
      </w:r>
      <w:r w:rsidR="006B66C1" w:rsidRPr="001158E4">
        <w:rPr>
          <w:color w:val="000000" w:themeColor="text1"/>
        </w:rPr>
        <w:t xml:space="preserve"> to stabilize </w:t>
      </w:r>
      <w:r w:rsidRPr="001158E4">
        <w:rPr>
          <w:color w:val="000000" w:themeColor="text1"/>
        </w:rPr>
        <w:t xml:space="preserve">renter households, prevent homelessness and maintain safe and stable </w:t>
      </w:r>
      <w:r w:rsidR="006B66C1" w:rsidRPr="001158E4">
        <w:rPr>
          <w:color w:val="000000" w:themeColor="text1"/>
        </w:rPr>
        <w:t>properties long-term</w:t>
      </w:r>
      <w:r w:rsidR="003E08BA" w:rsidRPr="001158E4">
        <w:rPr>
          <w:color w:val="000000" w:themeColor="text1"/>
        </w:rPr>
        <w:t>.</w:t>
      </w:r>
    </w:p>
    <w:p w14:paraId="6836B0F6" w14:textId="77777777" w:rsidR="007C4191" w:rsidRPr="001158E4" w:rsidRDefault="00BC4454" w:rsidP="00555F66">
      <w:pPr>
        <w:pStyle w:val="Heading3"/>
        <w:numPr>
          <w:ilvl w:val="0"/>
          <w:numId w:val="9"/>
        </w:numPr>
        <w:spacing w:line="240" w:lineRule="auto"/>
        <w:rPr>
          <w:rFonts w:asciiTheme="minorHAnsi" w:hAnsiTheme="minorHAnsi"/>
          <w:b/>
          <w:color w:val="000000" w:themeColor="text1"/>
        </w:rPr>
      </w:pPr>
      <w:r w:rsidRPr="001158E4">
        <w:rPr>
          <w:rFonts w:asciiTheme="minorHAnsi" w:hAnsiTheme="minorHAnsi"/>
          <w:b/>
          <w:color w:val="000000" w:themeColor="text1"/>
        </w:rPr>
        <w:t>Rent collection continues and many respondents emphasized that the data was preliminary.</w:t>
      </w:r>
    </w:p>
    <w:p w14:paraId="5B8BAEC8" w14:textId="2BA629E7" w:rsidR="003C0D0E" w:rsidRPr="001158E4" w:rsidRDefault="003C0D0E" w:rsidP="00555F66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>Declines in rental income for rent assisted units are expected to be mostly temporary due to a time lag while interim subsidy adjustments are processed by federal, state, and local administrators.</w:t>
      </w:r>
    </w:p>
    <w:p w14:paraId="152FCAA6" w14:textId="711C680F" w:rsidR="00BC4454" w:rsidRPr="001158E4" w:rsidRDefault="00BC4454" w:rsidP="00555F66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>Some tenants are on payment plans to make multiple payments per month and only a portion of the rent had been collected in those instances</w:t>
      </w:r>
      <w:r w:rsidR="003E08BA" w:rsidRPr="001158E4">
        <w:rPr>
          <w:color w:val="000000" w:themeColor="text1"/>
        </w:rPr>
        <w:t>.</w:t>
      </w:r>
    </w:p>
    <w:p w14:paraId="657E10C1" w14:textId="10546A13" w:rsidR="007C4191" w:rsidRPr="001158E4" w:rsidRDefault="00BC4454" w:rsidP="00555F66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</w:rPr>
      </w:pPr>
      <w:r w:rsidRPr="001158E4">
        <w:rPr>
          <w:color w:val="000000" w:themeColor="text1"/>
        </w:rPr>
        <w:t xml:space="preserve">Some respondents have later due dates for rents and in those </w:t>
      </w:r>
      <w:proofErr w:type="gramStart"/>
      <w:r w:rsidRPr="001158E4">
        <w:rPr>
          <w:color w:val="000000" w:themeColor="text1"/>
        </w:rPr>
        <w:t>cases</w:t>
      </w:r>
      <w:proofErr w:type="gramEnd"/>
      <w:r w:rsidRPr="001158E4">
        <w:rPr>
          <w:color w:val="000000" w:themeColor="text1"/>
        </w:rPr>
        <w:t xml:space="preserve"> rent may have only been due for a day or two a</w:t>
      </w:r>
      <w:r w:rsidR="003C0D0E" w:rsidRPr="001158E4">
        <w:rPr>
          <w:color w:val="000000" w:themeColor="text1"/>
        </w:rPr>
        <w:t xml:space="preserve">t the time </w:t>
      </w:r>
      <w:r w:rsidRPr="001158E4">
        <w:rPr>
          <w:color w:val="000000" w:themeColor="text1"/>
        </w:rPr>
        <w:t>of the survey and some delinquencies were expected to be resolved</w:t>
      </w:r>
      <w:r w:rsidR="003E08BA" w:rsidRPr="001158E4">
        <w:rPr>
          <w:color w:val="000000" w:themeColor="text1"/>
        </w:rPr>
        <w:t>.</w:t>
      </w:r>
      <w:r w:rsidRPr="001158E4">
        <w:rPr>
          <w:color w:val="000000" w:themeColor="text1"/>
        </w:rPr>
        <w:t xml:space="preserve"> </w:t>
      </w:r>
    </w:p>
    <w:p w14:paraId="13CF1F80" w14:textId="19DABB8C" w:rsidR="00B77F28" w:rsidRPr="001158E4" w:rsidRDefault="00775487" w:rsidP="00775487">
      <w:pPr>
        <w:pStyle w:val="Heading2"/>
        <w:spacing w:line="240" w:lineRule="auto"/>
        <w:rPr>
          <w:rFonts w:asciiTheme="minorHAnsi" w:hAnsiTheme="minorHAnsi"/>
          <w:b/>
          <w:color w:val="000000" w:themeColor="text1"/>
        </w:rPr>
      </w:pPr>
      <w:r w:rsidRPr="001158E4">
        <w:rPr>
          <w:rFonts w:asciiTheme="minorHAnsi" w:hAnsiTheme="minorHAnsi"/>
          <w:b/>
          <w:color w:val="000000" w:themeColor="text1"/>
        </w:rPr>
        <w:t xml:space="preserve">Summary </w:t>
      </w:r>
      <w:r w:rsidR="00973E85" w:rsidRPr="001158E4">
        <w:rPr>
          <w:rFonts w:asciiTheme="minorHAnsi" w:hAnsiTheme="minorHAnsi"/>
          <w:b/>
          <w:color w:val="000000" w:themeColor="text1"/>
        </w:rPr>
        <w:t xml:space="preserve">Data </w:t>
      </w:r>
    </w:p>
    <w:p w14:paraId="1DA66D76" w14:textId="14C200AA" w:rsidR="001158E4" w:rsidRPr="001158E4" w:rsidRDefault="00973E85" w:rsidP="001158E4">
      <w:pPr>
        <w:pStyle w:val="Heading3"/>
        <w:spacing w:after="120" w:line="240" w:lineRule="auto"/>
        <w:rPr>
          <w:rFonts w:asciiTheme="minorHAnsi" w:hAnsiTheme="minorHAnsi"/>
          <w:color w:val="000000" w:themeColor="text1"/>
        </w:rPr>
      </w:pP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>Respondents were asked to estimate the change in rental income</w:t>
      </w:r>
      <w:r w:rsidR="003C0D0E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from March to April 2020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by choosing a range that best described their </w:t>
      </w:r>
      <w:r w:rsidR="008A4D1E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loss of </w:t>
      </w:r>
      <w:r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rental income as of the date of survey. </w:t>
      </w:r>
      <w:r w:rsidR="00182048" w:rsidRPr="001158E4">
        <w:rPr>
          <w:rFonts w:asciiTheme="minorHAnsi" w:eastAsia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182048" w:rsidRPr="001158E4">
        <w:rPr>
          <w:rFonts w:asciiTheme="minorHAnsi" w:hAnsiTheme="minorHAnsi"/>
          <w:color w:val="000000" w:themeColor="text1"/>
        </w:rPr>
        <w:t xml:space="preserve">The midpoint of decline in rental income, weighted based on the number of units, shown </w:t>
      </w:r>
      <w:r w:rsidR="001158E4" w:rsidRPr="001158E4">
        <w:rPr>
          <w:rFonts w:asciiTheme="minorHAnsi" w:hAnsiTheme="minorHAnsi"/>
          <w:color w:val="000000" w:themeColor="text1"/>
        </w:rPr>
        <w:t xml:space="preserve">below </w:t>
      </w:r>
      <w:r w:rsidR="00182048" w:rsidRPr="001158E4">
        <w:rPr>
          <w:rFonts w:asciiTheme="minorHAnsi" w:hAnsiTheme="minorHAnsi"/>
          <w:color w:val="000000" w:themeColor="text1"/>
        </w:rPr>
        <w:t xml:space="preserve">translate to rates of decline between rent-assisted </w:t>
      </w:r>
      <w:r w:rsidR="001158E4" w:rsidRPr="001158E4">
        <w:rPr>
          <w:rFonts w:asciiTheme="minorHAnsi" w:hAnsiTheme="minorHAnsi"/>
          <w:color w:val="000000" w:themeColor="text1"/>
        </w:rPr>
        <w:t xml:space="preserve"> </w:t>
      </w:r>
      <w:r w:rsidR="00182048" w:rsidRPr="001158E4">
        <w:rPr>
          <w:rFonts w:asciiTheme="minorHAnsi" w:hAnsiTheme="minorHAnsi"/>
          <w:color w:val="000000" w:themeColor="text1"/>
        </w:rPr>
        <w:t xml:space="preserve">(at 19.2%) and non-assisted units (12.37%) with an overall decline among all units of 16.15% as shown on the histogram </w:t>
      </w:r>
      <w:r w:rsidR="001158E4" w:rsidRPr="001158E4">
        <w:rPr>
          <w:rFonts w:asciiTheme="minorHAnsi" w:hAnsiTheme="minorHAnsi"/>
          <w:color w:val="000000" w:themeColor="text1"/>
        </w:rPr>
        <w:t>below.</w:t>
      </w:r>
    </w:p>
    <w:p w14:paraId="26CBD8E9" w14:textId="28391AE7" w:rsidR="00182048" w:rsidRDefault="00182048" w:rsidP="001158E4">
      <w:pPr>
        <w:pStyle w:val="Heading3"/>
        <w:spacing w:after="120" w:line="240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82048">
        <w:rPr>
          <w:noProof/>
        </w:rPr>
        <w:drawing>
          <wp:inline distT="0" distB="0" distL="0" distR="0" wp14:anchorId="31C9D6F4" wp14:editId="741773DE">
            <wp:extent cx="5724494" cy="3767958"/>
            <wp:effectExtent l="19050" t="19050" r="10160" b="234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69" cy="3813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62C806" w14:textId="77777777" w:rsidR="001158E4" w:rsidRDefault="001158E4" w:rsidP="001158E4">
      <w:pPr>
        <w:pStyle w:val="ListParagraph"/>
        <w:spacing w:line="240" w:lineRule="auto"/>
        <w:ind w:left="0"/>
        <w:jc w:val="center"/>
        <w:rPr>
          <w:sz w:val="20"/>
          <w:szCs w:val="20"/>
        </w:rPr>
      </w:pPr>
    </w:p>
    <w:p w14:paraId="35A553A8" w14:textId="1FA858C9" w:rsidR="001158E4" w:rsidRPr="00B677DA" w:rsidRDefault="001158E4" w:rsidP="001158E4">
      <w:pPr>
        <w:pStyle w:val="ListParagraph"/>
        <w:spacing w:line="240" w:lineRule="auto"/>
        <w:ind w:left="0"/>
        <w:jc w:val="center"/>
        <w:rPr>
          <w:sz w:val="20"/>
          <w:szCs w:val="20"/>
        </w:rPr>
      </w:pPr>
      <w:r w:rsidRPr="00B677DA">
        <w:rPr>
          <w:sz w:val="20"/>
          <w:szCs w:val="20"/>
        </w:rPr>
        <w:t xml:space="preserve">Prepared by: Greater Minnesota Housing Fund in consultation with </w:t>
      </w:r>
      <w:proofErr w:type="spellStart"/>
      <w:r w:rsidRPr="00B677DA">
        <w:rPr>
          <w:sz w:val="20"/>
          <w:szCs w:val="20"/>
        </w:rPr>
        <w:t>HousingLink</w:t>
      </w:r>
      <w:proofErr w:type="spellEnd"/>
      <w:r w:rsidRPr="00B677DA">
        <w:rPr>
          <w:sz w:val="20"/>
          <w:szCs w:val="20"/>
        </w:rPr>
        <w:t>.</w:t>
      </w:r>
    </w:p>
    <w:p w14:paraId="2287291D" w14:textId="77777777" w:rsidR="001158E4" w:rsidRPr="00B677DA" w:rsidRDefault="001158E4" w:rsidP="001158E4">
      <w:pPr>
        <w:pStyle w:val="ListParagraph"/>
        <w:spacing w:line="240" w:lineRule="auto"/>
        <w:ind w:left="0"/>
        <w:jc w:val="center"/>
        <w:rPr>
          <w:sz w:val="20"/>
          <w:szCs w:val="20"/>
        </w:rPr>
      </w:pPr>
      <w:r w:rsidRPr="00B677DA">
        <w:rPr>
          <w:sz w:val="20"/>
          <w:szCs w:val="20"/>
        </w:rPr>
        <w:t xml:space="preserve">For further information contact:  Deb Flannery, email: </w:t>
      </w:r>
      <w:hyperlink r:id="rId8" w:history="1">
        <w:r w:rsidRPr="00B677DA">
          <w:rPr>
            <w:rStyle w:val="Hyperlink"/>
            <w:sz w:val="20"/>
            <w:szCs w:val="20"/>
          </w:rPr>
          <w:t>dflannery@gmhf.com</w:t>
        </w:r>
      </w:hyperlink>
      <w:r w:rsidRPr="00B677DA">
        <w:rPr>
          <w:sz w:val="20"/>
          <w:szCs w:val="20"/>
        </w:rPr>
        <w:t xml:space="preserve"> </w:t>
      </w:r>
    </w:p>
    <w:p w14:paraId="36410DDC" w14:textId="77777777" w:rsidR="001158E4" w:rsidRPr="00B677DA" w:rsidRDefault="001158E4" w:rsidP="001158E4">
      <w:pPr>
        <w:pStyle w:val="ListParagraph"/>
        <w:spacing w:line="240" w:lineRule="auto"/>
        <w:ind w:left="0"/>
        <w:jc w:val="center"/>
        <w:rPr>
          <w:sz w:val="20"/>
          <w:szCs w:val="20"/>
        </w:rPr>
      </w:pPr>
      <w:r w:rsidRPr="00B677DA">
        <w:rPr>
          <w:sz w:val="20"/>
          <w:szCs w:val="20"/>
        </w:rPr>
        <w:t>Desk Phone: 651-350 7225   Cell Phone: 651</w:t>
      </w:r>
      <w:r>
        <w:rPr>
          <w:sz w:val="20"/>
          <w:szCs w:val="20"/>
        </w:rPr>
        <w:t>-</w:t>
      </w:r>
      <w:r w:rsidRPr="00B677DA">
        <w:rPr>
          <w:sz w:val="20"/>
          <w:szCs w:val="20"/>
        </w:rPr>
        <w:t>696</w:t>
      </w:r>
      <w:r>
        <w:rPr>
          <w:sz w:val="20"/>
          <w:szCs w:val="20"/>
        </w:rPr>
        <w:t>-</w:t>
      </w:r>
      <w:r w:rsidRPr="00B677DA">
        <w:rPr>
          <w:sz w:val="20"/>
          <w:szCs w:val="20"/>
        </w:rPr>
        <w:t>5341</w:t>
      </w:r>
    </w:p>
    <w:p w14:paraId="2A6ADD5F" w14:textId="051EDCBE" w:rsidR="001158E4" w:rsidRDefault="001158E4" w:rsidP="001158E4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</w:p>
    <w:p w14:paraId="6DE41ECC" w14:textId="47BBDDC9" w:rsidR="00C860D6" w:rsidRDefault="00C860D6" w:rsidP="001158E4">
      <w:pPr>
        <w:pStyle w:val="ListParagraph"/>
        <w:spacing w:line="240" w:lineRule="auto"/>
        <w:ind w:left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D385113" wp14:editId="448AEC57">
            <wp:extent cx="2829340" cy="458304"/>
            <wp:effectExtent l="0" t="0" r="0" b="0"/>
            <wp:docPr id="2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11" cy="49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C4BD1" w14:textId="445AE3DB" w:rsidR="00D0767E" w:rsidRPr="001158E4" w:rsidRDefault="001158E4" w:rsidP="001158E4">
      <w:pPr>
        <w:pStyle w:val="ListParagraph"/>
        <w:spacing w:line="240" w:lineRule="auto"/>
        <w:ind w:left="0"/>
        <w:jc w:val="center"/>
        <w:rPr>
          <w:noProof/>
          <w:sz w:val="10"/>
          <w:szCs w:val="10"/>
        </w:rPr>
      </w:pPr>
      <w:r w:rsidRPr="001158E4">
        <w:rPr>
          <w:b/>
          <w:sz w:val="32"/>
          <w:szCs w:val="32"/>
        </w:rPr>
        <w:lastRenderedPageBreak/>
        <w:t>Appendix A</w:t>
      </w:r>
    </w:p>
    <w:p w14:paraId="6D9D10E1" w14:textId="6FB70D97" w:rsidR="001158E4" w:rsidRPr="008A4D1E" w:rsidRDefault="001158E4" w:rsidP="00511DC9">
      <w:pPr>
        <w:spacing w:line="240" w:lineRule="auto"/>
        <w:jc w:val="center"/>
      </w:pPr>
      <w:r w:rsidRPr="008A4D1E">
        <w:rPr>
          <w:noProof/>
        </w:rPr>
        <w:drawing>
          <wp:inline distT="0" distB="0" distL="0" distR="0" wp14:anchorId="5C915004" wp14:editId="0B09FE9D">
            <wp:extent cx="5538337" cy="3689131"/>
            <wp:effectExtent l="19050" t="19050" r="24765" b="26035"/>
            <wp:docPr id="4" name="Picture 4" descr="cid:image005.png@01D6136C.64856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5.png@01D6136C.64856DB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57" cy="37887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D3B56E" w14:textId="24B22D1E" w:rsidR="00555F66" w:rsidRPr="001158E4" w:rsidRDefault="001158E4" w:rsidP="001158E4">
      <w:pPr>
        <w:pStyle w:val="Heading3"/>
        <w:spacing w:after="120" w:line="24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table above shows the concentrations of rent losses either under 10% rent loss (modest) or between 31% to 40% rent losses (extremely high).  </w:t>
      </w:r>
      <w:r w:rsidR="00DF55B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table below </w:t>
      </w:r>
      <w:r w:rsidRPr="008A4D1E">
        <w:rPr>
          <w:rFonts w:asciiTheme="minorHAnsi" w:eastAsiaTheme="minorHAnsi" w:hAnsiTheme="minorHAnsi" w:cstheme="minorBidi"/>
          <w:color w:val="auto"/>
          <w:sz w:val="22"/>
          <w:szCs w:val="22"/>
        </w:rPr>
        <w:t>includes a summary of the raw data.</w:t>
      </w:r>
    </w:p>
    <w:p w14:paraId="36C9D63B" w14:textId="68681FA9" w:rsidR="00AF0E69" w:rsidRDefault="001158E4" w:rsidP="001158E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A58F8" wp14:editId="13803567">
            <wp:simplePos x="0" y="0"/>
            <wp:positionH relativeFrom="column">
              <wp:posOffset>2038985</wp:posOffset>
            </wp:positionH>
            <wp:positionV relativeFrom="paragraph">
              <wp:posOffset>4101465</wp:posOffset>
            </wp:positionV>
            <wp:extent cx="2829340" cy="458304"/>
            <wp:effectExtent l="0" t="0" r="0" b="0"/>
            <wp:wrapNone/>
            <wp:docPr id="5" name="Picture 5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40" cy="45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8E4">
        <w:rPr>
          <w:noProof/>
        </w:rPr>
        <w:drawing>
          <wp:inline distT="0" distB="0" distL="0" distR="0" wp14:anchorId="650551BF" wp14:editId="58F13CA9">
            <wp:extent cx="5639435" cy="3790892"/>
            <wp:effectExtent l="19050" t="19050" r="18415" b="196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9"/>
                    <a:stretch/>
                  </pic:blipFill>
                  <pic:spPr bwMode="auto">
                    <a:xfrm>
                      <a:off x="0" y="0"/>
                      <a:ext cx="5695593" cy="38286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E69" w:rsidSect="00DF55B2">
      <w:pgSz w:w="12240" w:h="15840"/>
      <w:pgMar w:top="720" w:right="900" w:bottom="81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05D"/>
    <w:multiLevelType w:val="hybridMultilevel"/>
    <w:tmpl w:val="EF0AE3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A8376A0"/>
    <w:multiLevelType w:val="hybridMultilevel"/>
    <w:tmpl w:val="545A7268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1405349D"/>
    <w:multiLevelType w:val="hybridMultilevel"/>
    <w:tmpl w:val="4350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3DA1"/>
    <w:multiLevelType w:val="hybridMultilevel"/>
    <w:tmpl w:val="133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F6ECC"/>
    <w:multiLevelType w:val="hybridMultilevel"/>
    <w:tmpl w:val="5F70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705C"/>
    <w:multiLevelType w:val="hybridMultilevel"/>
    <w:tmpl w:val="F746BB9C"/>
    <w:lvl w:ilvl="0" w:tplc="D24AF4BA">
      <w:start w:val="1"/>
      <w:numFmt w:val="decimal"/>
      <w:lvlText w:val="%1."/>
      <w:lvlJc w:val="left"/>
      <w:pPr>
        <w:ind w:left="119" w:hanging="360"/>
      </w:pPr>
      <w:rPr>
        <w:rFonts w:ascii="Calibri" w:eastAsia="Calibri" w:hAnsi="Calibri" w:cs="Calibri" w:hint="default"/>
        <w:b/>
        <w:bCs/>
        <w:spacing w:val="-20"/>
        <w:w w:val="100"/>
        <w:sz w:val="22"/>
        <w:szCs w:val="22"/>
      </w:rPr>
    </w:lvl>
    <w:lvl w:ilvl="1" w:tplc="A874EC1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BE601F0">
      <w:numFmt w:val="bullet"/>
      <w:lvlText w:val="•"/>
      <w:lvlJc w:val="left"/>
      <w:pPr>
        <w:ind w:left="1811" w:hanging="360"/>
      </w:pPr>
    </w:lvl>
    <w:lvl w:ilvl="3" w:tplc="C464D9B0">
      <w:numFmt w:val="bullet"/>
      <w:lvlText w:val="•"/>
      <w:lvlJc w:val="left"/>
      <w:pPr>
        <w:ind w:left="2782" w:hanging="360"/>
      </w:pPr>
    </w:lvl>
    <w:lvl w:ilvl="4" w:tplc="D7CE97A6">
      <w:numFmt w:val="bullet"/>
      <w:lvlText w:val="•"/>
      <w:lvlJc w:val="left"/>
      <w:pPr>
        <w:ind w:left="3753" w:hanging="360"/>
      </w:pPr>
    </w:lvl>
    <w:lvl w:ilvl="5" w:tplc="4F40B34E">
      <w:numFmt w:val="bullet"/>
      <w:lvlText w:val="•"/>
      <w:lvlJc w:val="left"/>
      <w:pPr>
        <w:ind w:left="4724" w:hanging="360"/>
      </w:pPr>
    </w:lvl>
    <w:lvl w:ilvl="6" w:tplc="3ED26B4A">
      <w:numFmt w:val="bullet"/>
      <w:lvlText w:val="•"/>
      <w:lvlJc w:val="left"/>
      <w:pPr>
        <w:ind w:left="5695" w:hanging="360"/>
      </w:pPr>
    </w:lvl>
    <w:lvl w:ilvl="7" w:tplc="6082B6B2">
      <w:numFmt w:val="bullet"/>
      <w:lvlText w:val="•"/>
      <w:lvlJc w:val="left"/>
      <w:pPr>
        <w:ind w:left="6666" w:hanging="360"/>
      </w:pPr>
    </w:lvl>
    <w:lvl w:ilvl="8" w:tplc="7FC88712">
      <w:numFmt w:val="bullet"/>
      <w:lvlText w:val="•"/>
      <w:lvlJc w:val="left"/>
      <w:pPr>
        <w:ind w:left="7637" w:hanging="360"/>
      </w:pPr>
    </w:lvl>
  </w:abstractNum>
  <w:abstractNum w:abstractNumId="6" w15:restartNumberingAfterBreak="0">
    <w:nsid w:val="53510B4F"/>
    <w:multiLevelType w:val="hybridMultilevel"/>
    <w:tmpl w:val="1910C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725F82"/>
    <w:multiLevelType w:val="hybridMultilevel"/>
    <w:tmpl w:val="A650F4E8"/>
    <w:lvl w:ilvl="0" w:tplc="6F987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3913"/>
    <w:multiLevelType w:val="hybridMultilevel"/>
    <w:tmpl w:val="85FE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71F"/>
    <w:multiLevelType w:val="hybridMultilevel"/>
    <w:tmpl w:val="07441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5C6892"/>
    <w:multiLevelType w:val="hybridMultilevel"/>
    <w:tmpl w:val="C8CE2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E6C32"/>
    <w:multiLevelType w:val="hybridMultilevel"/>
    <w:tmpl w:val="0862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2"/>
    <w:rsid w:val="0002137D"/>
    <w:rsid w:val="0006109A"/>
    <w:rsid w:val="00064B7B"/>
    <w:rsid w:val="000F7C82"/>
    <w:rsid w:val="0010154B"/>
    <w:rsid w:val="001158E4"/>
    <w:rsid w:val="00126933"/>
    <w:rsid w:val="00182048"/>
    <w:rsid w:val="001B7A85"/>
    <w:rsid w:val="001E2D75"/>
    <w:rsid w:val="001E6C73"/>
    <w:rsid w:val="0022076E"/>
    <w:rsid w:val="00221846"/>
    <w:rsid w:val="00221E2C"/>
    <w:rsid w:val="00265D5E"/>
    <w:rsid w:val="00282D29"/>
    <w:rsid w:val="00287231"/>
    <w:rsid w:val="002B033D"/>
    <w:rsid w:val="002C7617"/>
    <w:rsid w:val="00321B84"/>
    <w:rsid w:val="003422CB"/>
    <w:rsid w:val="00394D9D"/>
    <w:rsid w:val="003C0D0E"/>
    <w:rsid w:val="003C37BE"/>
    <w:rsid w:val="003E08BA"/>
    <w:rsid w:val="00402D1C"/>
    <w:rsid w:val="00447D97"/>
    <w:rsid w:val="00483E3F"/>
    <w:rsid w:val="004D6ABA"/>
    <w:rsid w:val="00511DC9"/>
    <w:rsid w:val="00527203"/>
    <w:rsid w:val="00545611"/>
    <w:rsid w:val="00555F66"/>
    <w:rsid w:val="006130B1"/>
    <w:rsid w:val="006265B4"/>
    <w:rsid w:val="006A7050"/>
    <w:rsid w:val="006B66C1"/>
    <w:rsid w:val="006C30DE"/>
    <w:rsid w:val="007235D0"/>
    <w:rsid w:val="0077519E"/>
    <w:rsid w:val="00775487"/>
    <w:rsid w:val="007959E4"/>
    <w:rsid w:val="007C4191"/>
    <w:rsid w:val="007C4B64"/>
    <w:rsid w:val="00833DB8"/>
    <w:rsid w:val="00835624"/>
    <w:rsid w:val="008A4D1E"/>
    <w:rsid w:val="008D10F3"/>
    <w:rsid w:val="009118ED"/>
    <w:rsid w:val="009514FD"/>
    <w:rsid w:val="00973E85"/>
    <w:rsid w:val="009D635E"/>
    <w:rsid w:val="009D6A08"/>
    <w:rsid w:val="009E3A93"/>
    <w:rsid w:val="009F5AAA"/>
    <w:rsid w:val="009F75D3"/>
    <w:rsid w:val="00A06420"/>
    <w:rsid w:val="00A36252"/>
    <w:rsid w:val="00A6537C"/>
    <w:rsid w:val="00A91571"/>
    <w:rsid w:val="00AF0E69"/>
    <w:rsid w:val="00B45499"/>
    <w:rsid w:val="00B677DA"/>
    <w:rsid w:val="00B77F28"/>
    <w:rsid w:val="00BA7253"/>
    <w:rsid w:val="00BC4123"/>
    <w:rsid w:val="00BC4454"/>
    <w:rsid w:val="00BD21B3"/>
    <w:rsid w:val="00BE1A82"/>
    <w:rsid w:val="00C54DA4"/>
    <w:rsid w:val="00C71FAC"/>
    <w:rsid w:val="00C860D6"/>
    <w:rsid w:val="00C93A40"/>
    <w:rsid w:val="00CA5643"/>
    <w:rsid w:val="00CC736C"/>
    <w:rsid w:val="00D0767E"/>
    <w:rsid w:val="00D72FE6"/>
    <w:rsid w:val="00DF1890"/>
    <w:rsid w:val="00DF55B2"/>
    <w:rsid w:val="00E67B30"/>
    <w:rsid w:val="00EB2CCF"/>
    <w:rsid w:val="00EE57D3"/>
    <w:rsid w:val="00F84A7A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8066"/>
  <w15:chartTrackingRefBased/>
  <w15:docId w15:val="{EC6C7E39-F977-423C-AE61-9235737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5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35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2076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705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84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A"/>
    <w:rPr>
      <w:rFonts w:ascii="Calibri" w:eastAsia="Calibri" w:hAnsi="Calibri" w:cs="Calibri"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F84A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4A7A"/>
    <w:rPr>
      <w:rFonts w:ascii="Calibri" w:eastAsia="Calibri" w:hAnsi="Calibri" w:cs="Calibri"/>
      <w:sz w:val="24"/>
      <w:szCs w:val="24"/>
    </w:rPr>
  </w:style>
  <w:style w:type="paragraph" w:customStyle="1" w:styleId="Normal1">
    <w:name w:val="Normal1"/>
    <w:rsid w:val="00F84A7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4A7A"/>
    <w:rPr>
      <w:sz w:val="16"/>
      <w:szCs w:val="16"/>
    </w:rPr>
  </w:style>
  <w:style w:type="table" w:styleId="TableGrid">
    <w:name w:val="Table Grid"/>
    <w:basedOn w:val="TableNormal"/>
    <w:uiPriority w:val="59"/>
    <w:rsid w:val="00F84A7A"/>
    <w:pPr>
      <w:widowControl w:val="0"/>
      <w:autoSpaceDE w:val="0"/>
      <w:autoSpaceDN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A7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35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4B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3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15" w:color="DDDDDD"/>
            <w:bottom w:val="none" w:sz="0" w:space="8" w:color="DDDDDD"/>
            <w:right w:val="none" w:sz="0" w:space="15" w:color="DDDDDD"/>
          </w:divBdr>
          <w:divsChild>
            <w:div w:id="54502649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lannery@gmhf.com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cid:image005.png@01D6136C.64856D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gmhf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BB58-D0F0-49AB-9034-FEFD6733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Haugh</dc:creator>
  <cp:keywords/>
  <dc:description/>
  <cp:lastModifiedBy>Warren Hanson</cp:lastModifiedBy>
  <cp:revision>2</cp:revision>
  <dcterms:created xsi:type="dcterms:W3CDTF">2020-04-21T20:52:00Z</dcterms:created>
  <dcterms:modified xsi:type="dcterms:W3CDTF">2020-04-21T20:52:00Z</dcterms:modified>
</cp:coreProperties>
</file>