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58E" w:rsidRDefault="000D558E" w:rsidP="000D558E">
      <w:pPr>
        <w:pStyle w:val="Header"/>
        <w:rPr>
          <w:rFonts w:ascii="Century Gothic" w:hAnsi="Century Gothic"/>
        </w:rPr>
      </w:pPr>
      <w:bookmarkStart w:id="0" w:name="_GoBack"/>
      <w:bookmarkEnd w:id="0"/>
    </w:p>
    <w:p w:rsidR="00347685" w:rsidRPr="00570D6B" w:rsidRDefault="00347685" w:rsidP="00347685">
      <w:pPr>
        <w:rPr>
          <w:rFonts w:ascii="Century Gothic" w:hAnsi="Century Gothic" w:cs="Calibri"/>
          <w:bCs/>
        </w:rPr>
      </w:pPr>
      <w:r w:rsidRPr="00570D6B">
        <w:rPr>
          <w:rFonts w:ascii="Century Gothic" w:hAnsi="Century Gothic" w:cs="Calibri"/>
          <w:b/>
          <w:bCs/>
        </w:rPr>
        <w:t xml:space="preserve">Date: </w:t>
      </w:r>
      <w:r>
        <w:rPr>
          <w:rFonts w:ascii="Century Gothic" w:hAnsi="Century Gothic" w:cs="Calibri"/>
          <w:b/>
          <w:bCs/>
        </w:rPr>
        <w:t xml:space="preserve">April </w:t>
      </w:r>
      <w:r w:rsidR="00D113C4">
        <w:rPr>
          <w:rFonts w:ascii="Century Gothic" w:hAnsi="Century Gothic" w:cs="Calibri"/>
          <w:b/>
          <w:bCs/>
        </w:rPr>
        <w:t>1</w:t>
      </w:r>
      <w:r w:rsidR="006F56E7">
        <w:rPr>
          <w:rFonts w:ascii="Century Gothic" w:hAnsi="Century Gothic" w:cs="Calibri"/>
          <w:b/>
          <w:bCs/>
        </w:rPr>
        <w:t>5</w:t>
      </w:r>
      <w:r w:rsidRPr="00570D6B">
        <w:rPr>
          <w:rFonts w:ascii="Century Gothic" w:hAnsi="Century Gothic" w:cs="Calibri"/>
          <w:b/>
          <w:bCs/>
        </w:rPr>
        <w:t>, 2020</w:t>
      </w:r>
    </w:p>
    <w:p w:rsidR="00347685" w:rsidRPr="00570D6B" w:rsidRDefault="00347685" w:rsidP="00347685">
      <w:pPr>
        <w:rPr>
          <w:rFonts w:ascii="Century Gothic" w:hAnsi="Century Gothic" w:cs="Calibri"/>
          <w:bCs/>
        </w:rPr>
      </w:pPr>
    </w:p>
    <w:p w:rsidR="00347685" w:rsidRPr="00570D6B" w:rsidRDefault="00EE558F" w:rsidP="00347685">
      <w:pPr>
        <w:rPr>
          <w:rFonts w:ascii="Century Gothic" w:hAnsi="Century Gothic" w:cs="Calibri"/>
          <w:bCs/>
        </w:rPr>
      </w:pPr>
      <w:r>
        <w:rPr>
          <w:rFonts w:ascii="Century Gothic" w:hAnsi="Century Gothic" w:cs="Calibri"/>
          <w:b/>
          <w:bCs/>
        </w:rPr>
        <w:t xml:space="preserve">Notes </w:t>
      </w:r>
      <w:r w:rsidR="00347685" w:rsidRPr="00570D6B">
        <w:rPr>
          <w:rFonts w:ascii="Century Gothic" w:hAnsi="Century Gothic" w:cs="Calibri"/>
          <w:b/>
          <w:bCs/>
        </w:rPr>
        <w:t xml:space="preserve">by: </w:t>
      </w:r>
      <w:r w:rsidR="00D113C4">
        <w:rPr>
          <w:rFonts w:ascii="Century Gothic" w:hAnsi="Century Gothic" w:cs="Calibri"/>
          <w:bCs/>
        </w:rPr>
        <w:t>Mark Lambing</w:t>
      </w:r>
    </w:p>
    <w:p w:rsidR="00347685" w:rsidRDefault="00347685" w:rsidP="00347685">
      <w:pPr>
        <w:rPr>
          <w:rFonts w:ascii="Century Gothic" w:hAnsi="Century Gothic" w:cs="Calibri"/>
          <w:bCs/>
        </w:rPr>
      </w:pPr>
    </w:p>
    <w:p w:rsidR="00123C98" w:rsidRDefault="00123C98" w:rsidP="00347685">
      <w:pPr>
        <w:rPr>
          <w:rFonts w:ascii="Century Gothic" w:hAnsi="Century Gothic" w:cs="Calibri"/>
          <w:bCs/>
        </w:rPr>
      </w:pPr>
      <w:r>
        <w:rPr>
          <w:rFonts w:ascii="Century Gothic" w:hAnsi="Century Gothic" w:cs="Calibri"/>
          <w:b/>
          <w:bCs/>
        </w:rPr>
        <w:t xml:space="preserve">Subject: </w:t>
      </w:r>
      <w:r>
        <w:rPr>
          <w:rFonts w:ascii="Century Gothic" w:hAnsi="Century Gothic" w:cs="Calibri"/>
          <w:bCs/>
        </w:rPr>
        <w:t>Municipal Market Update COVID-19 Environment</w:t>
      </w:r>
    </w:p>
    <w:p w:rsidR="00123C98" w:rsidRPr="00570D6B" w:rsidRDefault="00123C98" w:rsidP="00347685">
      <w:pPr>
        <w:rPr>
          <w:rFonts w:ascii="Century Gothic" w:hAnsi="Century Gothic" w:cs="Calibri"/>
          <w:bCs/>
        </w:rPr>
      </w:pPr>
    </w:p>
    <w:p w:rsidR="00347685" w:rsidRDefault="00347685" w:rsidP="00347685">
      <w:pPr>
        <w:rPr>
          <w:rFonts w:ascii="Century Gothic" w:hAnsi="Century Gothic" w:cs="Calibri"/>
          <w:bCs/>
        </w:rPr>
      </w:pPr>
      <w:r>
        <w:rPr>
          <w:rFonts w:ascii="Century Gothic" w:hAnsi="Century Gothic" w:cs="Calibri"/>
          <w:b/>
          <w:bCs/>
        </w:rPr>
        <w:t>P</w:t>
      </w:r>
      <w:r w:rsidRPr="00570D6B">
        <w:rPr>
          <w:rFonts w:ascii="Century Gothic" w:hAnsi="Century Gothic" w:cs="Calibri"/>
          <w:b/>
          <w:bCs/>
        </w:rPr>
        <w:t xml:space="preserve">resenters: </w:t>
      </w:r>
      <w:r w:rsidR="00D113C4">
        <w:rPr>
          <w:rFonts w:ascii="Century Gothic" w:hAnsi="Century Gothic" w:cs="Calibri"/>
          <w:bCs/>
        </w:rPr>
        <w:t>Jefferies</w:t>
      </w:r>
    </w:p>
    <w:p w:rsidR="006F56E7" w:rsidRDefault="006F56E7" w:rsidP="00123C98">
      <w:pPr>
        <w:pStyle w:val="ListParagraph"/>
        <w:numPr>
          <w:ilvl w:val="0"/>
          <w:numId w:val="6"/>
        </w:numPr>
        <w:ind w:left="720"/>
        <w:rPr>
          <w:rFonts w:ascii="Century Gothic" w:hAnsi="Century Gothic" w:cs="Calibri"/>
          <w:bCs/>
        </w:rPr>
      </w:pPr>
      <w:r w:rsidRPr="006F56E7">
        <w:rPr>
          <w:rFonts w:ascii="Century Gothic" w:hAnsi="Century Gothic" w:cs="Calibri"/>
          <w:bCs/>
        </w:rPr>
        <w:t>Kim Arnone - Joint Head of Municipal Markets</w:t>
      </w:r>
    </w:p>
    <w:p w:rsidR="00347685" w:rsidRDefault="006F56E7" w:rsidP="00123C98">
      <w:pPr>
        <w:pStyle w:val="ListParagraph"/>
        <w:numPr>
          <w:ilvl w:val="0"/>
          <w:numId w:val="6"/>
        </w:numPr>
        <w:ind w:left="720"/>
        <w:rPr>
          <w:rFonts w:ascii="Century Gothic" w:hAnsi="Century Gothic" w:cs="Calibri"/>
          <w:bCs/>
        </w:rPr>
      </w:pPr>
      <w:r w:rsidRPr="006F56E7">
        <w:rPr>
          <w:rFonts w:ascii="Century Gothic" w:hAnsi="Century Gothic" w:cs="Calibri"/>
          <w:bCs/>
        </w:rPr>
        <w:t xml:space="preserve">Simon Powell - Global </w:t>
      </w:r>
      <w:r w:rsidR="00EE558F">
        <w:rPr>
          <w:rFonts w:ascii="Century Gothic" w:hAnsi="Century Gothic" w:cs="Calibri"/>
          <w:bCs/>
        </w:rPr>
        <w:t>H</w:t>
      </w:r>
      <w:r w:rsidRPr="006F56E7">
        <w:rPr>
          <w:rFonts w:ascii="Century Gothic" w:hAnsi="Century Gothic" w:cs="Calibri"/>
          <w:bCs/>
        </w:rPr>
        <w:t xml:space="preserve">ead of Thematic </w:t>
      </w:r>
      <w:r w:rsidR="00EE558F">
        <w:rPr>
          <w:rFonts w:ascii="Century Gothic" w:hAnsi="Century Gothic" w:cs="Calibri"/>
          <w:bCs/>
        </w:rPr>
        <w:t>R</w:t>
      </w:r>
      <w:r w:rsidRPr="006F56E7">
        <w:rPr>
          <w:rFonts w:ascii="Century Gothic" w:hAnsi="Century Gothic" w:cs="Calibri"/>
          <w:bCs/>
        </w:rPr>
        <w:t>esearch</w:t>
      </w:r>
    </w:p>
    <w:p w:rsidR="006F56E7" w:rsidRDefault="006F56E7" w:rsidP="00123C98">
      <w:pPr>
        <w:pStyle w:val="ListParagraph"/>
        <w:numPr>
          <w:ilvl w:val="0"/>
          <w:numId w:val="6"/>
        </w:numPr>
        <w:ind w:left="720"/>
        <w:rPr>
          <w:rFonts w:ascii="Century Gothic" w:hAnsi="Century Gothic" w:cs="Calibri"/>
          <w:bCs/>
        </w:rPr>
      </w:pPr>
      <w:r w:rsidRPr="006F56E7">
        <w:rPr>
          <w:rFonts w:ascii="Century Gothic" w:hAnsi="Century Gothic" w:cs="Calibri"/>
          <w:bCs/>
        </w:rPr>
        <w:t>Ward M</w:t>
      </w:r>
      <w:r w:rsidR="00EE558F">
        <w:rPr>
          <w:rFonts w:ascii="Century Gothic" w:hAnsi="Century Gothic" w:cs="Calibri"/>
          <w:bCs/>
        </w:rPr>
        <w:t>c</w:t>
      </w:r>
      <w:r w:rsidRPr="006F56E7">
        <w:rPr>
          <w:rFonts w:ascii="Century Gothic" w:hAnsi="Century Gothic" w:cs="Calibri"/>
          <w:bCs/>
        </w:rPr>
        <w:t>Carthy - Chief Financial Economist</w:t>
      </w:r>
    </w:p>
    <w:p w:rsidR="006F56E7" w:rsidRDefault="006F56E7" w:rsidP="00123C98">
      <w:pPr>
        <w:pStyle w:val="ListParagraph"/>
        <w:numPr>
          <w:ilvl w:val="0"/>
          <w:numId w:val="6"/>
        </w:numPr>
        <w:ind w:left="720"/>
        <w:rPr>
          <w:rFonts w:ascii="Century Gothic" w:hAnsi="Century Gothic" w:cs="Calibri"/>
          <w:bCs/>
        </w:rPr>
      </w:pPr>
      <w:r w:rsidRPr="006F56E7">
        <w:rPr>
          <w:rFonts w:ascii="Century Gothic" w:hAnsi="Century Gothic" w:cs="Calibri"/>
          <w:bCs/>
        </w:rPr>
        <w:t>J.R. Young - Senior Vice President</w:t>
      </w:r>
    </w:p>
    <w:p w:rsidR="00347685" w:rsidRPr="00570D6B" w:rsidRDefault="00347685" w:rsidP="00347685">
      <w:pPr>
        <w:rPr>
          <w:rFonts w:ascii="Century Gothic" w:hAnsi="Century Gothic" w:cs="Calibri"/>
          <w:b/>
          <w:bCs/>
        </w:rPr>
      </w:pPr>
    </w:p>
    <w:p w:rsidR="00EE558F" w:rsidRDefault="00EE558F" w:rsidP="00EE558F">
      <w:pPr>
        <w:rPr>
          <w:rFonts w:ascii="Century Gothic" w:hAnsi="Century Gothic" w:cs="Calibri"/>
          <w:b/>
          <w:bCs/>
        </w:rPr>
      </w:pPr>
      <w:r>
        <w:rPr>
          <w:rFonts w:ascii="Century Gothic" w:hAnsi="Century Gothic" w:cs="Calibri"/>
          <w:b/>
          <w:bCs/>
        </w:rPr>
        <w:t>Summary:</w:t>
      </w:r>
    </w:p>
    <w:p w:rsidR="00EE558F" w:rsidRPr="00E14E11" w:rsidRDefault="00EE558F" w:rsidP="00EE558F">
      <w:pPr>
        <w:pStyle w:val="xmsonormal"/>
        <w:spacing w:line="300" w:lineRule="atLeast"/>
        <w:ind w:left="446" w:right="601"/>
        <w:textAlignment w:val="top"/>
        <w:rPr>
          <w:rFonts w:ascii="Century Gothic" w:hAnsi="Century Gothic"/>
          <w:color w:val="333333"/>
          <w:szCs w:val="24"/>
        </w:rPr>
      </w:pPr>
      <w:r w:rsidRPr="00E14E11">
        <w:rPr>
          <w:rFonts w:ascii="Century Gothic" w:hAnsi="Century Gothic" w:cs="Arial"/>
          <w:color w:val="333333"/>
          <w:szCs w:val="24"/>
        </w:rPr>
        <w:t>Jefferies cordially invites you to dial-in to our municipal market update call on Wednesday, April 15th.</w:t>
      </w:r>
      <w:r w:rsidRPr="00E14E11">
        <w:rPr>
          <w:rFonts w:ascii="Century Gothic" w:hAnsi="Century Gothic"/>
          <w:szCs w:val="24"/>
        </w:rPr>
        <w:t xml:space="preserve"> </w:t>
      </w:r>
      <w:r w:rsidRPr="00E14E11">
        <w:rPr>
          <w:rFonts w:ascii="Century Gothic" w:hAnsi="Century Gothic" w:cs="Arial"/>
          <w:bCs/>
          <w:iCs/>
          <w:color w:val="333333"/>
          <w:szCs w:val="24"/>
        </w:rPr>
        <w:t>In addition to Jefferies’ Chief Financial Economist and representatives from our municipal syndicate desk, the call will feature Jefferies’ Global Head of Thematic Research, Simon Powell, in order to discuss COVID-19 trajectory, virus containment trends, and potential therapies and vaccines. The Thematic Research Team identifies and analyzes key global trends that are impacting sectors. Simon holds a degree in Biochemistry from the University of Sussex and has been tracking key data on cases since the virus emerged in early 2020. Simon’s base in Hong Kong provides him with specific insight as to what we may expect to see in terms of recovery here in the United States. We hope you can join us.</w:t>
      </w:r>
    </w:p>
    <w:p w:rsidR="00EE558F" w:rsidRPr="00D42A59" w:rsidRDefault="00EE558F" w:rsidP="00EE558F">
      <w:pPr>
        <w:rPr>
          <w:rFonts w:ascii="Century Gothic" w:hAnsi="Century Gothic" w:cs="Calibri"/>
          <w:b/>
          <w:bCs/>
        </w:rPr>
      </w:pPr>
    </w:p>
    <w:p w:rsidR="00347685" w:rsidRPr="00570D6B" w:rsidRDefault="00347685" w:rsidP="00347685">
      <w:pPr>
        <w:rPr>
          <w:rFonts w:ascii="Century Gothic" w:hAnsi="Century Gothic" w:cs="Calibri"/>
          <w:b/>
          <w:bCs/>
        </w:rPr>
      </w:pPr>
      <w:r w:rsidRPr="00570D6B">
        <w:rPr>
          <w:rFonts w:ascii="Century Gothic" w:hAnsi="Century Gothic" w:cs="Calibri"/>
          <w:b/>
          <w:bCs/>
        </w:rPr>
        <w:t>Notes</w:t>
      </w:r>
      <w:r>
        <w:rPr>
          <w:rFonts w:ascii="Century Gothic" w:hAnsi="Century Gothic" w:cs="Calibri"/>
          <w:b/>
          <w:bCs/>
        </w:rPr>
        <w:t>:</w:t>
      </w:r>
    </w:p>
    <w:p w:rsidR="00347685" w:rsidRPr="00570D6B" w:rsidRDefault="00347685" w:rsidP="00347685">
      <w:pPr>
        <w:rPr>
          <w:rFonts w:ascii="Century Gothic" w:hAnsi="Century Gothic" w:cs="Calibri"/>
          <w:b/>
          <w:bCs/>
        </w:rPr>
      </w:pPr>
    </w:p>
    <w:p w:rsidR="00D113C4" w:rsidRPr="00EE558F" w:rsidRDefault="00D113C4" w:rsidP="00D113C4">
      <w:pPr>
        <w:pStyle w:val="NormalWeb"/>
        <w:spacing w:before="0" w:beforeAutospacing="0" w:after="0" w:afterAutospacing="0"/>
        <w:rPr>
          <w:rFonts w:ascii="Century Gothic" w:hAnsi="Century Gothic" w:cs="Calibri"/>
          <w:b/>
          <w:sz w:val="22"/>
          <w:szCs w:val="22"/>
        </w:rPr>
      </w:pPr>
      <w:r w:rsidRPr="00EE558F">
        <w:rPr>
          <w:rFonts w:ascii="Century Gothic" w:hAnsi="Century Gothic" w:cs="Calibri"/>
          <w:b/>
          <w:sz w:val="22"/>
          <w:szCs w:val="22"/>
        </w:rPr>
        <w:t xml:space="preserve">Simon Powell </w:t>
      </w:r>
      <w:r w:rsidR="00123C98">
        <w:rPr>
          <w:rFonts w:ascii="Century Gothic" w:hAnsi="Century Gothic" w:cs="Calibri"/>
          <w:b/>
          <w:sz w:val="22"/>
          <w:szCs w:val="22"/>
        </w:rPr>
        <w:t>–</w:t>
      </w:r>
      <w:r w:rsidRPr="00EE558F">
        <w:rPr>
          <w:rFonts w:ascii="Century Gothic" w:hAnsi="Century Gothic" w:cs="Calibri"/>
          <w:b/>
          <w:sz w:val="22"/>
          <w:szCs w:val="22"/>
        </w:rPr>
        <w:t xml:space="preserve"> Global head of Thematic research</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Based in Asia</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Gave team an early indication that this was a serious matter</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Easily spread</w:t>
      </w:r>
      <w:r w:rsidR="006F56E7" w:rsidRPr="00EE558F">
        <w:rPr>
          <w:rFonts w:ascii="Century Gothic" w:hAnsi="Century Gothic" w:cs="Calibri"/>
          <w:sz w:val="22"/>
          <w:szCs w:val="22"/>
        </w:rPr>
        <w:t>s</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More lethal</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 xml:space="preserve">COVID was probably spreading far </w:t>
      </w:r>
      <w:r w:rsidR="006F56E7" w:rsidRPr="00EE558F">
        <w:rPr>
          <w:rFonts w:ascii="Century Gothic" w:hAnsi="Century Gothic" w:cs="Calibri"/>
          <w:sz w:val="22"/>
          <w:szCs w:val="22"/>
        </w:rPr>
        <w:t xml:space="preserve">before </w:t>
      </w:r>
      <w:r w:rsidRPr="00EE558F">
        <w:rPr>
          <w:rFonts w:ascii="Century Gothic" w:hAnsi="Century Gothic" w:cs="Calibri"/>
          <w:sz w:val="22"/>
          <w:szCs w:val="22"/>
        </w:rPr>
        <w:t>January - More like</w:t>
      </w:r>
      <w:r w:rsidR="006F56E7" w:rsidRPr="00EE558F">
        <w:rPr>
          <w:rFonts w:ascii="Century Gothic" w:hAnsi="Century Gothic" w:cs="Calibri"/>
          <w:sz w:val="22"/>
          <w:szCs w:val="22"/>
        </w:rPr>
        <w:t>ly</w:t>
      </w:r>
      <w:r w:rsidRPr="00EE558F">
        <w:rPr>
          <w:rFonts w:ascii="Century Gothic" w:hAnsi="Century Gothic" w:cs="Calibri"/>
          <w:sz w:val="22"/>
          <w:szCs w:val="22"/>
        </w:rPr>
        <w:t xml:space="preserve"> October 2019</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Thinks case numbers are grossly understated</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Wide spectrum of different published death rates</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Thinks in retrospect we will conclude a death rate of .5% - 1%</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 xml:space="preserve">This is because the infection rates are </w:t>
      </w:r>
      <w:r w:rsidR="006F56E7" w:rsidRPr="00EE558F">
        <w:rPr>
          <w:rFonts w:ascii="Century Gothic" w:hAnsi="Century Gothic" w:cs="Calibri"/>
          <w:sz w:val="22"/>
          <w:szCs w:val="22"/>
        </w:rPr>
        <w:t>understated,</w:t>
      </w:r>
      <w:r w:rsidRPr="00EE558F">
        <w:rPr>
          <w:rFonts w:ascii="Century Gothic" w:hAnsi="Century Gothic" w:cs="Calibri"/>
          <w:sz w:val="22"/>
          <w:szCs w:val="22"/>
        </w:rPr>
        <w:t xml:space="preserve"> and many people are </w:t>
      </w:r>
      <w:r w:rsidR="006F56E7" w:rsidRPr="00EE558F">
        <w:rPr>
          <w:rFonts w:ascii="Century Gothic" w:hAnsi="Century Gothic" w:cs="Calibri"/>
          <w:sz w:val="22"/>
          <w:szCs w:val="22"/>
        </w:rPr>
        <w:t>a</w:t>
      </w:r>
      <w:r w:rsidRPr="00EE558F">
        <w:rPr>
          <w:rFonts w:ascii="Century Gothic" w:hAnsi="Century Gothic" w:cs="Calibri"/>
          <w:sz w:val="22"/>
          <w:szCs w:val="22"/>
        </w:rPr>
        <w:t>-symptomatic</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Deadlier for older people, men, and those with pre-existing conditions</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 xml:space="preserve">When new case growth starts to </w:t>
      </w:r>
      <w:r w:rsidR="006F56E7" w:rsidRPr="00EE558F">
        <w:rPr>
          <w:rFonts w:ascii="Century Gothic" w:hAnsi="Century Gothic" w:cs="Calibri"/>
          <w:sz w:val="22"/>
          <w:szCs w:val="22"/>
        </w:rPr>
        <w:t>decelerate,</w:t>
      </w:r>
      <w:r w:rsidRPr="00EE558F">
        <w:rPr>
          <w:rFonts w:ascii="Century Gothic" w:hAnsi="Century Gothic" w:cs="Calibri"/>
          <w:sz w:val="22"/>
          <w:szCs w:val="22"/>
        </w:rPr>
        <w:t xml:space="preserve"> they can then begin to predict when pandemic will end on a country level</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For the USA</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Currently no longer experiencing exponential growth</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Will peak at 1.6M cases</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Est. Date ~May 13th (</w:t>
      </w:r>
      <w:r w:rsidR="006F56E7" w:rsidRPr="00EE558F">
        <w:rPr>
          <w:rFonts w:ascii="Century Gothic" w:hAnsi="Century Gothic" w:cs="Calibri"/>
          <w:sz w:val="22"/>
          <w:szCs w:val="22"/>
        </w:rPr>
        <w:t>+/- a week</w:t>
      </w:r>
      <w:r w:rsidRPr="00EE558F">
        <w:rPr>
          <w:rFonts w:ascii="Century Gothic" w:hAnsi="Century Gothic" w:cs="Calibri"/>
          <w:sz w:val="22"/>
          <w:szCs w:val="22"/>
        </w:rPr>
        <w:t>)</w:t>
      </w:r>
    </w:p>
    <w:p w:rsidR="006F56E7" w:rsidRPr="00EE558F" w:rsidRDefault="006F56E7"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Three types of people</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Hiders</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Fleers - Lockdown in NY means people flea to Florida</w:t>
      </w:r>
      <w:r w:rsidR="006F56E7" w:rsidRPr="00EE558F">
        <w:rPr>
          <w:rFonts w:ascii="Century Gothic" w:hAnsi="Century Gothic" w:cs="Calibri"/>
          <w:sz w:val="22"/>
          <w:szCs w:val="22"/>
        </w:rPr>
        <w:t xml:space="preserve"> and spread virus</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Ignorers</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lastRenderedPageBreak/>
        <w:t xml:space="preserve">There is belief that 50% of USA </w:t>
      </w:r>
      <w:r w:rsidR="006F56E7" w:rsidRPr="00EE558F">
        <w:rPr>
          <w:rFonts w:ascii="Century Gothic" w:hAnsi="Century Gothic" w:cs="Calibri"/>
          <w:sz w:val="22"/>
          <w:szCs w:val="22"/>
        </w:rPr>
        <w:t xml:space="preserve">carriers </w:t>
      </w:r>
      <w:r w:rsidRPr="00EE558F">
        <w:rPr>
          <w:rFonts w:ascii="Century Gothic" w:hAnsi="Century Gothic" w:cs="Calibri"/>
          <w:sz w:val="22"/>
          <w:szCs w:val="22"/>
        </w:rPr>
        <w:t>are A-symptomatic</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If this is like H1N1 it could die down with the heat</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Could be a second wave in the Q4 of 2020</w:t>
      </w:r>
    </w:p>
    <w:p w:rsidR="00D113C4" w:rsidRPr="00EE558F" w:rsidRDefault="00D113C4" w:rsidP="00EE558F">
      <w:pPr>
        <w:numPr>
          <w:ilvl w:val="0"/>
          <w:numId w:val="11"/>
        </w:numPr>
        <w:textAlignment w:val="center"/>
        <w:rPr>
          <w:rFonts w:ascii="Century Gothic" w:hAnsi="Century Gothic" w:cs="Calibri"/>
          <w:sz w:val="22"/>
          <w:szCs w:val="22"/>
        </w:rPr>
      </w:pPr>
      <w:r w:rsidRPr="00EE558F">
        <w:rPr>
          <w:rFonts w:ascii="Century Gothic" w:hAnsi="Century Gothic" w:cs="Calibri"/>
          <w:sz w:val="22"/>
          <w:szCs w:val="22"/>
        </w:rPr>
        <w:t>Now that the USA is properly in the 'war' (money and attention) a cure is more likely</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Therapies - Treats symptoms</w:t>
      </w:r>
    </w:p>
    <w:p w:rsidR="00D113C4" w:rsidRPr="00EE558F" w:rsidRDefault="00D113C4"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M</w:t>
      </w:r>
      <w:r w:rsidR="006F56E7" w:rsidRPr="00EE558F">
        <w:rPr>
          <w:rFonts w:ascii="Century Gothic" w:hAnsi="Century Gothic" w:cs="Calibri"/>
          <w:sz w:val="22"/>
          <w:szCs w:val="22"/>
        </w:rPr>
        <w:t xml:space="preserve">ost </w:t>
      </w:r>
      <w:r w:rsidRPr="00EE558F">
        <w:rPr>
          <w:rFonts w:ascii="Century Gothic" w:hAnsi="Century Gothic" w:cs="Calibri"/>
          <w:sz w:val="22"/>
          <w:szCs w:val="22"/>
        </w:rPr>
        <w:t xml:space="preserve">likely near-term </w:t>
      </w:r>
      <w:r w:rsidR="006F56E7" w:rsidRPr="00EE558F">
        <w:rPr>
          <w:rFonts w:ascii="Century Gothic" w:hAnsi="Century Gothic" w:cs="Calibri"/>
          <w:sz w:val="22"/>
          <w:szCs w:val="22"/>
        </w:rPr>
        <w:t xml:space="preserve">solution </w:t>
      </w:r>
      <w:r w:rsidRPr="00EE558F">
        <w:rPr>
          <w:rFonts w:ascii="Century Gothic" w:hAnsi="Century Gothic" w:cs="Calibri"/>
          <w:sz w:val="22"/>
          <w:szCs w:val="22"/>
        </w:rPr>
        <w:t>(2020)</w:t>
      </w:r>
    </w:p>
    <w:p w:rsidR="00D113C4" w:rsidRPr="00EE558F" w:rsidRDefault="00D113C4" w:rsidP="00EE558F">
      <w:pPr>
        <w:numPr>
          <w:ilvl w:val="1"/>
          <w:numId w:val="11"/>
        </w:numPr>
        <w:textAlignment w:val="center"/>
        <w:rPr>
          <w:rFonts w:ascii="Century Gothic" w:hAnsi="Century Gothic" w:cs="Calibri"/>
          <w:sz w:val="22"/>
          <w:szCs w:val="22"/>
        </w:rPr>
      </w:pPr>
      <w:r w:rsidRPr="00EE558F">
        <w:rPr>
          <w:rFonts w:ascii="Century Gothic" w:hAnsi="Century Gothic" w:cs="Calibri"/>
          <w:sz w:val="22"/>
          <w:szCs w:val="22"/>
        </w:rPr>
        <w:t>Vaccine - Prevents spread</w:t>
      </w:r>
    </w:p>
    <w:p w:rsidR="00D113C4" w:rsidRPr="00EE558F" w:rsidRDefault="006F56E7" w:rsidP="00EE558F">
      <w:pPr>
        <w:numPr>
          <w:ilvl w:val="2"/>
          <w:numId w:val="11"/>
        </w:numPr>
        <w:textAlignment w:val="center"/>
        <w:rPr>
          <w:rFonts w:ascii="Century Gothic" w:hAnsi="Century Gothic" w:cs="Calibri"/>
          <w:sz w:val="22"/>
          <w:szCs w:val="22"/>
        </w:rPr>
      </w:pPr>
      <w:r w:rsidRPr="00EE558F">
        <w:rPr>
          <w:rFonts w:ascii="Century Gothic" w:hAnsi="Century Gothic" w:cs="Calibri"/>
          <w:sz w:val="22"/>
          <w:szCs w:val="22"/>
        </w:rPr>
        <w:t>Most</w:t>
      </w:r>
      <w:r w:rsidR="00D113C4" w:rsidRPr="00EE558F">
        <w:rPr>
          <w:rFonts w:ascii="Century Gothic" w:hAnsi="Century Gothic" w:cs="Calibri"/>
          <w:sz w:val="22"/>
          <w:szCs w:val="22"/>
        </w:rPr>
        <w:t xml:space="preserve"> likely 2021</w:t>
      </w:r>
    </w:p>
    <w:p w:rsidR="00D113C4" w:rsidRPr="00EE558F" w:rsidRDefault="00D113C4" w:rsidP="00D113C4">
      <w:pPr>
        <w:pStyle w:val="NormalWeb"/>
        <w:spacing w:before="0" w:beforeAutospacing="0" w:after="0" w:afterAutospacing="0"/>
        <w:rPr>
          <w:rFonts w:ascii="Century Gothic" w:hAnsi="Century Gothic" w:cs="Calibri"/>
          <w:sz w:val="22"/>
          <w:szCs w:val="22"/>
        </w:rPr>
      </w:pPr>
      <w:r w:rsidRPr="00EE558F">
        <w:rPr>
          <w:rFonts w:ascii="Century Gothic" w:hAnsi="Century Gothic" w:cs="Calibri"/>
          <w:sz w:val="22"/>
          <w:szCs w:val="22"/>
        </w:rPr>
        <w:t> </w:t>
      </w:r>
    </w:p>
    <w:p w:rsidR="00D113C4" w:rsidRPr="00EE558F" w:rsidRDefault="00D113C4" w:rsidP="00D113C4">
      <w:pPr>
        <w:pStyle w:val="NormalWeb"/>
        <w:spacing w:before="0" w:beforeAutospacing="0" w:after="0" w:afterAutospacing="0"/>
        <w:rPr>
          <w:rFonts w:ascii="Century Gothic" w:hAnsi="Century Gothic" w:cs="Calibri"/>
          <w:sz w:val="22"/>
          <w:szCs w:val="22"/>
        </w:rPr>
      </w:pPr>
      <w:bookmarkStart w:id="1" w:name="_Hlk37923195"/>
      <w:r w:rsidRPr="00EE558F">
        <w:rPr>
          <w:rFonts w:ascii="Century Gothic" w:hAnsi="Century Gothic" w:cs="Calibri"/>
          <w:b/>
          <w:bCs/>
          <w:sz w:val="22"/>
          <w:szCs w:val="22"/>
        </w:rPr>
        <w:t>Ward M</w:t>
      </w:r>
      <w:r w:rsidR="00EE558F" w:rsidRPr="00EE558F">
        <w:rPr>
          <w:rFonts w:ascii="Century Gothic" w:hAnsi="Century Gothic" w:cs="Calibri"/>
          <w:b/>
          <w:bCs/>
          <w:sz w:val="22"/>
          <w:szCs w:val="22"/>
        </w:rPr>
        <w:t>c</w:t>
      </w:r>
      <w:r w:rsidRPr="00EE558F">
        <w:rPr>
          <w:rFonts w:ascii="Century Gothic" w:hAnsi="Century Gothic" w:cs="Calibri"/>
          <w:b/>
          <w:bCs/>
          <w:sz w:val="22"/>
          <w:szCs w:val="22"/>
        </w:rPr>
        <w:t xml:space="preserve">Carthy </w:t>
      </w:r>
      <w:r w:rsidR="00123C98">
        <w:rPr>
          <w:rFonts w:ascii="Century Gothic" w:hAnsi="Century Gothic" w:cs="Calibri"/>
          <w:b/>
          <w:sz w:val="22"/>
          <w:szCs w:val="22"/>
        </w:rPr>
        <w:t>–</w:t>
      </w:r>
      <w:r w:rsidRPr="00EE558F">
        <w:rPr>
          <w:rFonts w:ascii="Century Gothic" w:hAnsi="Century Gothic" w:cs="Calibri"/>
          <w:b/>
          <w:bCs/>
          <w:sz w:val="22"/>
          <w:szCs w:val="22"/>
        </w:rPr>
        <w:t xml:space="preserve"> Chief Financial Economist </w:t>
      </w:r>
    </w:p>
    <w:bookmarkEnd w:id="1"/>
    <w:p w:rsidR="00D113C4" w:rsidRPr="00EE558F" w:rsidRDefault="00D113C4" w:rsidP="00D113C4">
      <w:pPr>
        <w:pStyle w:val="NormalWeb"/>
        <w:spacing w:before="0" w:beforeAutospacing="0" w:after="0" w:afterAutospacing="0"/>
        <w:rPr>
          <w:rFonts w:ascii="Century Gothic" w:hAnsi="Century Gothic" w:cs="Calibri"/>
          <w:sz w:val="22"/>
          <w:szCs w:val="22"/>
        </w:rPr>
      </w:pPr>
      <w:r w:rsidRPr="00EE558F">
        <w:rPr>
          <w:rFonts w:ascii="Century Gothic" w:hAnsi="Century Gothic" w:cs="Calibri"/>
          <w:sz w:val="22"/>
          <w:szCs w:val="22"/>
        </w:rPr>
        <w:t>US Economy</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 xml:space="preserve">Unprecedented that the Government is trying to halt the economy while </w:t>
      </w:r>
      <w:r w:rsidR="006F56E7" w:rsidRPr="00EE558F">
        <w:rPr>
          <w:rFonts w:ascii="Century Gothic" w:hAnsi="Century Gothic" w:cs="Calibri"/>
          <w:sz w:val="22"/>
          <w:szCs w:val="22"/>
        </w:rPr>
        <w:t xml:space="preserve">simultaneously </w:t>
      </w:r>
      <w:r w:rsidRPr="00EE558F">
        <w:rPr>
          <w:rFonts w:ascii="Century Gothic" w:hAnsi="Century Gothic" w:cs="Calibri"/>
          <w:sz w:val="22"/>
          <w:szCs w:val="22"/>
        </w:rPr>
        <w:t xml:space="preserve">trying to </w:t>
      </w:r>
      <w:r w:rsidR="006F56E7" w:rsidRPr="00EE558F">
        <w:rPr>
          <w:rFonts w:ascii="Century Gothic" w:hAnsi="Century Gothic" w:cs="Calibri"/>
          <w:sz w:val="22"/>
          <w:szCs w:val="22"/>
        </w:rPr>
        <w:t>resuscitate</w:t>
      </w:r>
      <w:r w:rsidRPr="00EE558F">
        <w:rPr>
          <w:rFonts w:ascii="Century Gothic" w:hAnsi="Century Gothic" w:cs="Calibri"/>
          <w:sz w:val="22"/>
          <w:szCs w:val="22"/>
        </w:rPr>
        <w:t xml:space="preserve"> it</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 xml:space="preserve">Federal Reserve has been extremely aggressive - more </w:t>
      </w:r>
      <w:r w:rsidR="006F56E7" w:rsidRPr="00EE558F">
        <w:rPr>
          <w:rFonts w:ascii="Century Gothic" w:hAnsi="Century Gothic" w:cs="Calibri"/>
          <w:sz w:val="22"/>
          <w:szCs w:val="22"/>
        </w:rPr>
        <w:t xml:space="preserve">so </w:t>
      </w:r>
      <w:r w:rsidRPr="00EE558F">
        <w:rPr>
          <w:rFonts w:ascii="Century Gothic" w:hAnsi="Century Gothic" w:cs="Calibri"/>
          <w:sz w:val="22"/>
          <w:szCs w:val="22"/>
        </w:rPr>
        <w:t>than in previous decades</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Efforts are directed at both big and small businesses which in unique</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US got off to late start in preventing spread</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 xml:space="preserve">Despite all Government moves it will </w:t>
      </w:r>
      <w:r w:rsidR="006F56E7" w:rsidRPr="00EE558F">
        <w:rPr>
          <w:rFonts w:ascii="Century Gothic" w:hAnsi="Century Gothic" w:cs="Calibri"/>
          <w:sz w:val="22"/>
          <w:szCs w:val="22"/>
        </w:rPr>
        <w:t>be challenging</w:t>
      </w:r>
      <w:r w:rsidRPr="00EE558F">
        <w:rPr>
          <w:rFonts w:ascii="Century Gothic" w:hAnsi="Century Gothic" w:cs="Calibri"/>
          <w:sz w:val="22"/>
          <w:szCs w:val="22"/>
        </w:rPr>
        <w:t xml:space="preserve"> to get provisions in place and executed</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SBA Loans - Allocated but have not reached bank accounts of businesses</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 xml:space="preserve">Unemployment Benefits - Swell of people applying </w:t>
      </w:r>
      <w:r w:rsidR="006F56E7" w:rsidRPr="00EE558F">
        <w:rPr>
          <w:rFonts w:ascii="Century Gothic" w:hAnsi="Century Gothic" w:cs="Calibri"/>
          <w:sz w:val="22"/>
          <w:szCs w:val="22"/>
        </w:rPr>
        <w:t>resulting in delay of benefits</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Finally starting to happen and will help</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Nothing the gov can do to keep economy out of dismal shape in Q2</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Q2 - Dismal</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Unemployment</w:t>
      </w:r>
    </w:p>
    <w:p w:rsidR="00D113C4" w:rsidRPr="00EE558F" w:rsidRDefault="00D113C4" w:rsidP="00EE558F">
      <w:pPr>
        <w:numPr>
          <w:ilvl w:val="3"/>
          <w:numId w:val="12"/>
        </w:numPr>
        <w:textAlignment w:val="center"/>
        <w:rPr>
          <w:rFonts w:ascii="Century Gothic" w:hAnsi="Century Gothic" w:cs="Calibri"/>
          <w:sz w:val="22"/>
          <w:szCs w:val="22"/>
        </w:rPr>
      </w:pPr>
      <w:r w:rsidRPr="00EE558F">
        <w:rPr>
          <w:rFonts w:ascii="Century Gothic" w:hAnsi="Century Gothic" w:cs="Calibri"/>
          <w:sz w:val="22"/>
          <w:szCs w:val="22"/>
        </w:rPr>
        <w:t>April - very sharp increase in unemployment</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8.7% decline in retail sales</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Q3 - Shift to normalcy</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This is going to vary by different parts of the country</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Younger people will be more likely to move back to normal</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Q4 - Growth will be back on trend</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Not all parts of economy will be normal, but most of this will be behind us</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Fed has taken steps far beyond what they have ever done before</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Providing support for high yield markets, municipal markets, small businesses</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This is in effect a bridge loan from the gov to get the economy back to normal</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Need to be concerned and caution, but the path the economy will follow the path of the virus</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Sooner the virus ends, the economic suffering will end</w:t>
      </w:r>
    </w:p>
    <w:p w:rsidR="00D113C4" w:rsidRPr="00EE558F" w:rsidRDefault="00D113C4" w:rsidP="00EE558F">
      <w:pPr>
        <w:numPr>
          <w:ilvl w:val="0"/>
          <w:numId w:val="12"/>
        </w:numPr>
        <w:textAlignment w:val="center"/>
        <w:rPr>
          <w:rFonts w:ascii="Century Gothic" w:hAnsi="Century Gothic" w:cs="Calibri"/>
          <w:sz w:val="22"/>
          <w:szCs w:val="22"/>
        </w:rPr>
      </w:pPr>
      <w:r w:rsidRPr="00EE558F">
        <w:rPr>
          <w:rFonts w:ascii="Century Gothic" w:hAnsi="Century Gothic" w:cs="Calibri"/>
          <w:sz w:val="22"/>
          <w:szCs w:val="22"/>
        </w:rPr>
        <w:t>Data will be hard to parse into usable data</w:t>
      </w:r>
    </w:p>
    <w:p w:rsidR="00D113C4" w:rsidRPr="00EE558F" w:rsidRDefault="00D113C4" w:rsidP="00EE558F">
      <w:pPr>
        <w:numPr>
          <w:ilvl w:val="1"/>
          <w:numId w:val="12"/>
        </w:numPr>
        <w:textAlignment w:val="center"/>
        <w:rPr>
          <w:rFonts w:ascii="Century Gothic" w:hAnsi="Century Gothic" w:cs="Calibri"/>
          <w:sz w:val="22"/>
          <w:szCs w:val="22"/>
        </w:rPr>
      </w:pPr>
      <w:r w:rsidRPr="00EE558F">
        <w:rPr>
          <w:rFonts w:ascii="Century Gothic" w:hAnsi="Century Gothic" w:cs="Calibri"/>
          <w:sz w:val="22"/>
          <w:szCs w:val="22"/>
        </w:rPr>
        <w:t>There will be a bunch of contrasts</w:t>
      </w:r>
    </w:p>
    <w:p w:rsidR="00D113C4" w:rsidRPr="00EE558F" w:rsidRDefault="00D113C4" w:rsidP="00EE558F">
      <w:pPr>
        <w:numPr>
          <w:ilvl w:val="2"/>
          <w:numId w:val="12"/>
        </w:numPr>
        <w:textAlignment w:val="center"/>
        <w:rPr>
          <w:rFonts w:ascii="Century Gothic" w:hAnsi="Century Gothic" w:cs="Calibri"/>
          <w:sz w:val="22"/>
          <w:szCs w:val="22"/>
        </w:rPr>
      </w:pPr>
      <w:r w:rsidRPr="00EE558F">
        <w:rPr>
          <w:rFonts w:ascii="Century Gothic" w:hAnsi="Century Gothic" w:cs="Calibri"/>
          <w:sz w:val="22"/>
          <w:szCs w:val="22"/>
        </w:rPr>
        <w:t>Retail sales</w:t>
      </w:r>
    </w:p>
    <w:p w:rsidR="00D113C4" w:rsidRPr="00EE558F" w:rsidRDefault="00D113C4" w:rsidP="00EE558F">
      <w:pPr>
        <w:numPr>
          <w:ilvl w:val="3"/>
          <w:numId w:val="12"/>
        </w:numPr>
        <w:textAlignment w:val="center"/>
        <w:rPr>
          <w:rFonts w:ascii="Century Gothic" w:hAnsi="Century Gothic" w:cs="Calibri"/>
          <w:sz w:val="22"/>
          <w:szCs w:val="22"/>
        </w:rPr>
      </w:pPr>
      <w:r w:rsidRPr="00EE558F">
        <w:rPr>
          <w:rFonts w:ascii="Century Gothic" w:hAnsi="Century Gothic" w:cs="Calibri"/>
          <w:sz w:val="22"/>
          <w:szCs w:val="22"/>
        </w:rPr>
        <w:t>Food and beverage - up 25%</w:t>
      </w:r>
    </w:p>
    <w:p w:rsidR="00D113C4" w:rsidRPr="00EE558F" w:rsidRDefault="00D113C4" w:rsidP="00EE558F">
      <w:pPr>
        <w:numPr>
          <w:ilvl w:val="3"/>
          <w:numId w:val="12"/>
        </w:numPr>
        <w:textAlignment w:val="center"/>
        <w:rPr>
          <w:rFonts w:ascii="Century Gothic" w:hAnsi="Century Gothic" w:cs="Calibri"/>
          <w:sz w:val="22"/>
          <w:szCs w:val="22"/>
        </w:rPr>
      </w:pPr>
      <w:r w:rsidRPr="00EE558F">
        <w:rPr>
          <w:rFonts w:ascii="Century Gothic" w:hAnsi="Century Gothic" w:cs="Calibri"/>
          <w:sz w:val="22"/>
          <w:szCs w:val="22"/>
        </w:rPr>
        <w:t>Auto Sales - down 25%</w:t>
      </w:r>
    </w:p>
    <w:p w:rsidR="00EE558F" w:rsidRDefault="00EE558F" w:rsidP="00D113C4">
      <w:pPr>
        <w:pStyle w:val="NormalWeb"/>
        <w:spacing w:before="0" w:beforeAutospacing="0" w:after="0" w:afterAutospacing="0"/>
        <w:rPr>
          <w:rFonts w:ascii="Century Gothic" w:hAnsi="Century Gothic" w:cs="Calibri"/>
          <w:b/>
          <w:sz w:val="22"/>
          <w:szCs w:val="22"/>
        </w:rPr>
      </w:pPr>
      <w:bookmarkStart w:id="2" w:name="_Hlk37923208"/>
    </w:p>
    <w:p w:rsidR="00D113C4" w:rsidRPr="00EE558F" w:rsidRDefault="00D113C4" w:rsidP="00D113C4">
      <w:pPr>
        <w:pStyle w:val="NormalWeb"/>
        <w:spacing w:before="0" w:beforeAutospacing="0" w:after="0" w:afterAutospacing="0"/>
        <w:rPr>
          <w:rFonts w:ascii="Century Gothic" w:hAnsi="Century Gothic" w:cs="Calibri"/>
          <w:b/>
          <w:sz w:val="22"/>
          <w:szCs w:val="22"/>
        </w:rPr>
      </w:pPr>
      <w:r w:rsidRPr="00EE558F">
        <w:rPr>
          <w:rFonts w:ascii="Century Gothic" w:hAnsi="Century Gothic" w:cs="Calibri"/>
          <w:b/>
          <w:sz w:val="22"/>
          <w:szCs w:val="22"/>
        </w:rPr>
        <w:t xml:space="preserve">J.R. Young </w:t>
      </w:r>
      <w:r w:rsidR="00123C98">
        <w:rPr>
          <w:rFonts w:ascii="Century Gothic" w:hAnsi="Century Gothic" w:cs="Calibri"/>
          <w:b/>
          <w:sz w:val="22"/>
          <w:szCs w:val="22"/>
        </w:rPr>
        <w:t>–</w:t>
      </w:r>
      <w:r w:rsidRPr="00EE558F">
        <w:rPr>
          <w:rFonts w:ascii="Century Gothic" w:hAnsi="Century Gothic" w:cs="Calibri"/>
          <w:b/>
          <w:sz w:val="22"/>
          <w:szCs w:val="22"/>
        </w:rPr>
        <w:t xml:space="preserve"> Senior Vice President</w:t>
      </w:r>
    </w:p>
    <w:bookmarkEnd w:id="2"/>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For Muni markets</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We are in a lot better place than we were in the past month</w:t>
      </w:r>
    </w:p>
    <w:p w:rsidR="00D113C4" w:rsidRPr="00EE558F" w:rsidRDefault="00D113C4" w:rsidP="00EE558F">
      <w:pPr>
        <w:numPr>
          <w:ilvl w:val="2"/>
          <w:numId w:val="13"/>
        </w:numPr>
        <w:textAlignment w:val="center"/>
        <w:rPr>
          <w:rFonts w:ascii="Century Gothic" w:hAnsi="Century Gothic" w:cs="Calibri"/>
          <w:sz w:val="22"/>
          <w:szCs w:val="22"/>
        </w:rPr>
      </w:pPr>
      <w:r w:rsidRPr="00EE558F">
        <w:rPr>
          <w:rFonts w:ascii="Century Gothic" w:hAnsi="Century Gothic" w:cs="Calibri"/>
          <w:sz w:val="22"/>
          <w:szCs w:val="22"/>
        </w:rPr>
        <w:t>Fed action has instilled confidence</w:t>
      </w:r>
    </w:p>
    <w:p w:rsidR="00D113C4" w:rsidRPr="00EE558F" w:rsidRDefault="00D113C4" w:rsidP="00EE558F">
      <w:pPr>
        <w:numPr>
          <w:ilvl w:val="2"/>
          <w:numId w:val="13"/>
        </w:numPr>
        <w:textAlignment w:val="center"/>
        <w:rPr>
          <w:rFonts w:ascii="Century Gothic" w:hAnsi="Century Gothic" w:cs="Calibri"/>
          <w:sz w:val="22"/>
          <w:szCs w:val="22"/>
        </w:rPr>
      </w:pPr>
      <w:r w:rsidRPr="00EE558F">
        <w:rPr>
          <w:rFonts w:ascii="Century Gothic" w:hAnsi="Century Gothic" w:cs="Calibri"/>
          <w:sz w:val="22"/>
          <w:szCs w:val="22"/>
        </w:rPr>
        <w:t>SIFMA is coming down</w:t>
      </w:r>
    </w:p>
    <w:p w:rsidR="00D113C4" w:rsidRPr="00EE558F" w:rsidRDefault="00D113C4" w:rsidP="00EE558F">
      <w:pPr>
        <w:numPr>
          <w:ilvl w:val="2"/>
          <w:numId w:val="13"/>
        </w:numPr>
        <w:textAlignment w:val="center"/>
        <w:rPr>
          <w:rFonts w:ascii="Century Gothic" w:hAnsi="Century Gothic" w:cs="Calibri"/>
          <w:sz w:val="22"/>
          <w:szCs w:val="22"/>
        </w:rPr>
      </w:pPr>
      <w:r w:rsidRPr="00EE558F">
        <w:rPr>
          <w:rFonts w:ascii="Century Gothic" w:hAnsi="Century Gothic" w:cs="Calibri"/>
          <w:sz w:val="22"/>
          <w:szCs w:val="22"/>
        </w:rPr>
        <w:t>Positive effect in the Commercial Paper market - starting to be "widely rolled" again</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Long-term fixed rate market</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lastRenderedPageBreak/>
        <w:t>Starting to heal</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Fund Flows</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Significant outflows in March</w:t>
      </w:r>
    </w:p>
    <w:p w:rsidR="00D113C4" w:rsidRPr="00EE558F" w:rsidRDefault="00D113C4" w:rsidP="00EE558F">
      <w:pPr>
        <w:numPr>
          <w:ilvl w:val="2"/>
          <w:numId w:val="13"/>
        </w:numPr>
        <w:textAlignment w:val="center"/>
        <w:rPr>
          <w:rFonts w:ascii="Century Gothic" w:hAnsi="Century Gothic" w:cs="Calibri"/>
          <w:sz w:val="22"/>
          <w:szCs w:val="22"/>
        </w:rPr>
      </w:pPr>
      <w:r w:rsidRPr="00EE558F">
        <w:rPr>
          <w:rFonts w:ascii="Century Gothic" w:hAnsi="Century Gothic" w:cs="Calibri"/>
          <w:sz w:val="22"/>
          <w:szCs w:val="22"/>
        </w:rPr>
        <w:t>Leveraged trades</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Last 4-5 days have begun to see nominal inflows</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Tax exempt market</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Majority of 360 deals done in the last month were tax exempt</w:t>
      </w:r>
    </w:p>
    <w:p w:rsidR="00D113C4" w:rsidRPr="00EE558F" w:rsidRDefault="00D113C4" w:rsidP="00EE558F">
      <w:pPr>
        <w:numPr>
          <w:ilvl w:val="2"/>
          <w:numId w:val="13"/>
        </w:numPr>
        <w:textAlignment w:val="center"/>
        <w:rPr>
          <w:rFonts w:ascii="Century Gothic" w:hAnsi="Century Gothic" w:cs="Calibri"/>
          <w:sz w:val="22"/>
          <w:szCs w:val="22"/>
        </w:rPr>
      </w:pPr>
      <w:r w:rsidRPr="00EE558F">
        <w:rPr>
          <w:rFonts w:ascii="Century Gothic" w:hAnsi="Century Gothic" w:cs="Calibri"/>
          <w:sz w:val="22"/>
          <w:szCs w:val="22"/>
        </w:rPr>
        <w:t xml:space="preserve">From </w:t>
      </w:r>
      <w:r w:rsidR="006F56E7" w:rsidRPr="00EE558F">
        <w:rPr>
          <w:rFonts w:ascii="Century Gothic" w:hAnsi="Century Gothic" w:cs="Calibri"/>
          <w:sz w:val="22"/>
          <w:szCs w:val="22"/>
        </w:rPr>
        <w:t>high-grade well-known</w:t>
      </w:r>
      <w:r w:rsidRPr="00EE558F">
        <w:rPr>
          <w:rFonts w:ascii="Century Gothic" w:hAnsi="Century Gothic" w:cs="Calibri"/>
          <w:sz w:val="22"/>
          <w:szCs w:val="22"/>
        </w:rPr>
        <w:t xml:space="preserve"> issuers</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High yield market</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 xml:space="preserve">Not yet </w:t>
      </w:r>
      <w:r w:rsidR="00F5429F" w:rsidRPr="00EE558F">
        <w:rPr>
          <w:rFonts w:ascii="Century Gothic" w:hAnsi="Century Gothic" w:cs="Calibri"/>
          <w:sz w:val="22"/>
          <w:szCs w:val="22"/>
        </w:rPr>
        <w:t>“</w:t>
      </w:r>
      <w:r w:rsidRPr="00EE558F">
        <w:rPr>
          <w:rFonts w:ascii="Century Gothic" w:hAnsi="Century Gothic" w:cs="Calibri"/>
          <w:sz w:val="22"/>
          <w:szCs w:val="22"/>
        </w:rPr>
        <w:t>open for business</w:t>
      </w:r>
      <w:r w:rsidR="00F5429F" w:rsidRPr="00EE558F">
        <w:rPr>
          <w:rFonts w:ascii="Century Gothic" w:hAnsi="Century Gothic" w:cs="Calibri"/>
          <w:sz w:val="22"/>
          <w:szCs w:val="22"/>
        </w:rPr>
        <w:t>”</w:t>
      </w:r>
      <w:r w:rsidRPr="00EE558F">
        <w:rPr>
          <w:rFonts w:ascii="Century Gothic" w:hAnsi="Century Gothic" w:cs="Calibri"/>
          <w:sz w:val="22"/>
          <w:szCs w:val="22"/>
        </w:rPr>
        <w:t xml:space="preserve"> again</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Forward Calendar</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State of Cal</w:t>
      </w:r>
      <w:r w:rsidR="00F5429F" w:rsidRPr="00EE558F">
        <w:rPr>
          <w:rFonts w:ascii="Century Gothic" w:hAnsi="Century Gothic" w:cs="Calibri"/>
          <w:sz w:val="22"/>
          <w:szCs w:val="22"/>
        </w:rPr>
        <w:t>ifornia</w:t>
      </w:r>
      <w:r w:rsidRPr="00EE558F">
        <w:rPr>
          <w:rFonts w:ascii="Century Gothic" w:hAnsi="Century Gothic" w:cs="Calibri"/>
          <w:sz w:val="22"/>
          <w:szCs w:val="22"/>
        </w:rPr>
        <w:t xml:space="preserve"> Closed a $1B GO transaction - </w:t>
      </w:r>
      <w:r w:rsidR="00EE558F">
        <w:rPr>
          <w:rFonts w:ascii="Century Gothic" w:hAnsi="Century Gothic" w:cs="Calibri"/>
          <w:sz w:val="22"/>
          <w:szCs w:val="22"/>
        </w:rPr>
        <w:t>w</w:t>
      </w:r>
      <w:r w:rsidRPr="00EE558F">
        <w:rPr>
          <w:rFonts w:ascii="Century Gothic" w:hAnsi="Century Gothic" w:cs="Calibri"/>
          <w:sz w:val="22"/>
          <w:szCs w:val="22"/>
        </w:rPr>
        <w:t>ill price tomorrow</w:t>
      </w:r>
    </w:p>
    <w:p w:rsidR="00D113C4" w:rsidRPr="00EE558F" w:rsidRDefault="00D113C4" w:rsidP="00EE558F">
      <w:pPr>
        <w:numPr>
          <w:ilvl w:val="0"/>
          <w:numId w:val="13"/>
        </w:numPr>
        <w:textAlignment w:val="center"/>
        <w:rPr>
          <w:rFonts w:ascii="Century Gothic" w:hAnsi="Century Gothic" w:cs="Calibri"/>
          <w:sz w:val="22"/>
          <w:szCs w:val="22"/>
        </w:rPr>
      </w:pPr>
      <w:r w:rsidRPr="00EE558F">
        <w:rPr>
          <w:rFonts w:ascii="Century Gothic" w:hAnsi="Century Gothic" w:cs="Calibri"/>
          <w:sz w:val="22"/>
          <w:szCs w:val="22"/>
        </w:rPr>
        <w:t>Expect volatility to continue</w:t>
      </w:r>
    </w:p>
    <w:p w:rsidR="00D113C4" w:rsidRPr="00EE558F" w:rsidRDefault="00D113C4" w:rsidP="00EE558F">
      <w:pPr>
        <w:numPr>
          <w:ilvl w:val="1"/>
          <w:numId w:val="13"/>
        </w:numPr>
        <w:textAlignment w:val="center"/>
        <w:rPr>
          <w:rFonts w:ascii="Century Gothic" w:hAnsi="Century Gothic" w:cs="Calibri"/>
          <w:sz w:val="22"/>
          <w:szCs w:val="22"/>
        </w:rPr>
      </w:pPr>
      <w:r w:rsidRPr="00EE558F">
        <w:rPr>
          <w:rFonts w:ascii="Century Gothic" w:hAnsi="Century Gothic" w:cs="Calibri"/>
          <w:sz w:val="22"/>
          <w:szCs w:val="22"/>
        </w:rPr>
        <w:t>Will give opportunity to enter markets</w:t>
      </w:r>
    </w:p>
    <w:p w:rsidR="00347685" w:rsidRPr="00EE558F" w:rsidRDefault="00347685" w:rsidP="00D113C4">
      <w:pPr>
        <w:rPr>
          <w:rFonts w:ascii="Century Gothic" w:hAnsi="Century Gothic" w:cs="Calibri"/>
          <w:b/>
          <w:bCs/>
          <w:sz w:val="22"/>
          <w:szCs w:val="22"/>
        </w:rPr>
      </w:pPr>
    </w:p>
    <w:p w:rsidR="00AD5D19" w:rsidRPr="00EE558F" w:rsidRDefault="00AD5D19" w:rsidP="00AD5D19">
      <w:pPr>
        <w:jc w:val="center"/>
        <w:rPr>
          <w:rFonts w:ascii="Century Gothic" w:hAnsi="Century Gothic" w:cs="Calibri"/>
          <w:b/>
          <w:bCs/>
          <w:sz w:val="22"/>
          <w:szCs w:val="22"/>
        </w:rPr>
      </w:pPr>
    </w:p>
    <w:sectPr w:rsidR="00AD5D19" w:rsidRPr="00EE558F" w:rsidSect="00DA4606">
      <w:headerReference w:type="default" r:id="rId7"/>
      <w:pgSz w:w="12240" w:h="15840"/>
      <w:pgMar w:top="432" w:right="720" w:bottom="432" w:left="72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74" w:rsidRDefault="00430884">
      <w:r>
        <w:separator/>
      </w:r>
    </w:p>
  </w:endnote>
  <w:endnote w:type="continuationSeparator" w:id="0">
    <w:p w:rsidR="00711374" w:rsidRDefault="004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74" w:rsidRDefault="00430884">
      <w:r>
        <w:separator/>
      </w:r>
    </w:p>
  </w:footnote>
  <w:footnote w:type="continuationSeparator" w:id="0">
    <w:p w:rsidR="00711374" w:rsidRDefault="0043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8074"/>
      <w:gridCol w:w="268"/>
      <w:gridCol w:w="1607"/>
      <w:gridCol w:w="1433"/>
    </w:tblGrid>
    <w:tr w:rsidR="001C1500" w:rsidTr="00D21A29">
      <w:tc>
        <w:tcPr>
          <w:tcW w:w="2451" w:type="dxa"/>
          <w:vAlign w:val="center"/>
        </w:tcPr>
        <w:p w:rsidR="001C1500" w:rsidRDefault="00D6730D" w:rsidP="008E430A">
          <w:pPr>
            <w:pStyle w:val="Header"/>
            <w:ind w:left="-30" w:right="75"/>
            <w:jc w:val="center"/>
          </w:pPr>
          <w:r>
            <w:rPr>
              <w:noProof/>
            </w:rPr>
            <w:drawing>
              <wp:inline distT="0" distB="0" distL="0" distR="0" wp14:anchorId="6B74DCE9" wp14:editId="7D4BC7EF">
                <wp:extent cx="1563624" cy="3017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Dominium Logos\Dominium_Logo_4C_Large.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3624" cy="301752"/>
                        </a:xfrm>
                        <a:prstGeom prst="rect">
                          <a:avLst/>
                        </a:prstGeom>
                        <a:noFill/>
                        <a:ln>
                          <a:noFill/>
                        </a:ln>
                      </pic:spPr>
                    </pic:pic>
                  </a:graphicData>
                </a:graphic>
              </wp:inline>
            </w:drawing>
          </w:r>
        </w:p>
      </w:tc>
      <w:tc>
        <w:tcPr>
          <w:tcW w:w="8259" w:type="dxa"/>
          <w:vAlign w:val="center"/>
        </w:tcPr>
        <w:p w:rsidR="001A6880" w:rsidRPr="00A67D26" w:rsidRDefault="00EE558F" w:rsidP="004D73E4">
          <w:pPr>
            <w:pStyle w:val="Header"/>
            <w:rPr>
              <w:rFonts w:ascii="Century Gothic" w:hAnsi="Century Gothic"/>
              <w:color w:val="808080" w:themeColor="background1" w:themeShade="80"/>
              <w:sz w:val="20"/>
              <w:szCs w:val="20"/>
            </w:rPr>
          </w:pPr>
          <w:r>
            <w:rPr>
              <w:rFonts w:ascii="Century Gothic" w:hAnsi="Century Gothic"/>
              <w:spacing w:val="22"/>
              <w:sz w:val="34"/>
              <w:szCs w:val="34"/>
            </w:rPr>
            <w:t xml:space="preserve">Jefferies </w:t>
          </w:r>
          <w:r w:rsidRPr="00E14E11">
            <w:rPr>
              <w:rFonts w:ascii="Century Gothic" w:hAnsi="Century Gothic"/>
              <w:spacing w:val="22"/>
              <w:sz w:val="34"/>
              <w:szCs w:val="34"/>
            </w:rPr>
            <w:t>Municipal Market Update COVID-19 Environment</w:t>
          </w:r>
          <w:r w:rsidRPr="00A67D26">
            <w:rPr>
              <w:rFonts w:ascii="Century Gothic" w:hAnsi="Century Gothic"/>
              <w:color w:val="808080" w:themeColor="background1" w:themeShade="80"/>
              <w:sz w:val="20"/>
              <w:szCs w:val="20"/>
            </w:rPr>
            <w:t xml:space="preserve"> </w:t>
          </w:r>
        </w:p>
      </w:tc>
      <w:tc>
        <w:tcPr>
          <w:tcW w:w="270" w:type="dxa"/>
        </w:tcPr>
        <w:p w:rsidR="001C1500" w:rsidRPr="002944CA" w:rsidRDefault="00B23E67" w:rsidP="008E430A">
          <w:pPr>
            <w:pStyle w:val="Header"/>
            <w:jc w:val="right"/>
            <w:rPr>
              <w:rFonts w:ascii="Century Gothic" w:hAnsi="Century Gothic"/>
              <w:color w:val="808080" w:themeColor="background1" w:themeShade="80"/>
            </w:rPr>
          </w:pPr>
        </w:p>
      </w:tc>
      <w:tc>
        <w:tcPr>
          <w:tcW w:w="1653" w:type="dxa"/>
        </w:tcPr>
        <w:p w:rsidR="001C1500" w:rsidRPr="002944CA" w:rsidRDefault="00B23E67" w:rsidP="008E430A">
          <w:pPr>
            <w:pStyle w:val="Header"/>
            <w:jc w:val="right"/>
            <w:rPr>
              <w:rFonts w:ascii="Century Gothic" w:hAnsi="Century Gothic"/>
              <w:color w:val="808080" w:themeColor="background1" w:themeShade="80"/>
            </w:rPr>
          </w:pPr>
        </w:p>
      </w:tc>
      <w:tc>
        <w:tcPr>
          <w:tcW w:w="1473" w:type="dxa"/>
          <w:vAlign w:val="center"/>
        </w:tcPr>
        <w:p w:rsidR="001C1500" w:rsidRPr="002944CA" w:rsidRDefault="00B23E67" w:rsidP="008E430A">
          <w:pPr>
            <w:pStyle w:val="Header"/>
            <w:jc w:val="right"/>
            <w:rPr>
              <w:rFonts w:ascii="Century Gothic" w:hAnsi="Century Gothic"/>
              <w:color w:val="808080" w:themeColor="background1" w:themeShade="80"/>
            </w:rPr>
          </w:pPr>
        </w:p>
      </w:tc>
    </w:tr>
  </w:tbl>
  <w:p w:rsidR="001C1500" w:rsidRDefault="00D6730D">
    <w:pPr>
      <w:pStyle w:val="Header"/>
    </w:pPr>
    <w:r>
      <w:rPr>
        <w:noProof/>
      </w:rPr>
      <w:drawing>
        <wp:anchor distT="0" distB="0" distL="114300" distR="114300" simplePos="0" relativeHeight="251659264" behindDoc="1" locked="0" layoutInCell="1" allowOverlap="1" wp14:anchorId="5F420E3D" wp14:editId="04292217">
          <wp:simplePos x="0" y="0"/>
          <wp:positionH relativeFrom="page">
            <wp:posOffset>-468630</wp:posOffset>
          </wp:positionH>
          <wp:positionV relativeFrom="page">
            <wp:align>top</wp:align>
          </wp:positionV>
          <wp:extent cx="9189720" cy="1112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1_Silver_No Tex_MillerValentinet2.jpg"/>
                  <pic:cNvPicPr preferRelativeResize="0"/>
                </pic:nvPicPr>
                <pic:blipFill rotWithShape="1">
                  <a:blip r:embed="rId2">
                    <a:extLst>
                      <a:ext uri="{28A0092B-C50C-407E-A947-70E740481C1C}">
                        <a14:useLocalDpi xmlns:a14="http://schemas.microsoft.com/office/drawing/2010/main" val="0"/>
                      </a:ext>
                    </a:extLst>
                  </a:blip>
                  <a:srcRect r="15889" b="83427"/>
                  <a:stretch/>
                </pic:blipFill>
                <pic:spPr bwMode="auto">
                  <a:xfrm>
                    <a:off x="0" y="0"/>
                    <a:ext cx="918972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7A"/>
    <w:multiLevelType w:val="multilevel"/>
    <w:tmpl w:val="A9EA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7504D"/>
    <w:multiLevelType w:val="hybridMultilevel"/>
    <w:tmpl w:val="D85A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BC0"/>
    <w:multiLevelType w:val="hybridMultilevel"/>
    <w:tmpl w:val="2BBE9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30115"/>
    <w:multiLevelType w:val="hybridMultilevel"/>
    <w:tmpl w:val="5EE6FCBE"/>
    <w:lvl w:ilvl="0" w:tplc="0409000F">
      <w:start w:val="1"/>
      <w:numFmt w:val="decimal"/>
      <w:lvlText w:val="%1."/>
      <w:lvlJc w:val="left"/>
      <w:pPr>
        <w:ind w:left="1080" w:hanging="360"/>
      </w:pPr>
    </w:lvl>
    <w:lvl w:ilvl="1" w:tplc="C8D8BC9C">
      <w:start w:val="1"/>
      <w:numFmt w:val="lowerLetter"/>
      <w:lvlText w:val="%2."/>
      <w:lvlJc w:val="left"/>
      <w:pPr>
        <w:ind w:left="1800" w:hanging="360"/>
      </w:pPr>
      <w:rPr>
        <w:rFonts w:ascii="Century Gothic" w:eastAsia="Times New Roman" w:hAnsi="Century Gothic" w:cs="Calibri"/>
        <w:b w:val="0"/>
      </w:rPr>
    </w:lvl>
    <w:lvl w:ilvl="2" w:tplc="0409001B">
      <w:start w:val="1"/>
      <w:numFmt w:val="lowerRoman"/>
      <w:lvlText w:val="%3."/>
      <w:lvlJc w:val="right"/>
      <w:pPr>
        <w:ind w:left="2520" w:hanging="180"/>
      </w:pPr>
      <w:rPr>
        <w:b w:val="0"/>
      </w:rPr>
    </w:lvl>
    <w:lvl w:ilvl="3" w:tplc="1666872A">
      <w:start w:val="1"/>
      <w:numFmt w:val="decimal"/>
      <w:lvlText w:val="%4."/>
      <w:lvlJc w:val="left"/>
      <w:pPr>
        <w:ind w:left="3240" w:hanging="360"/>
      </w:pPr>
      <w:rPr>
        <w:b w:val="0"/>
      </w:rPr>
    </w:lvl>
    <w:lvl w:ilvl="4" w:tplc="10EEF41A">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87E2A"/>
    <w:multiLevelType w:val="hybridMultilevel"/>
    <w:tmpl w:val="BD526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1AB9"/>
    <w:multiLevelType w:val="hybridMultilevel"/>
    <w:tmpl w:val="B3845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3DED"/>
    <w:multiLevelType w:val="multilevel"/>
    <w:tmpl w:val="EE7E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6593C"/>
    <w:multiLevelType w:val="hybridMultilevel"/>
    <w:tmpl w:val="3D6A9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A1762"/>
    <w:multiLevelType w:val="multilevel"/>
    <w:tmpl w:val="9AD6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F7AD5"/>
    <w:multiLevelType w:val="hybridMultilevel"/>
    <w:tmpl w:val="D8CE00A8"/>
    <w:lvl w:ilvl="0" w:tplc="A28A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33846"/>
    <w:multiLevelType w:val="hybridMultilevel"/>
    <w:tmpl w:val="4CF25842"/>
    <w:lvl w:ilvl="0" w:tplc="75B2BC9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D74B9A"/>
    <w:multiLevelType w:val="multilevel"/>
    <w:tmpl w:val="53FE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64AB6"/>
    <w:multiLevelType w:val="hybridMultilevel"/>
    <w:tmpl w:val="EA461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9"/>
  </w:num>
  <w:num w:numId="6">
    <w:abstractNumId w:val="10"/>
  </w:num>
  <w:num w:numId="7">
    <w:abstractNumId w:val="6"/>
  </w:num>
  <w:num w:numId="8">
    <w:abstractNumId w:val="0"/>
  </w:num>
  <w:num w:numId="9">
    <w:abstractNumId w:val="8"/>
  </w:num>
  <w:num w:numId="10">
    <w:abstractNumId w:val="11"/>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E"/>
    <w:rsid w:val="00091FFE"/>
    <w:rsid w:val="000D558E"/>
    <w:rsid w:val="00123C98"/>
    <w:rsid w:val="00211CD7"/>
    <w:rsid w:val="0026458C"/>
    <w:rsid w:val="002868FD"/>
    <w:rsid w:val="002F5574"/>
    <w:rsid w:val="00303AB0"/>
    <w:rsid w:val="0031165C"/>
    <w:rsid w:val="00347685"/>
    <w:rsid w:val="00430884"/>
    <w:rsid w:val="004475E1"/>
    <w:rsid w:val="004B6E6F"/>
    <w:rsid w:val="0050383D"/>
    <w:rsid w:val="00527E02"/>
    <w:rsid w:val="00570D6B"/>
    <w:rsid w:val="005843A7"/>
    <w:rsid w:val="0067088D"/>
    <w:rsid w:val="006D01F7"/>
    <w:rsid w:val="006E42E0"/>
    <w:rsid w:val="006F56E7"/>
    <w:rsid w:val="00711374"/>
    <w:rsid w:val="007742AA"/>
    <w:rsid w:val="00822CD5"/>
    <w:rsid w:val="0082506E"/>
    <w:rsid w:val="00875B7F"/>
    <w:rsid w:val="008978D5"/>
    <w:rsid w:val="009E6986"/>
    <w:rsid w:val="00A47B45"/>
    <w:rsid w:val="00AD5D19"/>
    <w:rsid w:val="00B23E67"/>
    <w:rsid w:val="00BE45D4"/>
    <w:rsid w:val="00C151BF"/>
    <w:rsid w:val="00C83ED0"/>
    <w:rsid w:val="00CF571F"/>
    <w:rsid w:val="00D113C4"/>
    <w:rsid w:val="00D6730D"/>
    <w:rsid w:val="00E6501C"/>
    <w:rsid w:val="00E65DD2"/>
    <w:rsid w:val="00EE558F"/>
    <w:rsid w:val="00F5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F8E7E-5AAF-432C-A89B-3770E8E2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8E"/>
    <w:pPr>
      <w:tabs>
        <w:tab w:val="center" w:pos="4680"/>
        <w:tab w:val="right" w:pos="9360"/>
      </w:tabs>
    </w:pPr>
  </w:style>
  <w:style w:type="character" w:customStyle="1" w:styleId="HeaderChar">
    <w:name w:val="Header Char"/>
    <w:basedOn w:val="DefaultParagraphFont"/>
    <w:link w:val="Header"/>
    <w:uiPriority w:val="99"/>
    <w:rsid w:val="000D558E"/>
    <w:rPr>
      <w:rFonts w:ascii="Times New Roman" w:eastAsia="Times New Roman" w:hAnsi="Times New Roman" w:cs="Times New Roman"/>
      <w:sz w:val="24"/>
      <w:szCs w:val="24"/>
    </w:rPr>
  </w:style>
  <w:style w:type="table" w:styleId="TableGrid">
    <w:name w:val="Table Grid"/>
    <w:basedOn w:val="TableNormal"/>
    <w:rsid w:val="000D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58E"/>
    <w:pPr>
      <w:ind w:left="720"/>
      <w:contextualSpacing/>
    </w:pPr>
  </w:style>
  <w:style w:type="character" w:styleId="Hyperlink">
    <w:name w:val="Hyperlink"/>
    <w:basedOn w:val="DefaultParagraphFont"/>
    <w:uiPriority w:val="99"/>
    <w:unhideWhenUsed/>
    <w:rsid w:val="000D558E"/>
    <w:rPr>
      <w:color w:val="0563C1" w:themeColor="hyperlink"/>
      <w:u w:val="single"/>
    </w:rPr>
  </w:style>
  <w:style w:type="paragraph" w:styleId="BalloonText">
    <w:name w:val="Balloon Text"/>
    <w:basedOn w:val="Normal"/>
    <w:link w:val="BalloonTextChar"/>
    <w:uiPriority w:val="99"/>
    <w:semiHidden/>
    <w:unhideWhenUsed/>
    <w:rsid w:val="000D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8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27E02"/>
    <w:rPr>
      <w:color w:val="605E5C"/>
      <w:shd w:val="clear" w:color="auto" w:fill="E1DFDD"/>
    </w:rPr>
  </w:style>
  <w:style w:type="character" w:styleId="FollowedHyperlink">
    <w:name w:val="FollowedHyperlink"/>
    <w:basedOn w:val="DefaultParagraphFont"/>
    <w:uiPriority w:val="99"/>
    <w:semiHidden/>
    <w:unhideWhenUsed/>
    <w:rsid w:val="004475E1"/>
    <w:rPr>
      <w:color w:val="954F72" w:themeColor="followedHyperlink"/>
      <w:u w:val="single"/>
    </w:rPr>
  </w:style>
  <w:style w:type="paragraph" w:styleId="Footer">
    <w:name w:val="footer"/>
    <w:basedOn w:val="Normal"/>
    <w:link w:val="FooterChar"/>
    <w:uiPriority w:val="99"/>
    <w:unhideWhenUsed/>
    <w:rsid w:val="00570D6B"/>
    <w:pPr>
      <w:tabs>
        <w:tab w:val="center" w:pos="4680"/>
        <w:tab w:val="right" w:pos="9360"/>
      </w:tabs>
    </w:pPr>
  </w:style>
  <w:style w:type="character" w:customStyle="1" w:styleId="FooterChar">
    <w:name w:val="Footer Char"/>
    <w:basedOn w:val="DefaultParagraphFont"/>
    <w:link w:val="Footer"/>
    <w:uiPriority w:val="99"/>
    <w:rsid w:val="00570D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13C4"/>
    <w:pPr>
      <w:spacing w:before="100" w:beforeAutospacing="1" w:after="100" w:afterAutospacing="1"/>
    </w:pPr>
  </w:style>
  <w:style w:type="paragraph" w:customStyle="1" w:styleId="xmsonormal">
    <w:name w:val="x_msonormal"/>
    <w:basedOn w:val="Normal"/>
    <w:rsid w:val="00EE558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Melissa</dc:creator>
  <cp:keywords/>
  <dc:description/>
  <cp:lastModifiedBy>Dobbs, Henry</cp:lastModifiedBy>
  <cp:revision>2</cp:revision>
  <dcterms:created xsi:type="dcterms:W3CDTF">2020-04-22T22:43:00Z</dcterms:created>
  <dcterms:modified xsi:type="dcterms:W3CDTF">2020-04-22T22:43:00Z</dcterms:modified>
</cp:coreProperties>
</file>