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D2104" w14:textId="77777777" w:rsidR="00F37D41" w:rsidRPr="00782BF1" w:rsidRDefault="00F37D41" w:rsidP="00F37D41">
      <w:pPr>
        <w:tabs>
          <w:tab w:val="left" w:pos="8640"/>
        </w:tabs>
        <w:jc w:val="center"/>
        <w:rPr>
          <w:b/>
          <w:i/>
        </w:rPr>
      </w:pPr>
      <w:r w:rsidRPr="00782BF1">
        <w:rPr>
          <w:b/>
          <w:i/>
        </w:rPr>
        <w:t>MINI-GRANT PROPOSAL GUIDELINES</w:t>
      </w:r>
      <w:r>
        <w:rPr>
          <w:b/>
          <w:i/>
        </w:rPr>
        <w:t xml:space="preserve"> -</w:t>
      </w:r>
      <w:r w:rsidRPr="00782BF1">
        <w:rPr>
          <w:b/>
          <w:i/>
        </w:rPr>
        <w:t xml:space="preserve"> ONE-TIME REQUEST FOR FUNDS</w:t>
      </w:r>
    </w:p>
    <w:p w14:paraId="76A876E2" w14:textId="77777777" w:rsidR="00F37D41" w:rsidRPr="00FC0FA5" w:rsidRDefault="00F37D41" w:rsidP="00F37D41">
      <w:pPr>
        <w:tabs>
          <w:tab w:val="left" w:pos="8640"/>
        </w:tabs>
        <w:rPr>
          <w:b/>
          <w:sz w:val="16"/>
          <w:szCs w:val="16"/>
        </w:rPr>
      </w:pPr>
    </w:p>
    <w:p w14:paraId="37E5B38A" w14:textId="77777777" w:rsidR="00F37D41" w:rsidRPr="00FC0FA5" w:rsidRDefault="00F37D41" w:rsidP="00F37D41">
      <w:pPr>
        <w:tabs>
          <w:tab w:val="left" w:pos="7200"/>
          <w:tab w:val="left" w:pos="8640"/>
        </w:tabs>
        <w:jc w:val="center"/>
        <w:rPr>
          <w:b/>
          <w:color w:val="003399"/>
          <w:sz w:val="40"/>
          <w:szCs w:val="40"/>
        </w:rPr>
      </w:pPr>
      <w:r w:rsidRPr="00FC0FA5">
        <w:rPr>
          <w:b/>
          <w:color w:val="003399"/>
          <w:sz w:val="40"/>
          <w:szCs w:val="40"/>
        </w:rPr>
        <w:t>Family Strengthening Mini-Grant</w:t>
      </w:r>
    </w:p>
    <w:p w14:paraId="02257D4B" w14:textId="77777777" w:rsidR="00F04546" w:rsidRDefault="00F04546" w:rsidP="00207AC0">
      <w:pPr>
        <w:tabs>
          <w:tab w:val="left" w:pos="9360"/>
        </w:tabs>
      </w:pPr>
    </w:p>
    <w:p w14:paraId="734456A6" w14:textId="5BACFD89" w:rsidR="00F37D41" w:rsidRPr="00FC0FA5" w:rsidRDefault="00F37D41" w:rsidP="00F37D41">
      <w:pPr>
        <w:ind w:left="-180" w:right="-360"/>
        <w:rPr>
          <w:i/>
          <w:sz w:val="22"/>
          <w:szCs w:val="22"/>
        </w:rPr>
      </w:pPr>
      <w:r w:rsidRPr="00FC0FA5">
        <w:rPr>
          <w:i/>
          <w:sz w:val="22"/>
          <w:szCs w:val="22"/>
        </w:rPr>
        <w:t xml:space="preserve">We are excited to announce that funding is available for </w:t>
      </w:r>
      <w:r w:rsidRPr="00FC0FA5">
        <w:rPr>
          <w:b/>
          <w:i/>
          <w:sz w:val="22"/>
          <w:szCs w:val="22"/>
        </w:rPr>
        <w:t>Family Strengthening</w:t>
      </w:r>
      <w:r w:rsidRPr="00FC0FA5">
        <w:rPr>
          <w:i/>
          <w:sz w:val="22"/>
          <w:szCs w:val="22"/>
        </w:rPr>
        <w:t xml:space="preserve"> mini-grant proposals for the 201</w:t>
      </w:r>
      <w:r w:rsidR="007359DF">
        <w:rPr>
          <w:i/>
          <w:sz w:val="22"/>
          <w:szCs w:val="22"/>
        </w:rPr>
        <w:t>9</w:t>
      </w:r>
      <w:r w:rsidRPr="00FC0FA5">
        <w:rPr>
          <w:i/>
          <w:sz w:val="22"/>
          <w:szCs w:val="22"/>
        </w:rPr>
        <w:t>-</w:t>
      </w:r>
      <w:r w:rsidR="007359DF">
        <w:rPr>
          <w:i/>
          <w:sz w:val="22"/>
          <w:szCs w:val="22"/>
        </w:rPr>
        <w:t>20</w:t>
      </w:r>
      <w:r w:rsidRPr="00FC0FA5">
        <w:rPr>
          <w:i/>
          <w:sz w:val="22"/>
          <w:szCs w:val="22"/>
        </w:rPr>
        <w:t xml:space="preserve"> fiscal year. Mini-grants will be awarded up to $2,000. Funding is provided by the Amador Child Abuse Prevention Council (ACAPC</w:t>
      </w:r>
      <w:r w:rsidR="00EE2A84">
        <w:rPr>
          <w:i/>
          <w:sz w:val="22"/>
          <w:szCs w:val="22"/>
        </w:rPr>
        <w:t>)</w:t>
      </w:r>
      <w:r w:rsidRPr="00FC0FA5">
        <w:rPr>
          <w:i/>
          <w:sz w:val="22"/>
          <w:szCs w:val="22"/>
        </w:rPr>
        <w:t>.</w:t>
      </w:r>
    </w:p>
    <w:p w14:paraId="1FBD0530" w14:textId="77777777" w:rsidR="00F37D41" w:rsidRPr="00FC0FA5" w:rsidRDefault="00F37D41" w:rsidP="00F37D41">
      <w:pPr>
        <w:rPr>
          <w:sz w:val="16"/>
          <w:szCs w:val="16"/>
        </w:rPr>
      </w:pPr>
    </w:p>
    <w:p w14:paraId="317CB59D" w14:textId="77777777" w:rsidR="00F37D41" w:rsidRDefault="00F37D41" w:rsidP="00F37D41">
      <w:pPr>
        <w:rPr>
          <w:sz w:val="22"/>
          <w:szCs w:val="22"/>
        </w:rPr>
      </w:pPr>
      <w:r>
        <w:rPr>
          <w:sz w:val="22"/>
          <w:szCs w:val="22"/>
        </w:rPr>
        <w:t xml:space="preserve">Grants are available for </w:t>
      </w:r>
      <w:r w:rsidRPr="00722CA2">
        <w:rPr>
          <w:sz w:val="22"/>
          <w:szCs w:val="22"/>
        </w:rPr>
        <w:t xml:space="preserve">qualified organizations and agencies to provide </w:t>
      </w:r>
      <w:r>
        <w:rPr>
          <w:sz w:val="22"/>
          <w:szCs w:val="22"/>
        </w:rPr>
        <w:t xml:space="preserve">Family Strengthening </w:t>
      </w:r>
      <w:r w:rsidRPr="00722CA2">
        <w:rPr>
          <w:sz w:val="22"/>
          <w:szCs w:val="22"/>
        </w:rPr>
        <w:t>programs within the County of Amador</w:t>
      </w:r>
      <w:r>
        <w:rPr>
          <w:sz w:val="22"/>
          <w:szCs w:val="22"/>
        </w:rPr>
        <w:t xml:space="preserve">. </w:t>
      </w:r>
    </w:p>
    <w:p w14:paraId="18502433" w14:textId="77777777" w:rsidR="00F37D41" w:rsidRPr="00782BF1" w:rsidRDefault="00F37D41" w:rsidP="00F37D41">
      <w:pPr>
        <w:rPr>
          <w:sz w:val="12"/>
          <w:szCs w:val="12"/>
        </w:rPr>
      </w:pPr>
    </w:p>
    <w:p w14:paraId="55897C09" w14:textId="77777777" w:rsidR="00F37D41" w:rsidRPr="00764AF3" w:rsidRDefault="00F37D41" w:rsidP="00F37D41">
      <w:pPr>
        <w:ind w:left="720"/>
        <w:rPr>
          <w:sz w:val="20"/>
          <w:szCs w:val="20"/>
        </w:rPr>
      </w:pPr>
      <w:r w:rsidRPr="00764AF3">
        <w:rPr>
          <w:b/>
          <w:sz w:val="20"/>
          <w:szCs w:val="20"/>
        </w:rPr>
        <w:t>Family Strengthening</w:t>
      </w:r>
      <w:r w:rsidRPr="00764AF3">
        <w:rPr>
          <w:sz w:val="20"/>
          <w:szCs w:val="20"/>
        </w:rPr>
        <w:t xml:space="preserve"> is the premise that children do well when families do well, and that families do well when they live in supportive communities. Enhancing connections within families, and between families, and the institutions that affect them, result in better outcomes for children and their families. </w:t>
      </w:r>
    </w:p>
    <w:p w14:paraId="1668585D" w14:textId="77777777" w:rsidR="00F37D41" w:rsidRPr="00782BF1" w:rsidRDefault="00F37D41" w:rsidP="00F37D41">
      <w:pPr>
        <w:rPr>
          <w:sz w:val="20"/>
          <w:szCs w:val="20"/>
        </w:rPr>
      </w:pPr>
    </w:p>
    <w:p w14:paraId="3C129B43" w14:textId="77777777" w:rsidR="00F37D41" w:rsidRPr="00722CA2" w:rsidRDefault="00F37D41" w:rsidP="00F37D41">
      <w:pPr>
        <w:rPr>
          <w:sz w:val="22"/>
          <w:szCs w:val="22"/>
        </w:rPr>
      </w:pPr>
      <w:r w:rsidRPr="00764AF3">
        <w:rPr>
          <w:sz w:val="22"/>
          <w:szCs w:val="22"/>
        </w:rPr>
        <w:t>The Child Abuse Prevention Council – a collaboration of county organizations, agencies, and</w:t>
      </w:r>
      <w:r w:rsidRPr="00722CA2">
        <w:rPr>
          <w:sz w:val="22"/>
          <w:szCs w:val="22"/>
        </w:rPr>
        <w:t xml:space="preserve"> community members – ha</w:t>
      </w:r>
      <w:r>
        <w:rPr>
          <w:sz w:val="22"/>
          <w:szCs w:val="22"/>
        </w:rPr>
        <w:t>s</w:t>
      </w:r>
      <w:r w:rsidRPr="00722CA2">
        <w:rPr>
          <w:sz w:val="22"/>
          <w:szCs w:val="22"/>
        </w:rPr>
        <w:t xml:space="preserve"> found that the unmet needs in the area of </w:t>
      </w:r>
      <w:r>
        <w:rPr>
          <w:sz w:val="22"/>
          <w:szCs w:val="22"/>
        </w:rPr>
        <w:t>family strengthening</w:t>
      </w:r>
      <w:r w:rsidRPr="00722CA2">
        <w:rPr>
          <w:sz w:val="22"/>
          <w:szCs w:val="22"/>
        </w:rPr>
        <w:t xml:space="preserve"> include the following focus areas: </w:t>
      </w:r>
    </w:p>
    <w:p w14:paraId="30DB2B03" w14:textId="77777777" w:rsidR="00F37D41" w:rsidRPr="00782BF1" w:rsidRDefault="00F37D41" w:rsidP="00F37D41">
      <w:pPr>
        <w:rPr>
          <w:sz w:val="12"/>
          <w:szCs w:val="12"/>
        </w:rPr>
      </w:pPr>
    </w:p>
    <w:p w14:paraId="630DEB7A" w14:textId="77777777" w:rsidR="00F37D41" w:rsidRPr="00722CA2" w:rsidRDefault="00F37D41" w:rsidP="00F37D41">
      <w:pPr>
        <w:numPr>
          <w:ilvl w:val="0"/>
          <w:numId w:val="1"/>
        </w:numPr>
        <w:rPr>
          <w:sz w:val="20"/>
          <w:szCs w:val="20"/>
        </w:rPr>
      </w:pPr>
      <w:r w:rsidRPr="00722CA2">
        <w:rPr>
          <w:sz w:val="20"/>
          <w:szCs w:val="20"/>
        </w:rPr>
        <w:t>Drug &amp; Alcohol/Substance Abuse Treatment/Prevention</w:t>
      </w:r>
    </w:p>
    <w:p w14:paraId="280F9BE9" w14:textId="77777777" w:rsidR="00F37D41" w:rsidRPr="00722CA2" w:rsidRDefault="00F37D41" w:rsidP="00F37D41">
      <w:pPr>
        <w:numPr>
          <w:ilvl w:val="0"/>
          <w:numId w:val="1"/>
        </w:numPr>
        <w:rPr>
          <w:sz w:val="20"/>
          <w:szCs w:val="20"/>
        </w:rPr>
      </w:pPr>
      <w:r w:rsidRPr="00722CA2">
        <w:rPr>
          <w:sz w:val="20"/>
          <w:szCs w:val="20"/>
        </w:rPr>
        <w:t>Parent Education/Parent Support</w:t>
      </w:r>
    </w:p>
    <w:p w14:paraId="79DD0565" w14:textId="77777777" w:rsidR="00F37D41" w:rsidRPr="00722CA2" w:rsidRDefault="00F37D41" w:rsidP="00F37D41">
      <w:pPr>
        <w:numPr>
          <w:ilvl w:val="0"/>
          <w:numId w:val="1"/>
        </w:numPr>
        <w:rPr>
          <w:sz w:val="20"/>
          <w:szCs w:val="20"/>
        </w:rPr>
      </w:pPr>
      <w:r w:rsidRPr="00722CA2">
        <w:rPr>
          <w:sz w:val="20"/>
          <w:szCs w:val="20"/>
        </w:rPr>
        <w:t>Promoting Mental Wellness /Trauma Informed Care</w:t>
      </w:r>
    </w:p>
    <w:p w14:paraId="2F24E609" w14:textId="77777777" w:rsidR="00F37D41" w:rsidRPr="00722CA2" w:rsidRDefault="00F37D41" w:rsidP="00F37D41">
      <w:pPr>
        <w:numPr>
          <w:ilvl w:val="0"/>
          <w:numId w:val="1"/>
        </w:numPr>
        <w:rPr>
          <w:sz w:val="20"/>
          <w:szCs w:val="20"/>
        </w:rPr>
      </w:pPr>
      <w:r w:rsidRPr="00722CA2">
        <w:rPr>
          <w:sz w:val="20"/>
          <w:szCs w:val="20"/>
        </w:rPr>
        <w:t>Developmentally Appropriate Behavior/Developmental Milestones Education</w:t>
      </w:r>
    </w:p>
    <w:p w14:paraId="3599A1F0" w14:textId="77777777" w:rsidR="00F37D41" w:rsidRPr="00722CA2" w:rsidRDefault="00F37D41" w:rsidP="00F37D41">
      <w:pPr>
        <w:numPr>
          <w:ilvl w:val="0"/>
          <w:numId w:val="1"/>
        </w:numPr>
        <w:rPr>
          <w:sz w:val="20"/>
          <w:szCs w:val="20"/>
        </w:rPr>
      </w:pPr>
      <w:r w:rsidRPr="00722CA2">
        <w:rPr>
          <w:sz w:val="20"/>
          <w:szCs w:val="20"/>
        </w:rPr>
        <w:t>Neglect/Distracted Parenting and Child Safety</w:t>
      </w:r>
    </w:p>
    <w:p w14:paraId="61E656A4" w14:textId="77777777" w:rsidR="00F37D41" w:rsidRPr="00722CA2" w:rsidRDefault="00F37D41" w:rsidP="00F37D41">
      <w:pPr>
        <w:rPr>
          <w:sz w:val="22"/>
          <w:szCs w:val="22"/>
        </w:rPr>
      </w:pPr>
    </w:p>
    <w:p w14:paraId="5C96C557" w14:textId="77777777" w:rsidR="00F37D41" w:rsidRPr="00722CA2" w:rsidRDefault="00F37D41" w:rsidP="00F37D41">
      <w:pPr>
        <w:rPr>
          <w:sz w:val="22"/>
          <w:szCs w:val="22"/>
        </w:rPr>
      </w:pPr>
      <w:r w:rsidRPr="00722CA2">
        <w:rPr>
          <w:sz w:val="22"/>
          <w:szCs w:val="22"/>
        </w:rPr>
        <w:t>Mini-Grant applications may be submitted to ACAPC at any time throughout the 201</w:t>
      </w:r>
      <w:r>
        <w:rPr>
          <w:sz w:val="22"/>
          <w:szCs w:val="22"/>
        </w:rPr>
        <w:t>7</w:t>
      </w:r>
      <w:r w:rsidRPr="00722CA2">
        <w:rPr>
          <w:sz w:val="22"/>
          <w:szCs w:val="22"/>
        </w:rPr>
        <w:t>-1</w:t>
      </w:r>
      <w:r>
        <w:rPr>
          <w:sz w:val="22"/>
          <w:szCs w:val="22"/>
        </w:rPr>
        <w:t>8</w:t>
      </w:r>
      <w:r w:rsidRPr="00722CA2">
        <w:rPr>
          <w:sz w:val="22"/>
          <w:szCs w:val="22"/>
        </w:rPr>
        <w:t xml:space="preserve"> fiscal year, however grant reviews and awards will occur bi-monthly</w:t>
      </w:r>
      <w:r>
        <w:rPr>
          <w:sz w:val="22"/>
          <w:szCs w:val="22"/>
        </w:rPr>
        <w:t>, suggested application deadline dates are as follows</w:t>
      </w:r>
      <w:r w:rsidRPr="00722CA2">
        <w:rPr>
          <w:sz w:val="22"/>
          <w:szCs w:val="22"/>
        </w:rPr>
        <w:t>:</w:t>
      </w:r>
    </w:p>
    <w:p w14:paraId="1F1D8CCC" w14:textId="77777777" w:rsidR="00F37D41" w:rsidRPr="00782BF1" w:rsidRDefault="00F37D41" w:rsidP="00F37D41">
      <w:pPr>
        <w:rPr>
          <w:sz w:val="12"/>
          <w:szCs w:val="12"/>
        </w:rPr>
      </w:pPr>
    </w:p>
    <w:p w14:paraId="4BAF410E" w14:textId="04EDDC06" w:rsidR="00F37D41" w:rsidRPr="003D0A87" w:rsidRDefault="003D0A87" w:rsidP="00F37D41">
      <w:pPr>
        <w:ind w:left="1440"/>
        <w:rPr>
          <w:b/>
          <w:color w:val="404040" w:themeColor="text1" w:themeTint="BF"/>
          <w:sz w:val="20"/>
          <w:szCs w:val="20"/>
        </w:rPr>
      </w:pPr>
      <w:r>
        <w:rPr>
          <w:b/>
          <w:color w:val="404040" w:themeColor="text1" w:themeTint="BF"/>
          <w:sz w:val="20"/>
          <w:szCs w:val="20"/>
        </w:rPr>
        <w:t>Fri</w:t>
      </w:r>
      <w:r w:rsidR="00F37D41" w:rsidRPr="003D0A87">
        <w:rPr>
          <w:b/>
          <w:color w:val="404040" w:themeColor="text1" w:themeTint="BF"/>
          <w:sz w:val="20"/>
          <w:szCs w:val="20"/>
        </w:rPr>
        <w:t>day, August 3</w:t>
      </w:r>
      <w:r w:rsidR="007359DF">
        <w:rPr>
          <w:b/>
          <w:color w:val="404040" w:themeColor="text1" w:themeTint="BF"/>
          <w:sz w:val="20"/>
          <w:szCs w:val="20"/>
        </w:rPr>
        <w:t>0</w:t>
      </w:r>
      <w:r w:rsidR="00F37D41" w:rsidRPr="003D0A87">
        <w:rPr>
          <w:b/>
          <w:color w:val="404040" w:themeColor="text1" w:themeTint="BF"/>
          <w:sz w:val="20"/>
          <w:szCs w:val="20"/>
        </w:rPr>
        <w:t>, 201</w:t>
      </w:r>
      <w:r w:rsidR="007359DF">
        <w:rPr>
          <w:b/>
          <w:color w:val="404040" w:themeColor="text1" w:themeTint="BF"/>
          <w:sz w:val="20"/>
          <w:szCs w:val="20"/>
        </w:rPr>
        <w:t>9</w:t>
      </w:r>
      <w:r w:rsidR="00F37D41" w:rsidRPr="003D0A87">
        <w:rPr>
          <w:b/>
          <w:color w:val="404040" w:themeColor="text1" w:themeTint="BF"/>
          <w:sz w:val="20"/>
          <w:szCs w:val="20"/>
        </w:rPr>
        <w:t xml:space="preserve"> – 5:00pm</w:t>
      </w:r>
    </w:p>
    <w:p w14:paraId="1D5F92D9" w14:textId="479E6834" w:rsidR="00F37D41" w:rsidRPr="003D0A87" w:rsidRDefault="007359DF" w:rsidP="00F37D41">
      <w:pPr>
        <w:ind w:left="1440"/>
        <w:rPr>
          <w:b/>
          <w:color w:val="404040" w:themeColor="text1" w:themeTint="BF"/>
          <w:sz w:val="20"/>
          <w:szCs w:val="20"/>
        </w:rPr>
      </w:pPr>
      <w:r>
        <w:rPr>
          <w:b/>
          <w:color w:val="404040" w:themeColor="text1" w:themeTint="BF"/>
          <w:sz w:val="20"/>
          <w:szCs w:val="20"/>
        </w:rPr>
        <w:t>Thurs</w:t>
      </w:r>
      <w:r w:rsidR="003D0A87">
        <w:rPr>
          <w:b/>
          <w:color w:val="404040" w:themeColor="text1" w:themeTint="BF"/>
          <w:sz w:val="20"/>
          <w:szCs w:val="20"/>
        </w:rPr>
        <w:t>day</w:t>
      </w:r>
      <w:r w:rsidR="00F37D41" w:rsidRPr="003D0A87">
        <w:rPr>
          <w:b/>
          <w:color w:val="404040" w:themeColor="text1" w:themeTint="BF"/>
          <w:sz w:val="20"/>
          <w:szCs w:val="20"/>
        </w:rPr>
        <w:t>, October 31, 201</w:t>
      </w:r>
      <w:r>
        <w:rPr>
          <w:b/>
          <w:color w:val="404040" w:themeColor="text1" w:themeTint="BF"/>
          <w:sz w:val="20"/>
          <w:szCs w:val="20"/>
        </w:rPr>
        <w:t>9</w:t>
      </w:r>
      <w:r w:rsidR="00F37D41" w:rsidRPr="003D0A87">
        <w:rPr>
          <w:b/>
          <w:color w:val="404040" w:themeColor="text1" w:themeTint="BF"/>
          <w:sz w:val="20"/>
          <w:szCs w:val="20"/>
        </w:rPr>
        <w:t xml:space="preserve"> – 5:00pm</w:t>
      </w:r>
    </w:p>
    <w:p w14:paraId="769163B9" w14:textId="796CEBC9" w:rsidR="00F37D41" w:rsidRPr="003D0A87" w:rsidRDefault="002840A9" w:rsidP="00F37D41">
      <w:pPr>
        <w:ind w:left="1440"/>
        <w:rPr>
          <w:b/>
          <w:sz w:val="20"/>
          <w:szCs w:val="20"/>
        </w:rPr>
      </w:pPr>
      <w:r>
        <w:rPr>
          <w:b/>
          <w:sz w:val="20"/>
          <w:szCs w:val="20"/>
        </w:rPr>
        <w:t>Tues</w:t>
      </w:r>
      <w:r w:rsidR="00F37D41" w:rsidRPr="003D0A87">
        <w:rPr>
          <w:b/>
          <w:sz w:val="20"/>
          <w:szCs w:val="20"/>
        </w:rPr>
        <w:t xml:space="preserve">day, December </w:t>
      </w:r>
      <w:r w:rsidR="003D0A87">
        <w:rPr>
          <w:b/>
          <w:sz w:val="20"/>
          <w:szCs w:val="20"/>
        </w:rPr>
        <w:t>31</w:t>
      </w:r>
      <w:r w:rsidR="00F37D41" w:rsidRPr="003D0A87">
        <w:rPr>
          <w:b/>
          <w:sz w:val="20"/>
          <w:szCs w:val="20"/>
        </w:rPr>
        <w:t>, 201</w:t>
      </w:r>
      <w:r>
        <w:rPr>
          <w:b/>
          <w:sz w:val="20"/>
          <w:szCs w:val="20"/>
        </w:rPr>
        <w:t>9</w:t>
      </w:r>
      <w:r w:rsidR="00F37D41" w:rsidRPr="003D0A87">
        <w:rPr>
          <w:b/>
          <w:sz w:val="20"/>
          <w:szCs w:val="20"/>
        </w:rPr>
        <w:t xml:space="preserve"> – 5:00pm</w:t>
      </w:r>
    </w:p>
    <w:p w14:paraId="42ABA8B1" w14:textId="0D9BB18F" w:rsidR="00F37D41" w:rsidRPr="003D0A87" w:rsidRDefault="00573BF6" w:rsidP="00F37D41">
      <w:pPr>
        <w:ind w:left="1440"/>
        <w:rPr>
          <w:b/>
          <w:sz w:val="20"/>
          <w:szCs w:val="20"/>
        </w:rPr>
      </w:pPr>
      <w:r>
        <w:rPr>
          <w:b/>
          <w:sz w:val="20"/>
          <w:szCs w:val="20"/>
        </w:rPr>
        <w:t>Fri</w:t>
      </w:r>
      <w:r w:rsidR="00F37D41" w:rsidRPr="003D0A87">
        <w:rPr>
          <w:b/>
          <w:sz w:val="20"/>
          <w:szCs w:val="20"/>
        </w:rPr>
        <w:t>day, February 28, 20</w:t>
      </w:r>
      <w:r>
        <w:rPr>
          <w:b/>
          <w:sz w:val="20"/>
          <w:szCs w:val="20"/>
        </w:rPr>
        <w:t>20</w:t>
      </w:r>
      <w:r w:rsidR="00F37D41" w:rsidRPr="003D0A87">
        <w:rPr>
          <w:b/>
          <w:sz w:val="20"/>
          <w:szCs w:val="20"/>
        </w:rPr>
        <w:t xml:space="preserve"> – 5:00pm</w:t>
      </w:r>
    </w:p>
    <w:p w14:paraId="4E736B23" w14:textId="3BACCFEC" w:rsidR="00F37D41" w:rsidRPr="00764AF3" w:rsidRDefault="003D0A87" w:rsidP="00F37D41">
      <w:pPr>
        <w:ind w:left="1440"/>
        <w:rPr>
          <w:b/>
          <w:sz w:val="20"/>
          <w:szCs w:val="20"/>
        </w:rPr>
      </w:pPr>
      <w:r>
        <w:rPr>
          <w:b/>
          <w:sz w:val="20"/>
          <w:szCs w:val="20"/>
        </w:rPr>
        <w:t>T</w:t>
      </w:r>
      <w:r w:rsidR="00573BF6">
        <w:rPr>
          <w:b/>
          <w:sz w:val="20"/>
          <w:szCs w:val="20"/>
        </w:rPr>
        <w:t>hur</w:t>
      </w:r>
      <w:r>
        <w:rPr>
          <w:b/>
          <w:sz w:val="20"/>
          <w:szCs w:val="20"/>
        </w:rPr>
        <w:t>s</w:t>
      </w:r>
      <w:r w:rsidR="00F37D41" w:rsidRPr="003D0A87">
        <w:rPr>
          <w:b/>
          <w:sz w:val="20"/>
          <w:szCs w:val="20"/>
        </w:rPr>
        <w:t>day, April 30, 20</w:t>
      </w:r>
      <w:r w:rsidR="00573BF6">
        <w:rPr>
          <w:b/>
          <w:sz w:val="20"/>
          <w:szCs w:val="20"/>
        </w:rPr>
        <w:t>20</w:t>
      </w:r>
      <w:bookmarkStart w:id="0" w:name="_GoBack"/>
      <w:bookmarkEnd w:id="0"/>
      <w:r w:rsidR="00F37D41" w:rsidRPr="003D0A87">
        <w:rPr>
          <w:b/>
          <w:sz w:val="20"/>
          <w:szCs w:val="20"/>
        </w:rPr>
        <w:t xml:space="preserve"> – 5:00pm</w:t>
      </w:r>
    </w:p>
    <w:p w14:paraId="3CE1F994" w14:textId="77777777" w:rsidR="00F04546" w:rsidRPr="00207AC0" w:rsidRDefault="00F04546" w:rsidP="00207AC0">
      <w:pPr>
        <w:tabs>
          <w:tab w:val="left" w:pos="9360"/>
        </w:tabs>
        <w:rPr>
          <w:sz w:val="22"/>
          <w:szCs w:val="22"/>
        </w:rPr>
      </w:pPr>
    </w:p>
    <w:p w14:paraId="443070C4" w14:textId="77777777" w:rsidR="00FC0FA5" w:rsidRPr="00722CA2" w:rsidRDefault="00FC0FA5" w:rsidP="00FC0FA5">
      <w:pPr>
        <w:rPr>
          <w:sz w:val="22"/>
          <w:szCs w:val="22"/>
        </w:rPr>
      </w:pPr>
      <w:r w:rsidRPr="00722CA2">
        <w:rPr>
          <w:sz w:val="22"/>
          <w:szCs w:val="22"/>
        </w:rPr>
        <w:t>Review: Grant applications will be reviewed and applicants notified within one month of the above submission dates. Funds will be awarded to successful applicants within two months of the above dates. Grants will be awarded until annual funds are no longer available.  Projects eligible for funding include schools, parent groups, non-profit agencies, and community organizations. The council will review proposals and determine if the project will be funded based on funds available, need for the project, level of community support, and viability of the project’s implementation with the requested funds.</w:t>
      </w:r>
      <w:r>
        <w:rPr>
          <w:sz w:val="22"/>
          <w:szCs w:val="22"/>
        </w:rPr>
        <w:t xml:space="preserve"> A maximum of two applications per organization per year will be considered.</w:t>
      </w:r>
    </w:p>
    <w:p w14:paraId="1162EC6B" w14:textId="77777777" w:rsidR="00FC0FA5" w:rsidRPr="00782BF1" w:rsidRDefault="00FC0FA5" w:rsidP="00FC0FA5">
      <w:pPr>
        <w:ind w:right="1440"/>
        <w:rPr>
          <w:sz w:val="20"/>
          <w:szCs w:val="20"/>
        </w:rPr>
      </w:pPr>
    </w:p>
    <w:p w14:paraId="1B1476DA" w14:textId="77777777" w:rsidR="00FC0FA5" w:rsidRPr="00722CA2" w:rsidRDefault="00FC0FA5" w:rsidP="00FC0FA5">
      <w:pPr>
        <w:ind w:right="1440"/>
        <w:rPr>
          <w:sz w:val="22"/>
          <w:szCs w:val="22"/>
        </w:rPr>
      </w:pPr>
      <w:r w:rsidRPr="00722CA2">
        <w:rPr>
          <w:sz w:val="22"/>
          <w:szCs w:val="22"/>
        </w:rPr>
        <w:t>Grant recipients will provide</w:t>
      </w:r>
      <w:r>
        <w:rPr>
          <w:sz w:val="22"/>
          <w:szCs w:val="22"/>
        </w:rPr>
        <w:t xml:space="preserve"> a final</w:t>
      </w:r>
      <w:r w:rsidRPr="00722CA2">
        <w:rPr>
          <w:sz w:val="22"/>
          <w:szCs w:val="22"/>
        </w:rPr>
        <w:t xml:space="preserve"> report due </w:t>
      </w:r>
      <w:r>
        <w:rPr>
          <w:sz w:val="22"/>
          <w:szCs w:val="22"/>
        </w:rPr>
        <w:t xml:space="preserve">within </w:t>
      </w:r>
      <w:r w:rsidRPr="00722CA2">
        <w:rPr>
          <w:sz w:val="22"/>
          <w:szCs w:val="22"/>
        </w:rPr>
        <w:t xml:space="preserve">thirty days after </w:t>
      </w:r>
      <w:r>
        <w:rPr>
          <w:sz w:val="22"/>
          <w:szCs w:val="22"/>
        </w:rPr>
        <w:t>the contract ending date:</w:t>
      </w:r>
    </w:p>
    <w:p w14:paraId="7B204296" w14:textId="77777777" w:rsidR="00FC0FA5" w:rsidRDefault="00FC0FA5" w:rsidP="00FC0FA5">
      <w:pPr>
        <w:numPr>
          <w:ilvl w:val="1"/>
          <w:numId w:val="2"/>
        </w:numPr>
        <w:rPr>
          <w:sz w:val="22"/>
          <w:szCs w:val="22"/>
        </w:rPr>
      </w:pPr>
      <w:r>
        <w:rPr>
          <w:sz w:val="22"/>
          <w:szCs w:val="22"/>
        </w:rPr>
        <w:t>W</w:t>
      </w:r>
      <w:r w:rsidRPr="00722CA2">
        <w:rPr>
          <w:sz w:val="22"/>
          <w:szCs w:val="22"/>
        </w:rPr>
        <w:t>ritten program summary of key accomplishments</w:t>
      </w:r>
    </w:p>
    <w:p w14:paraId="1FA779F1" w14:textId="77777777" w:rsidR="00FC0FA5" w:rsidRDefault="00FC0FA5" w:rsidP="00FC0FA5">
      <w:pPr>
        <w:numPr>
          <w:ilvl w:val="1"/>
          <w:numId w:val="2"/>
        </w:numPr>
        <w:rPr>
          <w:sz w:val="22"/>
          <w:szCs w:val="22"/>
        </w:rPr>
      </w:pPr>
      <w:r>
        <w:rPr>
          <w:sz w:val="22"/>
          <w:szCs w:val="22"/>
        </w:rPr>
        <w:t>Number of families/individuals served as appropriate</w:t>
      </w:r>
    </w:p>
    <w:p w14:paraId="76FDD95B" w14:textId="77777777" w:rsidR="00FC0FA5" w:rsidRDefault="00FC0FA5" w:rsidP="00FC0FA5">
      <w:pPr>
        <w:numPr>
          <w:ilvl w:val="1"/>
          <w:numId w:val="2"/>
        </w:numPr>
        <w:rPr>
          <w:sz w:val="22"/>
          <w:szCs w:val="22"/>
        </w:rPr>
      </w:pPr>
      <w:r>
        <w:rPr>
          <w:sz w:val="22"/>
          <w:szCs w:val="22"/>
        </w:rPr>
        <w:t>S</w:t>
      </w:r>
      <w:r w:rsidRPr="00722CA2">
        <w:rPr>
          <w:sz w:val="22"/>
          <w:szCs w:val="22"/>
        </w:rPr>
        <w:t>taff responsible for implementing the program</w:t>
      </w:r>
    </w:p>
    <w:p w14:paraId="03886ADA" w14:textId="77777777" w:rsidR="00FC0FA5" w:rsidRDefault="00FC0FA5" w:rsidP="00FC0FA5">
      <w:pPr>
        <w:numPr>
          <w:ilvl w:val="1"/>
          <w:numId w:val="2"/>
        </w:numPr>
        <w:rPr>
          <w:sz w:val="22"/>
          <w:szCs w:val="22"/>
        </w:rPr>
      </w:pPr>
      <w:r>
        <w:rPr>
          <w:sz w:val="22"/>
          <w:szCs w:val="22"/>
        </w:rPr>
        <w:t>Evaluation of program outcomes</w:t>
      </w:r>
    </w:p>
    <w:p w14:paraId="2377EB2A" w14:textId="77777777" w:rsidR="00FC0FA5" w:rsidRDefault="00FC0FA5" w:rsidP="00FC0FA5">
      <w:pPr>
        <w:numPr>
          <w:ilvl w:val="1"/>
          <w:numId w:val="2"/>
        </w:numPr>
        <w:rPr>
          <w:sz w:val="22"/>
          <w:szCs w:val="22"/>
        </w:rPr>
      </w:pPr>
      <w:r>
        <w:rPr>
          <w:sz w:val="22"/>
          <w:szCs w:val="22"/>
        </w:rPr>
        <w:t>I</w:t>
      </w:r>
      <w:r w:rsidRPr="00722CA2">
        <w:rPr>
          <w:sz w:val="22"/>
          <w:szCs w:val="22"/>
        </w:rPr>
        <w:t>temized expense statement</w:t>
      </w:r>
    </w:p>
    <w:p w14:paraId="4A85660D" w14:textId="77777777" w:rsidR="004C3024" w:rsidRPr="00207AC0" w:rsidRDefault="004C3024" w:rsidP="00207AC0">
      <w:pPr>
        <w:tabs>
          <w:tab w:val="left" w:pos="9360"/>
        </w:tabs>
        <w:rPr>
          <w:sz w:val="22"/>
          <w:szCs w:val="22"/>
        </w:rPr>
      </w:pPr>
    </w:p>
    <w:p w14:paraId="7AA8D89C" w14:textId="77777777" w:rsidR="00207AC0" w:rsidRPr="00207AC0" w:rsidRDefault="00207AC0" w:rsidP="00207AC0">
      <w:pPr>
        <w:rPr>
          <w:sz w:val="22"/>
          <w:szCs w:val="22"/>
        </w:rPr>
      </w:pPr>
      <w:r>
        <w:rPr>
          <w:sz w:val="22"/>
          <w:szCs w:val="22"/>
        </w:rPr>
        <w:t xml:space="preserve">For an application form please visit </w:t>
      </w:r>
      <w:hyperlink r:id="rId5" w:history="1">
        <w:r w:rsidRPr="00856B2F">
          <w:rPr>
            <w:rStyle w:val="Hyperlink"/>
            <w:sz w:val="22"/>
            <w:szCs w:val="22"/>
          </w:rPr>
          <w:t>www.amadorcapc.org</w:t>
        </w:r>
      </w:hyperlink>
      <w:r>
        <w:rPr>
          <w:sz w:val="22"/>
          <w:szCs w:val="22"/>
        </w:rPr>
        <w:t xml:space="preserve">, or contact Amador Child Abuse Prevention Council at </w:t>
      </w:r>
      <w:r w:rsidRPr="00207AC0">
        <w:rPr>
          <w:sz w:val="22"/>
          <w:szCs w:val="22"/>
        </w:rPr>
        <w:t>209-223-5921</w:t>
      </w:r>
      <w:r>
        <w:rPr>
          <w:sz w:val="22"/>
          <w:szCs w:val="22"/>
        </w:rPr>
        <w:t xml:space="preserve">, or by email at </w:t>
      </w:r>
      <w:hyperlink r:id="rId6" w:history="1">
        <w:r w:rsidRPr="00207AC0">
          <w:rPr>
            <w:rStyle w:val="Hyperlink"/>
            <w:sz w:val="22"/>
            <w:szCs w:val="22"/>
          </w:rPr>
          <w:t>info@amadorcapc.org</w:t>
        </w:r>
      </w:hyperlink>
      <w:r>
        <w:rPr>
          <w:sz w:val="22"/>
          <w:szCs w:val="22"/>
        </w:rPr>
        <w:t>.</w:t>
      </w:r>
    </w:p>
    <w:sectPr w:rsidR="00207AC0" w:rsidRPr="00207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54D4"/>
    <w:multiLevelType w:val="hybridMultilevel"/>
    <w:tmpl w:val="33580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60085"/>
    <w:multiLevelType w:val="hybridMultilevel"/>
    <w:tmpl w:val="26D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46"/>
    <w:rsid w:val="00005980"/>
    <w:rsid w:val="001369F9"/>
    <w:rsid w:val="00207AC0"/>
    <w:rsid w:val="002840A9"/>
    <w:rsid w:val="003D0A87"/>
    <w:rsid w:val="004C3024"/>
    <w:rsid w:val="00534BFC"/>
    <w:rsid w:val="00573BF6"/>
    <w:rsid w:val="007359DF"/>
    <w:rsid w:val="00A55931"/>
    <w:rsid w:val="00A617F9"/>
    <w:rsid w:val="00A81EDB"/>
    <w:rsid w:val="00B62854"/>
    <w:rsid w:val="00C0062A"/>
    <w:rsid w:val="00EE2A84"/>
    <w:rsid w:val="00F04546"/>
    <w:rsid w:val="00F37D41"/>
    <w:rsid w:val="00FC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B6C7"/>
  <w15:docId w15:val="{7D253A2D-0864-48F3-8CAD-5B68F93A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5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59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980"/>
    <w:pPr>
      <w:spacing w:after="0" w:line="240" w:lineRule="auto"/>
    </w:pPr>
  </w:style>
  <w:style w:type="character" w:customStyle="1" w:styleId="Heading1Char">
    <w:name w:val="Heading 1 Char"/>
    <w:basedOn w:val="DefaultParagraphFont"/>
    <w:link w:val="Heading1"/>
    <w:uiPriority w:val="9"/>
    <w:rsid w:val="00005980"/>
    <w:rPr>
      <w:rFonts w:asciiTheme="majorHAnsi" w:eastAsiaTheme="majorEastAsia" w:hAnsiTheme="majorHAnsi" w:cstheme="majorBidi"/>
      <w:b/>
      <w:bCs/>
      <w:color w:val="365F91" w:themeColor="accent1" w:themeShade="BF"/>
      <w:sz w:val="28"/>
      <w:szCs w:val="28"/>
    </w:rPr>
  </w:style>
  <w:style w:type="character" w:styleId="Hyperlink">
    <w:name w:val="Hyperlink"/>
    <w:rsid w:val="00207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madorcapc.org" TargetMode="External"/><Relationship Id="rId5" Type="http://schemas.openxmlformats.org/officeDocument/2006/relationships/hyperlink" Target="http://www.amadorca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Amador CAPC</dc:creator>
  <cp:lastModifiedBy>Tracy Carlton</cp:lastModifiedBy>
  <cp:revision>4</cp:revision>
  <dcterms:created xsi:type="dcterms:W3CDTF">2019-07-17T15:59:00Z</dcterms:created>
  <dcterms:modified xsi:type="dcterms:W3CDTF">2019-07-17T19:13:00Z</dcterms:modified>
</cp:coreProperties>
</file>