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8E01" w14:textId="77777777" w:rsidR="00B05DD4" w:rsidRPr="007F04D7" w:rsidRDefault="00B05DD4" w:rsidP="00B05DD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zh-CN"/>
          <w14:ligatures w14:val="none"/>
        </w:rPr>
      </w:pPr>
      <w:r w:rsidRPr="007F04D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>TABLE. 1,3-dichloropropene air concentrations are above OEHHA’s 0.04 ppb NSRL for lifetime cancer risk at all 9 air monitor stations that tested for more than 2 years</w:t>
      </w:r>
    </w:p>
    <w:tbl>
      <w:tblPr>
        <w:tblW w:w="10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025"/>
        <w:gridCol w:w="660"/>
        <w:gridCol w:w="660"/>
        <w:gridCol w:w="660"/>
        <w:gridCol w:w="659"/>
        <w:gridCol w:w="659"/>
        <w:gridCol w:w="659"/>
        <w:gridCol w:w="659"/>
        <w:gridCol w:w="659"/>
        <w:gridCol w:w="659"/>
        <w:gridCol w:w="659"/>
        <w:gridCol w:w="659"/>
        <w:gridCol w:w="648"/>
      </w:tblGrid>
      <w:tr w:rsidR="00B05DD4" w:rsidRPr="007F04D7" w14:paraId="1A4FE71F" w14:textId="77777777" w:rsidTr="00426B43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91EF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4"/>
                <w:szCs w:val="24"/>
                <w:lang w:eastAsia="zh-CN"/>
                <w14:ligatures w14:val="none"/>
              </w:rPr>
              <w:t>Site</w:t>
            </w:r>
          </w:p>
          <w:p w14:paraId="056541F0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4"/>
                <w:szCs w:val="2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4BF0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4"/>
                <w:szCs w:val="24"/>
                <w:lang w:eastAsia="zh-CN"/>
                <w14:ligatures w14:val="none"/>
              </w:rPr>
              <w:t>County</w:t>
            </w:r>
          </w:p>
        </w:tc>
        <w:tc>
          <w:tcPr>
            <w:tcW w:w="812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0EF0F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4"/>
                <w:szCs w:val="24"/>
                <w:lang w:eastAsia="zh-CN"/>
                <w14:ligatures w14:val="none"/>
              </w:rPr>
              <w:t>Annual air concentration of 1,3-dichloropropene in parts per billion, reported by DPR</w:t>
            </w:r>
          </w:p>
        </w:tc>
      </w:tr>
      <w:tr w:rsidR="00B05DD4" w:rsidRPr="007F04D7" w14:paraId="682DAE6D" w14:textId="77777777" w:rsidTr="00426B4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24D7B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32A86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0B0F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2011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F0A7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2012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04F8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2013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70D1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2014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FC9C8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2015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CDEE9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2016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8828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2017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3595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2018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860CE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2019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AA36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2020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C9843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2021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01F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zh-CN"/>
                <w14:ligatures w14:val="none"/>
              </w:rPr>
              <w:t>Ave.</w:t>
            </w:r>
          </w:p>
        </w:tc>
      </w:tr>
      <w:tr w:rsidR="00B05DD4" w:rsidRPr="007F04D7" w14:paraId="70D6EB6B" w14:textId="77777777" w:rsidTr="00426B4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6B48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Kearney Ag, Parlier</w:t>
            </w:r>
            <w:hyperlink r:id="rId4" w:anchor="m_8137055066408245637__ftn4" w:tgtFrame="_blank" w:history="1">
              <w:r w:rsidRPr="007F04D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vertAlign w:val="superscript"/>
                  <w:lang w:eastAsia="zh-CN"/>
                  <w14:ligatures w14:val="none"/>
                </w:rPr>
                <w:t>[4]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8146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Fresno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2548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269B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1CE10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4023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5029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1FBE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96C2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0.62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8F68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2.94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573B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0.27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5317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7F54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1.55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C1E3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zh-CN"/>
                <w14:ligatures w14:val="none"/>
              </w:rPr>
              <w:t>1.16</w:t>
            </w:r>
          </w:p>
        </w:tc>
      </w:tr>
      <w:tr w:rsidR="00B05DD4" w:rsidRPr="007F04D7" w14:paraId="1049CA3B" w14:textId="77777777" w:rsidTr="00426B4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4C6E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Shafter High, Sequoia Elem-2/19</w:t>
            </w:r>
            <w:r w:rsidRPr="007F04D7">
              <w:rPr>
                <w:rFonts w:ascii="Calibri" w:eastAsia="Times New Roman" w:hAnsi="Calibri" w:cs="Calibri"/>
                <w:color w:val="auto"/>
                <w:kern w:val="0"/>
                <w:vertAlign w:val="superscript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AC272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Kern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268E2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6291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44EB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0.57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C91C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F390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C495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9032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1C8F8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1.52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7C734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127F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1.8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6EAD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EA2D7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zh-CN"/>
                <w14:ligatures w14:val="none"/>
              </w:rPr>
              <w:t>0.49</w:t>
            </w:r>
          </w:p>
        </w:tc>
      </w:tr>
      <w:tr w:rsidR="00B05DD4" w:rsidRPr="007F04D7" w14:paraId="528B3E67" w14:textId="77777777" w:rsidTr="00426B4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EEC8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Schendel Elementary, Delhi</w:t>
            </w:r>
            <w:r w:rsidRPr="007F04D7">
              <w:rPr>
                <w:rFonts w:ascii="Calibri" w:eastAsia="Times New Roman" w:hAnsi="Calibri" w:cs="Calibri"/>
                <w:color w:val="auto"/>
                <w:kern w:val="0"/>
                <w:vertAlign w:val="superscript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85516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Merced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4EC28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9918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1EA30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1FD51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EA03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49E8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D3ACD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8511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.019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B8AB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2EBF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0.46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118D3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0.68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2336A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zh-CN"/>
                <w14:ligatures w14:val="none"/>
              </w:rPr>
              <w:t>0.32</w:t>
            </w:r>
          </w:p>
        </w:tc>
      </w:tr>
      <w:tr w:rsidR="00B05DD4" w:rsidRPr="007F04D7" w14:paraId="3021A084" w14:textId="77777777" w:rsidTr="00426B4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C78A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Ohlone Elementary-north</w:t>
            </w:r>
            <w:r w:rsidRPr="007F04D7">
              <w:rPr>
                <w:rFonts w:ascii="Calibri" w:eastAsia="Times New Roman" w:hAnsi="Calibri" w:cs="Calibri"/>
                <w:color w:val="auto"/>
                <w:kern w:val="0"/>
                <w:vertAlign w:val="superscript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4D5F9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Monterey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66F5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9301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F6A93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61BF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95C9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F8BE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57C2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72EF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2346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E1636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6F107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8A76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zh-CN"/>
                <w14:ligatures w14:val="none"/>
              </w:rPr>
              <w:t>0.10</w:t>
            </w:r>
          </w:p>
        </w:tc>
      </w:tr>
      <w:tr w:rsidR="00B05DD4" w:rsidRPr="007F04D7" w14:paraId="647533BC" w14:textId="77777777" w:rsidTr="00426B4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7C504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Salinas Airport</w:t>
            </w:r>
            <w:hyperlink r:id="rId5" w:anchor="m_8137055066408245637__ftn5" w:tgtFrame="_blank" w:history="1">
              <w:r w:rsidRPr="007F04D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vertAlign w:val="superscript"/>
                  <w:lang w:eastAsia="zh-CN"/>
                  <w14:ligatures w14:val="none"/>
                </w:rPr>
                <w:t>[5]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DF4DB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Monterey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75D90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1549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65F4D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2C5EB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A403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C030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B4A6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1B85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A7A4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0ED4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A318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C5E1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zh-CN"/>
                <w14:ligatures w14:val="none"/>
              </w:rPr>
              <w:t>0.09</w:t>
            </w:r>
          </w:p>
        </w:tc>
      </w:tr>
      <w:tr w:rsidR="00B05DD4" w:rsidRPr="007F04D7" w14:paraId="06045900" w14:textId="77777777" w:rsidTr="00426B4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9BD1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Chualar</w:t>
            </w:r>
            <w:proofErr w:type="spellEnd"/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-east well</w:t>
            </w:r>
            <w:hyperlink r:id="rId6" w:anchor="m_8137055066408245637__ftn6" w:tgtFrame="_blank" w:history="1">
              <w:r w:rsidRPr="007F04D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vertAlign w:val="superscript"/>
                  <w:lang w:eastAsia="zh-CN"/>
                  <w14:ligatures w14:val="none"/>
                </w:rPr>
                <w:t>[6]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B00B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Monterey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A4713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7CC5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5561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82C7A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F0DAC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7905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B8045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AD89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22BC7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61DF3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7D702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3880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zh-CN"/>
                <w14:ligatures w14:val="none"/>
              </w:rPr>
              <w:t>0.06</w:t>
            </w:r>
          </w:p>
        </w:tc>
      </w:tr>
      <w:tr w:rsidR="00B05DD4" w:rsidRPr="007F04D7" w14:paraId="30A37098" w14:textId="77777777" w:rsidTr="00426B4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07F3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Ripon Police</w:t>
            </w:r>
            <w:hyperlink r:id="rId7" w:anchor="m_8137055066408245637__ftn7" w:tgtFrame="_blank" w:history="1">
              <w:r w:rsidRPr="007F04D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vertAlign w:val="superscript"/>
                  <w:lang w:eastAsia="zh-CN"/>
                  <w14:ligatures w14:val="none"/>
                </w:rPr>
                <w:t>[7]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E2E6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San Joaquin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6182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6470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D69B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4E1CF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79273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0DDB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80B9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FDD8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09A2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94E3D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B5174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09A12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zh-CN"/>
                <w14:ligatures w14:val="none"/>
              </w:rPr>
              <w:t>0.13</w:t>
            </w:r>
          </w:p>
        </w:tc>
      </w:tr>
      <w:tr w:rsidR="00B05DD4" w:rsidRPr="007F04D7" w14:paraId="6FF31773" w14:textId="77777777" w:rsidTr="00426B4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338B6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val="es-ES"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val="es-MX" w:eastAsia="zh-CN"/>
                <w14:ligatures w14:val="none"/>
              </w:rPr>
              <w:t>Santa Maria High,Bonita Elm-11/19</w:t>
            </w:r>
            <w:r w:rsidRPr="007F04D7">
              <w:rPr>
                <w:rFonts w:ascii="Calibri" w:eastAsia="Times New Roman" w:hAnsi="Calibri" w:cs="Calibri"/>
                <w:color w:val="auto"/>
                <w:kern w:val="0"/>
                <w:vertAlign w:val="superscript"/>
                <w:lang w:val="es-MX"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4827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Santa Barbara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3D62F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B6FE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1A04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41373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AF055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A049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B4DB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6396F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331C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A691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EA02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326C5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zh-CN"/>
                <w14:ligatures w14:val="none"/>
              </w:rPr>
              <w:t>0.12</w:t>
            </w:r>
          </w:p>
        </w:tc>
      </w:tr>
      <w:tr w:rsidR="00B05DD4" w:rsidRPr="007F04D7" w14:paraId="58556E68" w14:textId="77777777" w:rsidTr="00426B4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8658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Rio Mesa High, Oxnard</w:t>
            </w:r>
            <w:r w:rsidRPr="007F04D7">
              <w:rPr>
                <w:rFonts w:ascii="Calibri" w:eastAsia="Times New Roman" w:hAnsi="Calibri" w:cs="Calibri"/>
                <w:color w:val="auto"/>
                <w:kern w:val="0"/>
                <w:vertAlign w:val="superscript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C9A3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Ventura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7318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2361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1AE8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E184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5760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E739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5E62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3A5FF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2404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69B5F" w14:textId="77777777" w:rsidR="00B05DD4" w:rsidRPr="007F04D7" w:rsidRDefault="00B05DD4" w:rsidP="00426B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37742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color w:val="auto"/>
                <w:kern w:val="0"/>
                <w:lang w:eastAsia="zh-CN"/>
                <w14:ligatures w14:val="none"/>
              </w:rPr>
              <w:t>0.03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0076" w14:textId="77777777" w:rsidR="00B05DD4" w:rsidRPr="007F04D7" w:rsidRDefault="00B05DD4" w:rsidP="00426B4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F04D7">
              <w:rPr>
                <w:rFonts w:ascii="Calibri" w:eastAsia="Times New Roman" w:hAnsi="Calibri" w:cs="Calibri"/>
                <w:b/>
                <w:bCs/>
                <w:color w:val="auto"/>
                <w:kern w:val="0"/>
                <w:lang w:eastAsia="zh-CN"/>
                <w14:ligatures w14:val="none"/>
              </w:rPr>
              <w:t>0.12</w:t>
            </w:r>
          </w:p>
        </w:tc>
      </w:tr>
    </w:tbl>
    <w:p w14:paraId="607966D1" w14:textId="77777777" w:rsidR="00B05DD4" w:rsidRPr="007F04D7" w:rsidRDefault="00B05DD4" w:rsidP="00B05DD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zh-CN"/>
          <w14:ligatures w14:val="none"/>
        </w:rPr>
      </w:pPr>
      <w:r w:rsidRPr="007F04D7">
        <w:rPr>
          <w:rFonts w:ascii="Calibri" w:eastAsia="Times New Roman" w:hAnsi="Calibri" w:cs="Calibri"/>
          <w:color w:val="000000"/>
          <w:kern w:val="0"/>
          <w:sz w:val="18"/>
          <w:szCs w:val="18"/>
          <w:lang w:eastAsia="zh-CN"/>
          <w14:ligatures w14:val="none"/>
        </w:rPr>
        <w:t>* No testing</w:t>
      </w:r>
    </w:p>
    <w:p w14:paraId="4785AB60" w14:textId="3D1B9468" w:rsidR="000677B2" w:rsidRPr="007F04D7" w:rsidRDefault="000677B2" w:rsidP="000677B2">
      <w:pPr>
        <w:spacing w:after="0" w:line="240" w:lineRule="auto"/>
        <w:rPr>
          <w:rFonts w:ascii="LucidaGrande" w:eastAsia="Times New Roman" w:hAnsi="LucidaGrande" w:cs="LucidaGrande"/>
          <w:color w:val="000000"/>
          <w:kern w:val="0"/>
          <w:sz w:val="21"/>
          <w:szCs w:val="21"/>
          <w:lang w:eastAsia="zh-CN"/>
          <w14:ligatures w14:val="none"/>
        </w:rPr>
      </w:pPr>
    </w:p>
    <w:p w14:paraId="6E0C6839" w14:textId="77777777" w:rsidR="000677B2" w:rsidRPr="007F04D7" w:rsidRDefault="00000000" w:rsidP="000677B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  <w:hyperlink r:id="rId8" w:anchor="m_8137055066408245637__ftnref1" w:tgtFrame="_blank" w:history="1">
        <w:r w:rsidR="000677B2" w:rsidRPr="007F04D7">
          <w:rPr>
            <w:rFonts w:ascii="Calibri" w:eastAsia="Times New Roman" w:hAnsi="Calibri" w:cs="Calibri"/>
            <w:color w:val="0000FF"/>
            <w:kern w:val="0"/>
            <w:u w:val="single"/>
            <w:vertAlign w:val="superscript"/>
            <w:lang w:eastAsia="zh-CN"/>
            <w14:ligatures w14:val="none"/>
          </w:rPr>
          <w:t>[1]</w:t>
        </w:r>
      </w:hyperlink>
      <w:r w:rsidR="000677B2" w:rsidRPr="007F04D7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 Food and Agricultural Code sections 12980 and 12981</w:t>
      </w:r>
    </w:p>
    <w:p w14:paraId="6D07578D" w14:textId="7A3A730D" w:rsidR="000677B2" w:rsidRPr="007F04D7" w:rsidRDefault="00000000" w:rsidP="000677B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  <w:hyperlink r:id="rId9" w:anchor="m_8137055066408245637__ftnref2" w:tgtFrame="_blank" w:history="1">
        <w:r w:rsidR="000677B2" w:rsidRPr="007F04D7">
          <w:rPr>
            <w:rFonts w:ascii="Calibri" w:eastAsia="Times New Roman" w:hAnsi="Calibri" w:cs="Calibri"/>
            <w:color w:val="0000FF"/>
            <w:kern w:val="0"/>
            <w:u w:val="single"/>
            <w:vertAlign w:val="superscript"/>
            <w:lang w:eastAsia="zh-CN"/>
            <w14:ligatures w14:val="none"/>
          </w:rPr>
          <w:t>[2]</w:t>
        </w:r>
      </w:hyperlink>
      <w:r w:rsidR="000677B2" w:rsidRPr="007F04D7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 </w:t>
      </w:r>
      <w:r w:rsidR="000677B2" w:rsidRPr="007F04D7">
        <w:rPr>
          <w:rFonts w:ascii="Calibri" w:eastAsia="Times New Roman" w:hAnsi="Calibri" w:cs="Calibri"/>
          <w:color w:val="161616"/>
          <w:kern w:val="0"/>
          <w:bdr w:val="none" w:sz="0" w:space="0" w:color="auto" w:frame="1"/>
          <w:lang w:eastAsia="zh-CN"/>
          <w14:ligatures w14:val="none"/>
        </w:rPr>
        <w:t>1,3-D NSRL = 3.7 micrograms (ug) per day. Breathing rate used by OEHHA = 20 cubic meters (m3) per day (from OEHHA regs 27 CCR § 25721 Level of Exposure to Chemicals Causing Cancer). </w:t>
      </w:r>
      <w:hyperlink r:id="rId10" w:tgtFrame="_blank" w:history="1">
        <w:r w:rsidR="000677B2" w:rsidRPr="007F04D7">
          <w:rPr>
            <w:rFonts w:ascii="Calibri" w:eastAsia="Times New Roman" w:hAnsi="Calibri" w:cs="Calibri"/>
            <w:color w:val="7CC68D"/>
            <w:kern w:val="0"/>
            <w:u w:val="single"/>
            <w:bdr w:val="none" w:sz="0" w:space="0" w:color="auto" w:frame="1"/>
            <w:lang w:eastAsia="zh-CN"/>
            <w14:ligatures w14:val="none"/>
          </w:rPr>
          <w:t>https://govt.westlaw.com/calregs/Document/IBBC153FD512211EC828B000D3A7C4BC3?viewType=FullText&amp;originationContext=documenttoc&amp;transitionType=CategoryPageItem&amp;contextData=(sc.Default) </w:t>
        </w:r>
      </w:hyperlink>
      <w:r w:rsidR="000677B2" w:rsidRPr="007F04D7">
        <w:rPr>
          <w:rFonts w:ascii="Calibri" w:eastAsia="Times New Roman" w:hAnsi="Calibri" w:cs="Calibri"/>
          <w:color w:val="161616"/>
          <w:kern w:val="0"/>
          <w:bdr w:val="none" w:sz="0" w:space="0" w:color="auto" w:frame="1"/>
          <w:lang w:eastAsia="zh-CN"/>
          <w14:ligatures w14:val="none"/>
        </w:rPr>
        <w:t xml:space="preserve">A person breathing air </w:t>
      </w:r>
      <w:proofErr w:type="spellStart"/>
      <w:r w:rsidR="000677B2" w:rsidRPr="007F04D7">
        <w:rPr>
          <w:rFonts w:ascii="Calibri" w:eastAsia="Times New Roman" w:hAnsi="Calibri" w:cs="Calibri"/>
          <w:color w:val="161616"/>
          <w:kern w:val="0"/>
          <w:bdr w:val="none" w:sz="0" w:space="0" w:color="auto" w:frame="1"/>
          <w:lang w:eastAsia="zh-CN"/>
          <w14:ligatures w14:val="none"/>
        </w:rPr>
        <w:t>contami</w:t>
      </w:r>
      <w:proofErr w:type="spellEnd"/>
      <w:r w:rsidR="00535457" w:rsidRPr="00535457">
        <w:rPr>
          <w:rFonts w:ascii="LucidaGrande" w:eastAsia="Times New Roman" w:hAnsi="LucidaGrande" w:cs="LucidaGrande"/>
          <w:noProof/>
          <w:color w:val="000000"/>
          <w:kern w:val="0"/>
          <w:sz w:val="21"/>
          <w:szCs w:val="21"/>
          <w:lang w:eastAsia="zh-CN"/>
        </w:rPr>
        <w:pict w14:anchorId="2F5CA8D8">
          <v:rect id="_x0000_i1026" alt="" style="width:154.45pt;height:1pt;mso-width-percent:0;mso-height-percent:0;mso-width-percent:0;mso-height-percent:0" o:hrpct="330" o:hrstd="t" o:hr="t" fillcolor="#a0a0a0" stroked="f"/>
        </w:pict>
      </w:r>
      <w:proofErr w:type="spellStart"/>
      <w:r w:rsidR="000677B2" w:rsidRPr="007F04D7">
        <w:rPr>
          <w:rFonts w:ascii="Calibri" w:eastAsia="Times New Roman" w:hAnsi="Calibri" w:cs="Calibri"/>
          <w:color w:val="161616"/>
          <w:kern w:val="0"/>
          <w:bdr w:val="none" w:sz="0" w:space="0" w:color="auto" w:frame="1"/>
          <w:lang w:eastAsia="zh-CN"/>
          <w14:ligatures w14:val="none"/>
        </w:rPr>
        <w:t>nated</w:t>
      </w:r>
      <w:proofErr w:type="spellEnd"/>
      <w:r w:rsidR="000677B2" w:rsidRPr="007F04D7">
        <w:rPr>
          <w:rFonts w:ascii="Calibri" w:eastAsia="Times New Roman" w:hAnsi="Calibri" w:cs="Calibri"/>
          <w:color w:val="161616"/>
          <w:kern w:val="0"/>
          <w:bdr w:val="none" w:sz="0" w:space="0" w:color="auto" w:frame="1"/>
          <w:lang w:eastAsia="zh-CN"/>
          <w14:ligatures w14:val="none"/>
        </w:rPr>
        <w:t xml:space="preserve"> with 3.7/20 (=.185) ug/m3 of 1,3-D will be exposed to 3.7 ug/m3  or 0.04 ppb per day.</w:t>
      </w:r>
    </w:p>
    <w:p w14:paraId="4DB6BE5F" w14:textId="77777777" w:rsidR="000677B2" w:rsidRPr="007F04D7" w:rsidRDefault="00000000" w:rsidP="000677B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  <w:hyperlink r:id="rId11" w:anchor="m_8137055066408245637__ftnref3" w:tgtFrame="_blank" w:history="1">
        <w:r w:rsidR="000677B2" w:rsidRPr="007F04D7">
          <w:rPr>
            <w:rFonts w:ascii="Calibri" w:eastAsia="Times New Roman" w:hAnsi="Calibri" w:cs="Calibri"/>
            <w:color w:val="0000FF"/>
            <w:kern w:val="0"/>
            <w:u w:val="single"/>
            <w:vertAlign w:val="superscript"/>
            <w:lang w:eastAsia="zh-CN"/>
            <w14:ligatures w14:val="none"/>
          </w:rPr>
          <w:t>[3]</w:t>
        </w:r>
      </w:hyperlink>
      <w:r w:rsidR="000677B2" w:rsidRPr="007F04D7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 </w:t>
      </w:r>
      <w:hyperlink r:id="rId12" w:tgtFrame="_blank" w:history="1">
        <w:r w:rsidR="000677B2" w:rsidRPr="007F04D7">
          <w:rPr>
            <w:rFonts w:ascii="Calibri" w:eastAsia="Times New Roman" w:hAnsi="Calibri" w:cs="Calibri"/>
            <w:color w:val="0000FF"/>
            <w:kern w:val="0"/>
            <w:u w:val="single"/>
            <w:lang w:eastAsia="zh-CN"/>
            <w14:ligatures w14:val="none"/>
          </w:rPr>
          <w:t>https://www.pesticidereform.org/wp-content/uploads/2021/09/202109-CPR-Telone-Shafter-ENGv1.pdf</w:t>
        </w:r>
      </w:hyperlink>
      <w:r w:rsidR="000677B2" w:rsidRPr="007F04D7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; also DPR’s Minh Pham “A summary of notable detections at Shafter AMN site in 2020” not available on DPR’s website.</w:t>
      </w:r>
    </w:p>
    <w:p w14:paraId="76B22FFB" w14:textId="77777777" w:rsidR="000677B2" w:rsidRPr="007F04D7" w:rsidRDefault="00000000" w:rsidP="000677B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  <w:hyperlink r:id="rId13" w:anchor="m_8137055066408245637__ftnref4" w:tgtFrame="_blank" w:history="1">
        <w:r w:rsidR="000677B2" w:rsidRPr="007F04D7">
          <w:rPr>
            <w:rFonts w:ascii="Calibri" w:eastAsia="Times New Roman" w:hAnsi="Calibri" w:cs="Calibri"/>
            <w:color w:val="0000FF"/>
            <w:kern w:val="0"/>
            <w:u w:val="single"/>
            <w:vertAlign w:val="superscript"/>
            <w:lang w:eastAsia="zh-CN"/>
            <w14:ligatures w14:val="none"/>
          </w:rPr>
          <w:t>[4]</w:t>
        </w:r>
      </w:hyperlink>
      <w:r w:rsidR="000677B2" w:rsidRPr="007F04D7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 DPR presentation to Pesticide Registration and Evaluation Committee, “2021 1,3-D Ambient Air Monitoring Results,” slide 29.</w:t>
      </w:r>
    </w:p>
    <w:p w14:paraId="2CE7987C" w14:textId="77777777" w:rsidR="000677B2" w:rsidRPr="007F04D7" w:rsidRDefault="00000000" w:rsidP="000677B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  <w:hyperlink r:id="rId14" w:anchor="m_8137055066408245637__ftnref5" w:tgtFrame="_blank" w:history="1">
        <w:r w:rsidR="000677B2" w:rsidRPr="007F04D7">
          <w:rPr>
            <w:rFonts w:ascii="Calibri" w:eastAsia="Times New Roman" w:hAnsi="Calibri" w:cs="Calibri"/>
            <w:color w:val="0000FF"/>
            <w:kern w:val="0"/>
            <w:u w:val="single"/>
            <w:vertAlign w:val="superscript"/>
            <w:lang w:eastAsia="zh-CN"/>
            <w14:ligatures w14:val="none"/>
          </w:rPr>
          <w:t>[5]</w:t>
        </w:r>
      </w:hyperlink>
      <w:r w:rsidR="000677B2" w:rsidRPr="007F04D7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 “Air Monitoring Network Report: A Comprehensive Evaluation of Results (2011 – 2016),” DPR, June 2018, p. 38.</w:t>
      </w:r>
    </w:p>
    <w:p w14:paraId="4BD1A0E4" w14:textId="77777777" w:rsidR="000677B2" w:rsidRPr="007F04D7" w:rsidRDefault="00000000" w:rsidP="000677B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  <w:hyperlink r:id="rId15" w:anchor="m_8137055066408245637__ftnref6" w:tgtFrame="_blank" w:history="1">
        <w:r w:rsidR="000677B2" w:rsidRPr="007F04D7">
          <w:rPr>
            <w:rFonts w:ascii="Calibri" w:eastAsia="Times New Roman" w:hAnsi="Calibri" w:cs="Calibri"/>
            <w:color w:val="0000FF"/>
            <w:kern w:val="0"/>
            <w:u w:val="single"/>
            <w:vertAlign w:val="superscript"/>
            <w:lang w:eastAsia="zh-CN"/>
            <w14:ligatures w14:val="none"/>
          </w:rPr>
          <w:t>[6]</w:t>
        </w:r>
      </w:hyperlink>
      <w:r w:rsidR="000677B2" w:rsidRPr="007F04D7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DPR presentation to the July 15, 2022 Pesticide Registration Evaluation Committee, “2019 1,3 D Ambient Air Monitoring Results,” slide 29.</w:t>
      </w:r>
    </w:p>
    <w:p w14:paraId="44162E7C" w14:textId="77777777" w:rsidR="000677B2" w:rsidRPr="007F04D7" w:rsidRDefault="00000000" w:rsidP="000677B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  <w:hyperlink r:id="rId16" w:anchor="m_8137055066408245637__ftnref7" w:tgtFrame="_blank" w:history="1">
        <w:r w:rsidR="000677B2" w:rsidRPr="007F04D7">
          <w:rPr>
            <w:rFonts w:ascii="Calibri" w:eastAsia="Times New Roman" w:hAnsi="Calibri" w:cs="Calibri"/>
            <w:color w:val="0000FF"/>
            <w:kern w:val="0"/>
            <w:u w:val="single"/>
            <w:vertAlign w:val="superscript"/>
            <w:lang w:eastAsia="zh-CN"/>
            <w14:ligatures w14:val="none"/>
          </w:rPr>
          <w:t>[7]</w:t>
        </w:r>
      </w:hyperlink>
      <w:r w:rsidR="000677B2" w:rsidRPr="007F04D7"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  <w:t> “Air Monitoring Network Report: A Comprehensive Evaluation of Results (2011 – 2016),” DPR, June 2018, p. 42.</w:t>
      </w:r>
    </w:p>
    <w:p w14:paraId="220214DA" w14:textId="77777777" w:rsidR="000677B2" w:rsidRPr="007F04D7" w:rsidRDefault="00535457" w:rsidP="000677B2">
      <w:pPr>
        <w:spacing w:after="0" w:line="240" w:lineRule="auto"/>
        <w:rPr>
          <w:rFonts w:ascii="LucidaGrande" w:eastAsia="Times New Roman" w:hAnsi="LucidaGrande" w:cs="LucidaGrande"/>
          <w:color w:val="000000"/>
          <w:kern w:val="0"/>
          <w:sz w:val="21"/>
          <w:szCs w:val="21"/>
          <w:lang w:eastAsia="zh-CN"/>
          <w14:ligatures w14:val="none"/>
        </w:rPr>
      </w:pPr>
      <w:r w:rsidRPr="00535457">
        <w:rPr>
          <w:rFonts w:ascii="LucidaGrande" w:eastAsia="Times New Roman" w:hAnsi="LucidaGrande" w:cs="LucidaGrande"/>
          <w:noProof/>
          <w:color w:val="000000"/>
          <w:kern w:val="0"/>
          <w:sz w:val="21"/>
          <w:szCs w:val="21"/>
          <w:lang w:eastAsia="zh-CN"/>
        </w:rPr>
        <w:pict w14:anchorId="0C57B80F">
          <v:rect id="_x0000_i1025" alt="" style="width:154.45pt;height:1pt;mso-width-percent:0;mso-height-percent:0;mso-width-percent:0;mso-height-percent:0" o:hrpct="330" o:hrstd="t" o:hr="t" fillcolor="#a0a0a0" stroked="f"/>
        </w:pict>
      </w:r>
    </w:p>
    <w:p w14:paraId="44E6C5D0" w14:textId="77777777" w:rsidR="000677B2" w:rsidRPr="007F04D7" w:rsidRDefault="000677B2" w:rsidP="000677B2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zh-CN"/>
          <w14:ligatures w14:val="none"/>
        </w:rPr>
      </w:pPr>
    </w:p>
    <w:p w14:paraId="166ED4C9" w14:textId="77777777" w:rsidR="00515582" w:rsidRDefault="00515582"/>
    <w:sectPr w:rsidR="00515582" w:rsidSect="00E4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D4"/>
    <w:rsid w:val="000677B2"/>
    <w:rsid w:val="00515582"/>
    <w:rsid w:val="00535457"/>
    <w:rsid w:val="00641487"/>
    <w:rsid w:val="007769BF"/>
    <w:rsid w:val="0084525E"/>
    <w:rsid w:val="00B05DD4"/>
    <w:rsid w:val="00D31F0D"/>
    <w:rsid w:val="00E4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27DF"/>
  <w15:chartTrackingRefBased/>
  <w15:docId w15:val="{F910CC68-BE6D-7D45-A57A-6874BDEA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DD4"/>
    <w:pPr>
      <w:spacing w:after="160" w:line="276" w:lineRule="auto"/>
    </w:pPr>
    <w:rPr>
      <w:rFonts w:eastAsiaTheme="minorHAnsi"/>
      <w:color w:val="50637D" w:themeColor="text2" w:themeTint="E6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25E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4472C4" w:themeColor="accent1"/>
      <w:sz w:val="3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2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2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0"/>
    <w:qFormat/>
    <w:rsid w:val="0084525E"/>
    <w:pPr>
      <w:spacing w:after="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525E"/>
    <w:rPr>
      <w:rFonts w:asciiTheme="majorHAnsi" w:eastAsiaTheme="majorEastAsia" w:hAnsiTheme="majorHAnsi" w:cstheme="majorBidi"/>
      <w:b/>
      <w:color w:val="4472C4" w:themeColor="accent1"/>
      <w:sz w:val="3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25E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25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3"/>
    <w:qFormat/>
    <w:rsid w:val="0084525E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84525E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  <w:lang w:eastAsia="en-US"/>
    </w:rPr>
  </w:style>
  <w:style w:type="paragraph" w:styleId="Subtitle">
    <w:name w:val="Subtitle"/>
    <w:basedOn w:val="Normal"/>
    <w:link w:val="SubtitleChar"/>
    <w:uiPriority w:val="1"/>
    <w:qFormat/>
    <w:rsid w:val="0084525E"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"/>
    <w:rsid w:val="0084525E"/>
    <w:rPr>
      <w:color w:val="50637D" w:themeColor="text2" w:themeTint="E6"/>
      <w:sz w:val="32"/>
      <w:szCs w:val="20"/>
      <w:lang w:eastAsia="en-US"/>
    </w:rPr>
  </w:style>
  <w:style w:type="paragraph" w:styleId="Date">
    <w:name w:val="Date"/>
    <w:basedOn w:val="Normal"/>
    <w:link w:val="DateChar"/>
    <w:uiPriority w:val="2"/>
    <w:unhideWhenUsed/>
    <w:qFormat/>
    <w:rsid w:val="0084525E"/>
    <w:pPr>
      <w:spacing w:after="40"/>
      <w:jc w:val="right"/>
    </w:pPr>
    <w:rPr>
      <w:b/>
      <w:color w:val="4472C4" w:themeColor="accent1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84525E"/>
    <w:rPr>
      <w:rFonts w:eastAsiaTheme="minorHAnsi"/>
      <w:b/>
      <w:color w:val="4472C4" w:themeColor="accent1"/>
      <w:sz w:val="32"/>
      <w:szCs w:val="20"/>
      <w:lang w:eastAsia="en-US"/>
    </w:rPr>
  </w:style>
  <w:style w:type="paragraph" w:styleId="BlockText">
    <w:name w:val="Block Text"/>
    <w:basedOn w:val="Normal"/>
    <w:uiPriority w:val="5"/>
    <w:unhideWhenUsed/>
    <w:qFormat/>
    <w:rsid w:val="0084525E"/>
    <w:pPr>
      <w:spacing w:after="380" w:line="326" w:lineRule="auto"/>
    </w:pPr>
    <w:rPr>
      <w:rFonts w:eastAsiaTheme="minorEastAsia"/>
      <w:iCs/>
      <w:sz w:val="28"/>
    </w:rPr>
  </w:style>
  <w:style w:type="paragraph" w:styleId="NoSpacing">
    <w:name w:val="No Spacing"/>
    <w:uiPriority w:val="98"/>
    <w:qFormat/>
    <w:rsid w:val="0084525E"/>
    <w:rPr>
      <w:rFonts w:eastAsiaTheme="minorHAnsi"/>
      <w:color w:val="50637D" w:themeColor="text2" w:themeTint="E6"/>
      <w:sz w:val="20"/>
      <w:szCs w:val="20"/>
      <w:lang w:eastAsia="en-US"/>
    </w:rPr>
  </w:style>
  <w:style w:type="paragraph" w:styleId="Quote">
    <w:name w:val="Quote"/>
    <w:basedOn w:val="Normal"/>
    <w:link w:val="QuoteChar"/>
    <w:uiPriority w:val="4"/>
    <w:qFormat/>
    <w:rsid w:val="0084525E"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4"/>
    <w:rsid w:val="0084525E"/>
    <w:rPr>
      <w:rFonts w:eastAsiaTheme="minorHAnsi"/>
      <w:i/>
      <w:iCs/>
      <w:color w:val="50637D" w:themeColor="text2" w:themeTint="E6"/>
      <w:sz w:val="22"/>
      <w:szCs w:val="20"/>
      <w:lang w:eastAsia="en-US"/>
    </w:rPr>
  </w:style>
  <w:style w:type="character" w:styleId="IntenseEmphasis">
    <w:name w:val="Intense Emphasis"/>
    <w:basedOn w:val="DefaultParagraphFont"/>
    <w:uiPriority w:val="21"/>
    <w:qFormat/>
    <w:rsid w:val="0084525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u/1/" TargetMode="External"/><Relationship Id="rId13" Type="http://schemas.openxmlformats.org/officeDocument/2006/relationships/hyperlink" Target="https://mail.google.com/mail/u/1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il.google.com/mail/u/1/" TargetMode="External"/><Relationship Id="rId12" Type="http://schemas.openxmlformats.org/officeDocument/2006/relationships/hyperlink" Target="https://www.pesticidereform.org/wp-content/uploads/2021/09/202109-CPR-Telone-Shafter-ENGv1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ail.google.com/mail/u/1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il.google.com/mail/u/1/" TargetMode="External"/><Relationship Id="rId11" Type="http://schemas.openxmlformats.org/officeDocument/2006/relationships/hyperlink" Target="https://mail.google.com/mail/u/1/" TargetMode="External"/><Relationship Id="rId5" Type="http://schemas.openxmlformats.org/officeDocument/2006/relationships/hyperlink" Target="https://mail.google.com/mail/u/1/" TargetMode="External"/><Relationship Id="rId15" Type="http://schemas.openxmlformats.org/officeDocument/2006/relationships/hyperlink" Target="https://mail.google.com/mail/u/1/" TargetMode="External"/><Relationship Id="rId10" Type="http://schemas.openxmlformats.org/officeDocument/2006/relationships/hyperlink" Target="https://govt.westlaw.com/calregs/Document/IBBC153FD512211EC828B000D3A7C4BC3?viewType=FullText&amp;originationContext=documenttoc&amp;transitionType=CategoryPageItem&amp;contextData=(sc.Default)" TargetMode="External"/><Relationship Id="rId4" Type="http://schemas.openxmlformats.org/officeDocument/2006/relationships/hyperlink" Target="https://mail.google.com/mail/u/1/" TargetMode="External"/><Relationship Id="rId9" Type="http://schemas.openxmlformats.org/officeDocument/2006/relationships/hyperlink" Target="https://mail.google.com/mail/u/1/" TargetMode="External"/><Relationship Id="rId14" Type="http://schemas.openxmlformats.org/officeDocument/2006/relationships/hyperlink" Target="https://mail.google.com/mail/u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Ringler</dc:creator>
  <cp:keywords/>
  <dc:description/>
  <cp:lastModifiedBy>Sarah Ringler</cp:lastModifiedBy>
  <cp:revision>3</cp:revision>
  <dcterms:created xsi:type="dcterms:W3CDTF">2023-03-22T18:18:00Z</dcterms:created>
  <dcterms:modified xsi:type="dcterms:W3CDTF">2023-03-22T22:31:00Z</dcterms:modified>
</cp:coreProperties>
</file>