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CB977" w14:textId="301B017E" w:rsidR="00250570" w:rsidRDefault="00250570" w:rsidP="00250570">
      <w:pPr>
        <w:pStyle w:val="NormalWeb"/>
        <w:shd w:val="clear" w:color="auto" w:fill="FFFFFF"/>
        <w:spacing w:before="0" w:beforeAutospacing="0" w:after="0" w:afterAutospacing="0"/>
        <w:jc w:val="center"/>
        <w:rPr>
          <w:rFonts w:ascii="Georgia" w:hAnsi="Georgia"/>
          <w:b/>
          <w:bCs/>
          <w:color w:val="002D5C"/>
          <w:sz w:val="23"/>
          <w:szCs w:val="23"/>
        </w:rPr>
      </w:pPr>
      <w:r>
        <w:rPr>
          <w:rFonts w:ascii="Georgia" w:hAnsi="Georgia"/>
          <w:b/>
          <w:bCs/>
          <w:noProof/>
          <w:color w:val="002D5C"/>
          <w:sz w:val="23"/>
          <w:szCs w:val="23"/>
          <w14:ligatures w14:val="standardContextual"/>
        </w:rPr>
        <w:drawing>
          <wp:inline distT="0" distB="0" distL="0" distR="0" wp14:anchorId="17151B76" wp14:editId="1CE27641">
            <wp:extent cx="2247900" cy="457630"/>
            <wp:effectExtent l="0" t="0" r="0" b="0"/>
            <wp:docPr id="652999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999374"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47900" cy="457630"/>
                    </a:xfrm>
                    <a:prstGeom prst="rect">
                      <a:avLst/>
                    </a:prstGeom>
                  </pic:spPr>
                </pic:pic>
              </a:graphicData>
            </a:graphic>
          </wp:inline>
        </w:drawing>
      </w:r>
    </w:p>
    <w:p w14:paraId="4AEC65B8" w14:textId="77777777" w:rsidR="00250570" w:rsidRDefault="00250570" w:rsidP="004C0510">
      <w:pPr>
        <w:pStyle w:val="NormalWeb"/>
        <w:shd w:val="clear" w:color="auto" w:fill="FFFFFF"/>
        <w:spacing w:before="0" w:beforeAutospacing="0" w:after="0" w:afterAutospacing="0"/>
        <w:rPr>
          <w:rFonts w:ascii="Georgia" w:hAnsi="Georgia"/>
          <w:b/>
          <w:bCs/>
          <w:color w:val="002D5C"/>
          <w:sz w:val="23"/>
          <w:szCs w:val="23"/>
        </w:rPr>
      </w:pPr>
    </w:p>
    <w:p w14:paraId="021AF9B3" w14:textId="3D77180D" w:rsidR="00250570" w:rsidRPr="00250570" w:rsidRDefault="00250570" w:rsidP="00250570">
      <w:pPr>
        <w:pStyle w:val="NormalWeb"/>
        <w:shd w:val="clear" w:color="auto" w:fill="FFFFFF"/>
        <w:rPr>
          <w:rFonts w:ascii="Georgia" w:hAnsi="Georgia"/>
          <w:b/>
          <w:bCs/>
          <w:color w:val="002D5C"/>
          <w:sz w:val="23"/>
          <w:szCs w:val="23"/>
        </w:rPr>
      </w:pPr>
      <w:r w:rsidRPr="00250570">
        <w:rPr>
          <w:rFonts w:ascii="Georgia" w:hAnsi="Georgia"/>
          <w:b/>
          <w:bCs/>
          <w:color w:val="002D5C"/>
          <w:sz w:val="23"/>
          <w:szCs w:val="23"/>
        </w:rPr>
        <w:t>Important news About Upcoming FinCEN Real Estate Reporting Requirements</w:t>
      </w:r>
      <w:r>
        <w:rPr>
          <w:rFonts w:ascii="Georgia" w:hAnsi="Georgia"/>
          <w:b/>
          <w:bCs/>
          <w:color w:val="002D5C"/>
          <w:sz w:val="23"/>
          <w:szCs w:val="23"/>
        </w:rPr>
        <w:t xml:space="preserve"> </w:t>
      </w:r>
      <w:r w:rsidRPr="00250570">
        <w:rPr>
          <w:rFonts w:ascii="Georgia" w:hAnsi="Georgia"/>
          <w:b/>
          <w:bCs/>
          <w:color w:val="002D5C"/>
          <w:sz w:val="18"/>
          <w:szCs w:val="18"/>
        </w:rPr>
        <w:t>(Continued from Newsletter article)</w:t>
      </w:r>
    </w:p>
    <w:p w14:paraId="0E93034F" w14:textId="77777777" w:rsidR="00250570" w:rsidRDefault="00250570" w:rsidP="004C0510">
      <w:pPr>
        <w:pStyle w:val="NormalWeb"/>
        <w:shd w:val="clear" w:color="auto" w:fill="FFFFFF"/>
        <w:spacing w:before="0" w:beforeAutospacing="0" w:after="0" w:afterAutospacing="0"/>
        <w:rPr>
          <w:rFonts w:ascii="Georgia" w:hAnsi="Georgia"/>
          <w:b/>
          <w:bCs/>
          <w:color w:val="002D5C"/>
          <w:sz w:val="23"/>
          <w:szCs w:val="23"/>
        </w:rPr>
      </w:pPr>
    </w:p>
    <w:p w14:paraId="587332B4" w14:textId="6A070F72" w:rsidR="004C0510" w:rsidRPr="004C0510" w:rsidRDefault="004C0510" w:rsidP="004C0510">
      <w:pPr>
        <w:pStyle w:val="NormalWeb"/>
        <w:shd w:val="clear" w:color="auto" w:fill="FFFFFF"/>
        <w:spacing w:before="0" w:beforeAutospacing="0" w:after="0" w:afterAutospacing="0"/>
        <w:rPr>
          <w:rFonts w:ascii="Helvetica" w:hAnsi="Helvetica"/>
          <w:b/>
          <w:bCs/>
          <w:color w:val="606D78"/>
        </w:rPr>
      </w:pPr>
      <w:r w:rsidRPr="004C0510">
        <w:rPr>
          <w:rFonts w:ascii="Georgia" w:hAnsi="Georgia"/>
          <w:b/>
          <w:bCs/>
          <w:color w:val="002D5C"/>
          <w:sz w:val="23"/>
          <w:szCs w:val="23"/>
        </w:rPr>
        <w:t>Extra</w:t>
      </w:r>
      <w:r w:rsidRPr="004C0510">
        <w:rPr>
          <w:rFonts w:ascii="Georgia" w:hAnsi="Georgia"/>
          <w:b/>
          <w:bCs/>
          <w:color w:val="002D5C"/>
          <w:sz w:val="23"/>
          <w:szCs w:val="23"/>
        </w:rPr>
        <w:t xml:space="preserve"> </w:t>
      </w:r>
      <w:r w:rsidRPr="004C0510">
        <w:rPr>
          <w:rFonts w:ascii="Georgia" w:hAnsi="Georgia"/>
          <w:b/>
          <w:bCs/>
          <w:color w:val="002D5C"/>
          <w:sz w:val="23"/>
          <w:szCs w:val="23"/>
        </w:rPr>
        <w:t>features:</w:t>
      </w:r>
      <w:r w:rsidRPr="004C0510">
        <w:rPr>
          <w:rFonts w:ascii="Georgia" w:hAnsi="Georgia"/>
          <w:b/>
          <w:bCs/>
          <w:color w:val="002D5C"/>
          <w:sz w:val="23"/>
          <w:szCs w:val="23"/>
        </w:rPr>
        <w:br/>
      </w:r>
    </w:p>
    <w:p w14:paraId="566D0A7E" w14:textId="77777777" w:rsidR="004C0510" w:rsidRDefault="004C0510" w:rsidP="004C0510">
      <w:pPr>
        <w:pStyle w:val="NormalWeb"/>
        <w:shd w:val="clear" w:color="auto" w:fill="FFFFFF"/>
        <w:spacing w:before="0" w:beforeAutospacing="0" w:after="0" w:afterAutospacing="0"/>
        <w:jc w:val="both"/>
        <w:rPr>
          <w:rFonts w:ascii="Helvetica" w:hAnsi="Helvetica"/>
          <w:color w:val="606D78"/>
        </w:rPr>
      </w:pPr>
      <w:r>
        <w:rPr>
          <w:rFonts w:ascii="Georgia" w:hAnsi="Georgia"/>
          <w:color w:val="002D5C"/>
          <w:sz w:val="23"/>
          <w:szCs w:val="23"/>
        </w:rPr>
        <w:t>• Filings are guaranteed against FinCEN penalties. If a covered penalty occurs, the vendor covers it. They have had no issues across 150,000+ reports.</w:t>
      </w:r>
    </w:p>
    <w:p w14:paraId="30385B37" w14:textId="77777777" w:rsidR="004C0510" w:rsidRDefault="004C0510" w:rsidP="004C0510">
      <w:pPr>
        <w:pStyle w:val="NormalWeb"/>
        <w:shd w:val="clear" w:color="auto" w:fill="FFFFFF"/>
        <w:spacing w:before="0" w:beforeAutospacing="0" w:after="0" w:afterAutospacing="0"/>
        <w:jc w:val="both"/>
        <w:rPr>
          <w:rFonts w:ascii="Helvetica" w:hAnsi="Helvetica"/>
          <w:color w:val="606D78"/>
        </w:rPr>
      </w:pPr>
      <w:r>
        <w:rPr>
          <w:rFonts w:ascii="Georgia" w:hAnsi="Georgia"/>
          <w:color w:val="002D5C"/>
          <w:sz w:val="23"/>
          <w:szCs w:val="23"/>
        </w:rPr>
        <w:t xml:space="preserve">• Included at no extra cost: tracking, reminders, white labeling, reasonable reliance signoff, team and office management tools, manager oversight, live support, audit trails, and options to pass through costs or collect payments. They also provide free templates for key forms like this </w:t>
      </w:r>
      <w:hyperlink r:id="rId5" w:tgtFrame="_blank" w:history="1">
        <w:r>
          <w:rPr>
            <w:rStyle w:val="Hyperlink"/>
            <w:rFonts w:ascii="Georgia" w:eastAsiaTheme="majorEastAsia" w:hAnsi="Georgia"/>
            <w:b/>
            <w:bCs/>
            <w:color w:val="EF7622"/>
            <w:sz w:val="23"/>
            <w:szCs w:val="23"/>
          </w:rPr>
          <w:t>customer explainer</w:t>
        </w:r>
      </w:hyperlink>
      <w:r>
        <w:rPr>
          <w:rFonts w:ascii="Georgia" w:hAnsi="Georgia"/>
          <w:color w:val="EF7622"/>
          <w:sz w:val="23"/>
          <w:szCs w:val="23"/>
        </w:rPr>
        <w:t>.</w:t>
      </w:r>
    </w:p>
    <w:p w14:paraId="7D1025D8" w14:textId="0D5F5001" w:rsidR="004C0510" w:rsidRDefault="004C0510" w:rsidP="004C0510">
      <w:pPr>
        <w:pStyle w:val="NormalWeb"/>
        <w:shd w:val="clear" w:color="auto" w:fill="FFFFFF"/>
        <w:spacing w:before="0" w:beforeAutospacing="0" w:after="0" w:afterAutospacing="0"/>
        <w:jc w:val="both"/>
        <w:rPr>
          <w:rFonts w:ascii="Georgia" w:hAnsi="Georgia"/>
          <w:b/>
          <w:bCs/>
          <w:color w:val="002D5C"/>
          <w:sz w:val="23"/>
          <w:szCs w:val="23"/>
        </w:rPr>
      </w:pPr>
      <w:r>
        <w:rPr>
          <w:rFonts w:ascii="Georgia" w:hAnsi="Georgia"/>
          <w:color w:val="002D5C"/>
          <w:sz w:val="23"/>
          <w:szCs w:val="23"/>
        </w:rPr>
        <w:br/>
      </w:r>
      <w:r w:rsidRPr="004C0510">
        <w:rPr>
          <w:rFonts w:ascii="Georgia" w:hAnsi="Georgia"/>
          <w:b/>
          <w:bCs/>
          <w:color w:val="002D5C"/>
          <w:sz w:val="23"/>
          <w:szCs w:val="23"/>
        </w:rPr>
        <w:t>Vendor billing benefits:</w:t>
      </w:r>
    </w:p>
    <w:p w14:paraId="615CFD40" w14:textId="77777777" w:rsidR="004C0510" w:rsidRPr="004C0510" w:rsidRDefault="004C0510" w:rsidP="004C0510">
      <w:pPr>
        <w:pStyle w:val="NormalWeb"/>
        <w:shd w:val="clear" w:color="auto" w:fill="FFFFFF"/>
        <w:spacing w:before="0" w:beforeAutospacing="0" w:after="0" w:afterAutospacing="0"/>
        <w:jc w:val="both"/>
        <w:rPr>
          <w:rFonts w:ascii="Helvetica" w:hAnsi="Helvetica"/>
          <w:b/>
          <w:bCs/>
          <w:color w:val="606D78"/>
        </w:rPr>
      </w:pPr>
    </w:p>
    <w:p w14:paraId="6F88B9A4" w14:textId="77777777" w:rsidR="004C0510" w:rsidRDefault="004C0510" w:rsidP="004C0510">
      <w:pPr>
        <w:pStyle w:val="NormalWeb"/>
        <w:shd w:val="clear" w:color="auto" w:fill="FFFFFF"/>
        <w:spacing w:before="0" w:beforeAutospacing="0" w:after="0" w:afterAutospacing="0"/>
        <w:jc w:val="both"/>
        <w:rPr>
          <w:rFonts w:ascii="Helvetica" w:hAnsi="Helvetica"/>
          <w:color w:val="606D78"/>
        </w:rPr>
      </w:pPr>
      <w:r>
        <w:rPr>
          <w:rFonts w:ascii="Georgia" w:hAnsi="Georgia"/>
          <w:color w:val="002D5C"/>
          <w:sz w:val="23"/>
          <w:szCs w:val="23"/>
        </w:rPr>
        <w:t>• Reports are billed only for files that close. Fees are waived for transactions that do not close or are exempt. In most states, you can pass any per report cost through to closing.</w:t>
      </w:r>
    </w:p>
    <w:p w14:paraId="6B46B140" w14:textId="77777777" w:rsidR="004C0510" w:rsidRDefault="004C0510" w:rsidP="004C0510">
      <w:pPr>
        <w:pStyle w:val="NormalWeb"/>
        <w:shd w:val="clear" w:color="auto" w:fill="FFFFFF"/>
        <w:spacing w:before="0" w:beforeAutospacing="0" w:after="0" w:afterAutospacing="0"/>
        <w:jc w:val="both"/>
        <w:rPr>
          <w:rFonts w:ascii="Helvetica" w:hAnsi="Helvetica"/>
          <w:color w:val="606D78"/>
        </w:rPr>
      </w:pPr>
      <w:r>
        <w:rPr>
          <w:rFonts w:ascii="Georgia" w:hAnsi="Georgia"/>
          <w:color w:val="002D5C"/>
          <w:sz w:val="23"/>
          <w:szCs w:val="23"/>
        </w:rPr>
        <w:t>• There are no monthly fees or overhead costs with this vendor. Billing is per closed file only.</w:t>
      </w:r>
    </w:p>
    <w:p w14:paraId="120ADB04" w14:textId="77777777" w:rsidR="004C0510" w:rsidRDefault="004C0510" w:rsidP="004C0510">
      <w:pPr>
        <w:pStyle w:val="NormalWeb"/>
        <w:shd w:val="clear" w:color="auto" w:fill="FFFFFF"/>
        <w:spacing w:before="0" w:beforeAutospacing="0" w:after="0" w:afterAutospacing="0"/>
        <w:jc w:val="both"/>
        <w:rPr>
          <w:rFonts w:ascii="Helvetica" w:hAnsi="Helvetica"/>
          <w:color w:val="606D78"/>
        </w:rPr>
      </w:pPr>
      <w:r>
        <w:rPr>
          <w:rFonts w:ascii="Georgia" w:hAnsi="Georgia"/>
          <w:color w:val="002D5C"/>
          <w:sz w:val="23"/>
          <w:szCs w:val="23"/>
        </w:rPr>
        <w:t>• Onboarding is free, takes about 30 minutes, and requires no software installation.</w:t>
      </w:r>
    </w:p>
    <w:p w14:paraId="4580D82F" w14:textId="77777777" w:rsidR="004C0510" w:rsidRDefault="004C0510" w:rsidP="004C0510">
      <w:pPr>
        <w:pStyle w:val="NormalWeb"/>
        <w:shd w:val="clear" w:color="auto" w:fill="FFFFFF"/>
        <w:spacing w:before="0" w:beforeAutospacing="0" w:after="0" w:afterAutospacing="0"/>
        <w:jc w:val="both"/>
        <w:rPr>
          <w:rFonts w:ascii="Helvetica" w:hAnsi="Helvetica"/>
          <w:color w:val="606D78"/>
        </w:rPr>
      </w:pPr>
      <w:r>
        <w:rPr>
          <w:rFonts w:ascii="Georgia" w:hAnsi="Georgia"/>
          <w:color w:val="002D5C"/>
          <w:sz w:val="23"/>
          <w:szCs w:val="23"/>
        </w:rPr>
        <w:t>You can learn more, request a demo, and access your 20% discount here:</w:t>
      </w:r>
    </w:p>
    <w:p w14:paraId="7AF25199" w14:textId="77777777" w:rsidR="004C0510" w:rsidRDefault="004C0510" w:rsidP="004C0510">
      <w:pPr>
        <w:pStyle w:val="NormalWeb"/>
        <w:shd w:val="clear" w:color="auto" w:fill="FFFFFF"/>
        <w:spacing w:before="0" w:beforeAutospacing="0" w:after="0" w:afterAutospacing="0"/>
        <w:jc w:val="both"/>
        <w:rPr>
          <w:rFonts w:ascii="Helvetica" w:hAnsi="Helvetica"/>
          <w:color w:val="606D78"/>
        </w:rPr>
      </w:pPr>
      <w:hyperlink r:id="rId6" w:tgtFrame="_blank" w:history="1">
        <w:r>
          <w:rPr>
            <w:rStyle w:val="Hyperlink"/>
            <w:rFonts w:ascii="Georgia" w:eastAsiaTheme="majorEastAsia" w:hAnsi="Georgia"/>
            <w:b/>
            <w:bCs/>
            <w:color w:val="EF7622"/>
            <w:sz w:val="23"/>
            <w:szCs w:val="23"/>
          </w:rPr>
          <w:t>https://fincenrealestatereport.com/catic-agents-program/</w:t>
        </w:r>
      </w:hyperlink>
    </w:p>
    <w:p w14:paraId="3D314235" w14:textId="1C8CE199" w:rsidR="004C0510" w:rsidRDefault="004C0510" w:rsidP="004C0510">
      <w:pPr>
        <w:pStyle w:val="NormalWeb"/>
        <w:shd w:val="clear" w:color="auto" w:fill="FFFFFF"/>
        <w:spacing w:before="0" w:beforeAutospacing="0" w:after="0" w:afterAutospacing="0"/>
        <w:jc w:val="both"/>
        <w:rPr>
          <w:rFonts w:ascii="Georgia" w:hAnsi="Georgia"/>
          <w:b/>
          <w:bCs/>
          <w:color w:val="002D5C"/>
          <w:sz w:val="23"/>
          <w:szCs w:val="23"/>
        </w:rPr>
      </w:pPr>
      <w:r>
        <w:rPr>
          <w:rFonts w:ascii="Georgia" w:hAnsi="Georgia"/>
          <w:color w:val="002D5C"/>
          <w:sz w:val="23"/>
          <w:szCs w:val="23"/>
        </w:rPr>
        <w:br/>
      </w:r>
      <w:r w:rsidRPr="004C0510">
        <w:rPr>
          <w:rFonts w:ascii="Georgia" w:hAnsi="Georgia"/>
          <w:b/>
          <w:bCs/>
          <w:color w:val="002D5C"/>
          <w:sz w:val="23"/>
          <w:szCs w:val="23"/>
        </w:rPr>
        <w:t>Free resources on the partner page (near the bottom of the page):</w:t>
      </w:r>
    </w:p>
    <w:p w14:paraId="24CB7EE1" w14:textId="77777777" w:rsidR="004C0510" w:rsidRPr="004C0510" w:rsidRDefault="004C0510" w:rsidP="004C0510">
      <w:pPr>
        <w:pStyle w:val="NormalWeb"/>
        <w:shd w:val="clear" w:color="auto" w:fill="FFFFFF"/>
        <w:spacing w:before="0" w:beforeAutospacing="0" w:after="0" w:afterAutospacing="0"/>
        <w:jc w:val="both"/>
        <w:rPr>
          <w:rFonts w:ascii="Helvetica" w:hAnsi="Helvetica"/>
          <w:b/>
          <w:bCs/>
          <w:color w:val="606D78"/>
        </w:rPr>
      </w:pPr>
    </w:p>
    <w:p w14:paraId="25C5CD30" w14:textId="77777777" w:rsidR="004C0510" w:rsidRDefault="004C0510" w:rsidP="004C0510">
      <w:pPr>
        <w:pStyle w:val="NormalWeb"/>
        <w:shd w:val="clear" w:color="auto" w:fill="FFFFFF"/>
        <w:spacing w:before="0" w:beforeAutospacing="0" w:after="0" w:afterAutospacing="0"/>
        <w:jc w:val="both"/>
        <w:rPr>
          <w:rFonts w:ascii="Helvetica" w:hAnsi="Helvetica"/>
          <w:color w:val="606D78"/>
        </w:rPr>
      </w:pPr>
      <w:r>
        <w:rPr>
          <w:rFonts w:ascii="Georgia" w:hAnsi="Georgia"/>
          <w:color w:val="002D5C"/>
          <w:sz w:val="23"/>
          <w:szCs w:val="23"/>
        </w:rPr>
        <w:t>• Free training webinars for staff</w:t>
      </w:r>
    </w:p>
    <w:p w14:paraId="305D6D6D" w14:textId="77777777" w:rsidR="004C0510" w:rsidRDefault="004C0510" w:rsidP="004C0510">
      <w:pPr>
        <w:pStyle w:val="NormalWeb"/>
        <w:shd w:val="clear" w:color="auto" w:fill="FFFFFF"/>
        <w:spacing w:before="0" w:beforeAutospacing="0" w:after="0" w:afterAutospacing="0"/>
        <w:jc w:val="both"/>
        <w:rPr>
          <w:rFonts w:ascii="Helvetica" w:hAnsi="Helvetica"/>
          <w:color w:val="606D78"/>
        </w:rPr>
      </w:pPr>
      <w:r>
        <w:rPr>
          <w:rFonts w:ascii="Georgia" w:hAnsi="Georgia"/>
          <w:color w:val="002D5C"/>
          <w:sz w:val="23"/>
          <w:szCs w:val="23"/>
        </w:rPr>
        <w:t>• Exemption checkers to know when filings are required</w:t>
      </w:r>
    </w:p>
    <w:p w14:paraId="0B3BB0EA" w14:textId="77777777" w:rsidR="004C0510" w:rsidRDefault="004C0510" w:rsidP="004C0510">
      <w:pPr>
        <w:pStyle w:val="NormalWeb"/>
        <w:shd w:val="clear" w:color="auto" w:fill="FFFFFF"/>
        <w:spacing w:before="0" w:beforeAutospacing="0" w:after="0" w:afterAutospacing="0"/>
        <w:jc w:val="both"/>
        <w:rPr>
          <w:rFonts w:ascii="Helvetica" w:hAnsi="Helvetica"/>
          <w:color w:val="606D78"/>
        </w:rPr>
      </w:pPr>
      <w:r>
        <w:rPr>
          <w:rFonts w:ascii="Georgia" w:hAnsi="Georgia"/>
          <w:color w:val="002D5C"/>
          <w:sz w:val="23"/>
          <w:szCs w:val="23"/>
        </w:rPr>
        <w:t>• Templates for customer communications</w:t>
      </w:r>
    </w:p>
    <w:p w14:paraId="0BFEAAF9" w14:textId="77777777" w:rsidR="004C0510" w:rsidRDefault="004C0510" w:rsidP="004C0510">
      <w:pPr>
        <w:pStyle w:val="NormalWeb"/>
        <w:shd w:val="clear" w:color="auto" w:fill="FFFFFF"/>
        <w:spacing w:before="0" w:beforeAutospacing="0" w:after="0" w:afterAutospacing="0"/>
        <w:jc w:val="both"/>
        <w:rPr>
          <w:rFonts w:ascii="Helvetica" w:hAnsi="Helvetica"/>
          <w:color w:val="606D78"/>
        </w:rPr>
      </w:pPr>
      <w:r>
        <w:rPr>
          <w:rFonts w:ascii="Georgia" w:hAnsi="Georgia"/>
          <w:color w:val="002D5C"/>
          <w:sz w:val="23"/>
          <w:szCs w:val="23"/>
        </w:rPr>
        <w:t>• Resources to share with buyers, sellers, and their agents about these reports</w:t>
      </w:r>
    </w:p>
    <w:p w14:paraId="43F1BB25" w14:textId="77777777" w:rsidR="004C0510" w:rsidRDefault="004C0510" w:rsidP="004C0510">
      <w:pPr>
        <w:pStyle w:val="NormalWeb"/>
        <w:shd w:val="clear" w:color="auto" w:fill="FFFFFF"/>
        <w:spacing w:before="0" w:beforeAutospacing="0" w:after="0" w:afterAutospacing="0"/>
        <w:jc w:val="both"/>
        <w:rPr>
          <w:rFonts w:ascii="Helvetica" w:hAnsi="Helvetica"/>
          <w:color w:val="606D78"/>
        </w:rPr>
      </w:pPr>
      <w:r>
        <w:rPr>
          <w:rFonts w:ascii="Tahoma" w:hAnsi="Tahoma" w:cs="Tahoma"/>
          <w:color w:val="002D5C"/>
          <w:sz w:val="23"/>
          <w:szCs w:val="23"/>
        </w:rPr>
        <w:t>﻿</w:t>
      </w:r>
      <w:r>
        <w:rPr>
          <w:rFonts w:ascii="Georgia" w:hAnsi="Georgia"/>
          <w:color w:val="002D5C"/>
          <w:sz w:val="23"/>
          <w:szCs w:val="23"/>
        </w:rPr>
        <w:br/>
      </w:r>
      <w:r>
        <w:rPr>
          <w:rFonts w:ascii="Tahoma" w:hAnsi="Tahoma" w:cs="Tahoma"/>
          <w:color w:val="002D5C"/>
          <w:sz w:val="23"/>
          <w:szCs w:val="23"/>
        </w:rPr>
        <w:t>﻿</w:t>
      </w:r>
      <w:r>
        <w:rPr>
          <w:rFonts w:ascii="Georgia" w:hAnsi="Georgia"/>
          <w:color w:val="002D5C"/>
          <w:sz w:val="23"/>
          <w:szCs w:val="23"/>
        </w:rPr>
        <w:t>We recommend bookmarking that page for staff access to the exemption checkers and resources as you prepare for the FinCEN real estate reporting. Ideally, you’ll want to have a solution in place by January to be ready to place orders in February for your March closings. Files closing in early March require reports (unless they are exempt) and you will need to collect the filing information prior to your closing.</w:t>
      </w:r>
    </w:p>
    <w:p w14:paraId="16B82DA3" w14:textId="77777777" w:rsidR="004C0510" w:rsidRDefault="004C0510" w:rsidP="004C0510">
      <w:pPr>
        <w:pStyle w:val="NormalWeb"/>
        <w:shd w:val="clear" w:color="auto" w:fill="FFFFFF"/>
        <w:spacing w:before="0" w:beforeAutospacing="0" w:after="0" w:afterAutospacing="0"/>
        <w:rPr>
          <w:rFonts w:ascii="Georgia" w:hAnsi="Georgia"/>
          <w:color w:val="002D5C"/>
          <w:sz w:val="23"/>
          <w:szCs w:val="23"/>
        </w:rPr>
      </w:pPr>
    </w:p>
    <w:p w14:paraId="2BA5461F" w14:textId="61084E7E" w:rsidR="004C0510" w:rsidRDefault="004C0510" w:rsidP="004C0510">
      <w:pPr>
        <w:pStyle w:val="NormalWeb"/>
        <w:shd w:val="clear" w:color="auto" w:fill="FFFFFF"/>
        <w:spacing w:before="0" w:beforeAutospacing="0" w:after="0" w:afterAutospacing="0"/>
        <w:rPr>
          <w:rFonts w:ascii="Helvetica" w:hAnsi="Helvetica"/>
          <w:color w:val="606D78"/>
        </w:rPr>
      </w:pPr>
      <w:r>
        <w:rPr>
          <w:rFonts w:ascii="Georgia" w:hAnsi="Georgia"/>
          <w:color w:val="002D5C"/>
          <w:sz w:val="23"/>
          <w:szCs w:val="23"/>
        </w:rPr>
        <w:t xml:space="preserve">For any questions, you can also reach out to </w:t>
      </w:r>
      <w:hyperlink r:id="rId7" w:tgtFrame="_blank" w:history="1">
        <w:r>
          <w:rPr>
            <w:rStyle w:val="Hyperlink"/>
            <w:rFonts w:ascii="Georgia" w:eastAsiaTheme="majorEastAsia" w:hAnsi="Georgia"/>
            <w:b/>
            <w:bCs/>
            <w:color w:val="EF7622"/>
            <w:sz w:val="23"/>
            <w:szCs w:val="23"/>
          </w:rPr>
          <w:t>contact@fincenrealestatereport.com</w:t>
        </w:r>
      </w:hyperlink>
      <w:r>
        <w:rPr>
          <w:rFonts w:ascii="Georgia" w:hAnsi="Georgia"/>
          <w:color w:val="EF7622"/>
          <w:sz w:val="23"/>
          <w:szCs w:val="23"/>
        </w:rPr>
        <w:t>.</w:t>
      </w:r>
    </w:p>
    <w:p w14:paraId="10811B8C" w14:textId="77777777" w:rsidR="00AE1F3D" w:rsidRDefault="00AE1F3D"/>
    <w:sectPr w:rsidR="00AE1F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510"/>
    <w:rsid w:val="00102946"/>
    <w:rsid w:val="00250570"/>
    <w:rsid w:val="002A0A56"/>
    <w:rsid w:val="0041482E"/>
    <w:rsid w:val="004C0510"/>
    <w:rsid w:val="00AE1F3D"/>
    <w:rsid w:val="00F24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B0536"/>
  <w15:chartTrackingRefBased/>
  <w15:docId w15:val="{A3CF19F9-E76A-4AB6-9C08-BA4EEE283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05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05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05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05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05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05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5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5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5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5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05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05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05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05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05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05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05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0510"/>
    <w:rPr>
      <w:rFonts w:eastAsiaTheme="majorEastAsia" w:cstheme="majorBidi"/>
      <w:color w:val="272727" w:themeColor="text1" w:themeTint="D8"/>
    </w:rPr>
  </w:style>
  <w:style w:type="paragraph" w:styleId="Title">
    <w:name w:val="Title"/>
    <w:basedOn w:val="Normal"/>
    <w:next w:val="Normal"/>
    <w:link w:val="TitleChar"/>
    <w:uiPriority w:val="10"/>
    <w:qFormat/>
    <w:rsid w:val="004C05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05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05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5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0510"/>
    <w:pPr>
      <w:spacing w:before="160"/>
      <w:jc w:val="center"/>
    </w:pPr>
    <w:rPr>
      <w:i/>
      <w:iCs/>
      <w:color w:val="404040" w:themeColor="text1" w:themeTint="BF"/>
    </w:rPr>
  </w:style>
  <w:style w:type="character" w:customStyle="1" w:styleId="QuoteChar">
    <w:name w:val="Quote Char"/>
    <w:basedOn w:val="DefaultParagraphFont"/>
    <w:link w:val="Quote"/>
    <w:uiPriority w:val="29"/>
    <w:rsid w:val="004C0510"/>
    <w:rPr>
      <w:i/>
      <w:iCs/>
      <w:color w:val="404040" w:themeColor="text1" w:themeTint="BF"/>
    </w:rPr>
  </w:style>
  <w:style w:type="paragraph" w:styleId="ListParagraph">
    <w:name w:val="List Paragraph"/>
    <w:basedOn w:val="Normal"/>
    <w:uiPriority w:val="34"/>
    <w:qFormat/>
    <w:rsid w:val="004C0510"/>
    <w:pPr>
      <w:ind w:left="720"/>
      <w:contextualSpacing/>
    </w:pPr>
  </w:style>
  <w:style w:type="character" w:styleId="IntenseEmphasis">
    <w:name w:val="Intense Emphasis"/>
    <w:basedOn w:val="DefaultParagraphFont"/>
    <w:uiPriority w:val="21"/>
    <w:qFormat/>
    <w:rsid w:val="004C0510"/>
    <w:rPr>
      <w:i/>
      <w:iCs/>
      <w:color w:val="0F4761" w:themeColor="accent1" w:themeShade="BF"/>
    </w:rPr>
  </w:style>
  <w:style w:type="paragraph" w:styleId="IntenseQuote">
    <w:name w:val="Intense Quote"/>
    <w:basedOn w:val="Normal"/>
    <w:next w:val="Normal"/>
    <w:link w:val="IntenseQuoteChar"/>
    <w:uiPriority w:val="30"/>
    <w:qFormat/>
    <w:rsid w:val="004C05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0510"/>
    <w:rPr>
      <w:i/>
      <w:iCs/>
      <w:color w:val="0F4761" w:themeColor="accent1" w:themeShade="BF"/>
    </w:rPr>
  </w:style>
  <w:style w:type="character" w:styleId="IntenseReference">
    <w:name w:val="Intense Reference"/>
    <w:basedOn w:val="DefaultParagraphFont"/>
    <w:uiPriority w:val="32"/>
    <w:qFormat/>
    <w:rsid w:val="004C0510"/>
    <w:rPr>
      <w:b/>
      <w:bCs/>
      <w:smallCaps/>
      <w:color w:val="0F4761" w:themeColor="accent1" w:themeShade="BF"/>
      <w:spacing w:val="5"/>
    </w:rPr>
  </w:style>
  <w:style w:type="paragraph" w:styleId="NormalWeb">
    <w:name w:val="Normal (Web)"/>
    <w:basedOn w:val="Normal"/>
    <w:uiPriority w:val="99"/>
    <w:semiHidden/>
    <w:unhideWhenUsed/>
    <w:rsid w:val="004C051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4C05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ontact@fincenrealestaterepor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incenrealestatereport.com/catic-agents-program/" TargetMode="External"/><Relationship Id="rId5" Type="http://schemas.openxmlformats.org/officeDocument/2006/relationships/hyperlink" Target="https://fincenrealestatereport.com/customer-explainer-form/"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326</Words>
  <Characters>1801</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Caron</dc:creator>
  <cp:keywords/>
  <dc:description/>
  <cp:lastModifiedBy>Katie Caron</cp:lastModifiedBy>
  <cp:revision>1</cp:revision>
  <dcterms:created xsi:type="dcterms:W3CDTF">2025-12-17T23:55:00Z</dcterms:created>
  <dcterms:modified xsi:type="dcterms:W3CDTF">2025-12-18T00:09:00Z</dcterms:modified>
</cp:coreProperties>
</file>