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D17B" w14:textId="77777777" w:rsidR="00EC38A5" w:rsidRPr="00EC38A5" w:rsidRDefault="00EC38A5" w:rsidP="00EC38A5">
      <w:pPr>
        <w:shd w:val="clear" w:color="auto" w:fill="F8F8F8"/>
        <w:spacing w:after="0" w:line="240" w:lineRule="auto"/>
        <w:jc w:val="center"/>
        <w:rPr>
          <w:rFonts w:ascii="Roboto" w:eastAsia="Times New Roman" w:hAnsi="Roboto" w:cs="Times New Roman"/>
          <w:color w:val="000000"/>
          <w:sz w:val="21"/>
          <w:szCs w:val="21"/>
        </w:rPr>
      </w:pPr>
      <w:r w:rsidRPr="00EC38A5">
        <w:rPr>
          <w:rFonts w:ascii="Roboto" w:eastAsia="Times New Roman" w:hAnsi="Roboto" w:cs="Times New Roman"/>
          <w:b/>
          <w:bCs/>
          <w:color w:val="264484"/>
          <w:sz w:val="36"/>
          <w:szCs w:val="36"/>
        </w:rPr>
        <w:t>Rural Groundwater Working Group</w:t>
      </w:r>
    </w:p>
    <w:p w14:paraId="74F64B79" w14:textId="77777777" w:rsidR="00EC38A5" w:rsidRPr="00EC38A5" w:rsidRDefault="00EC38A5" w:rsidP="00EC38A5">
      <w:pPr>
        <w:shd w:val="clear" w:color="auto" w:fill="F8F8F8"/>
        <w:spacing w:after="0" w:line="240" w:lineRule="auto"/>
        <w:jc w:val="both"/>
        <w:rPr>
          <w:rFonts w:ascii="Roboto" w:eastAsia="Times New Roman" w:hAnsi="Roboto" w:cs="Times New Roman"/>
          <w:color w:val="000000"/>
          <w:sz w:val="21"/>
          <w:szCs w:val="21"/>
        </w:rPr>
      </w:pPr>
    </w:p>
    <w:p w14:paraId="27BA6176" w14:textId="77777777" w:rsidR="00EC38A5" w:rsidRPr="00EC38A5" w:rsidRDefault="00EC38A5" w:rsidP="00EC38A5">
      <w:pPr>
        <w:shd w:val="clear" w:color="auto" w:fill="F8F8F8"/>
        <w:spacing w:after="0" w:line="240" w:lineRule="auto"/>
        <w:jc w:val="both"/>
        <w:rPr>
          <w:rFonts w:ascii="Roboto" w:eastAsia="Times New Roman" w:hAnsi="Roboto" w:cs="Times New Roman"/>
          <w:color w:val="000000"/>
          <w:sz w:val="21"/>
          <w:szCs w:val="21"/>
        </w:rPr>
      </w:pPr>
      <w:r w:rsidRPr="00EC38A5">
        <w:rPr>
          <w:rFonts w:ascii="Roboto" w:eastAsia="Times New Roman" w:hAnsi="Roboto" w:cs="Times New Roman"/>
          <w:color w:val="222222"/>
          <w:szCs w:val="24"/>
        </w:rPr>
        <w:t xml:space="preserve">The Rural Groundwater Working Group is working on a strategy to get the Arizona Legislature to pass legislation to allow counties to manage their groundwater. AZTU is an active member of this group. We recognize that surface water and groundwater are inextricably connected. </w:t>
      </w:r>
      <w:r w:rsidRPr="00EC38A5">
        <w:rPr>
          <w:rFonts w:ascii="Roboto" w:eastAsia="Times New Roman" w:hAnsi="Roboto" w:cs="Times New Roman"/>
          <w:color w:val="000000"/>
          <w:szCs w:val="24"/>
        </w:rPr>
        <w:t xml:space="preserve">{Continue reading </w:t>
      </w:r>
      <w:hyperlink r:id="rId4" w:tgtFrame="_blank" w:history="1">
        <w:r w:rsidRPr="00EC38A5">
          <w:rPr>
            <w:rFonts w:ascii="Roboto" w:eastAsia="Times New Roman" w:hAnsi="Roboto" w:cs="Times New Roman"/>
            <w:b/>
            <w:bCs/>
            <w:color w:val="0000FF"/>
            <w:szCs w:val="24"/>
            <w:u w:val="single"/>
          </w:rPr>
          <w:t>here</w:t>
        </w:r>
      </w:hyperlink>
      <w:r w:rsidRPr="00EC38A5">
        <w:rPr>
          <w:rFonts w:ascii="Roboto" w:eastAsia="Times New Roman" w:hAnsi="Roboto" w:cs="Times New Roman"/>
          <w:color w:val="000000"/>
          <w:szCs w:val="24"/>
        </w:rPr>
        <w:t>}</w:t>
      </w:r>
    </w:p>
    <w:p w14:paraId="3439B320" w14:textId="77777777" w:rsidR="00EC38A5" w:rsidRPr="00EC38A5" w:rsidRDefault="00EC38A5" w:rsidP="00EC38A5">
      <w:pPr>
        <w:shd w:val="clear" w:color="auto" w:fill="F8F8F8"/>
        <w:spacing w:after="0" w:line="240" w:lineRule="auto"/>
        <w:jc w:val="both"/>
        <w:rPr>
          <w:rFonts w:ascii="Roboto" w:eastAsia="Times New Roman" w:hAnsi="Roboto" w:cs="Times New Roman"/>
          <w:color w:val="000000"/>
          <w:sz w:val="21"/>
          <w:szCs w:val="21"/>
        </w:rPr>
      </w:pPr>
    </w:p>
    <w:p w14:paraId="2499A280" w14:textId="77777777" w:rsidR="00EC38A5" w:rsidRPr="00EC38A5" w:rsidRDefault="00EC38A5" w:rsidP="00EC38A5">
      <w:pPr>
        <w:shd w:val="clear" w:color="auto" w:fill="F8F8F8"/>
        <w:spacing w:after="0" w:line="240" w:lineRule="auto"/>
        <w:jc w:val="both"/>
        <w:rPr>
          <w:rFonts w:ascii="Roboto" w:eastAsia="Times New Roman" w:hAnsi="Roboto" w:cs="Times New Roman"/>
          <w:color w:val="000000"/>
          <w:sz w:val="21"/>
          <w:szCs w:val="21"/>
        </w:rPr>
      </w:pPr>
      <w:r w:rsidRPr="00EC38A5">
        <w:rPr>
          <w:rFonts w:ascii="Roboto" w:eastAsia="Times New Roman" w:hAnsi="Roboto" w:cs="Times New Roman"/>
          <w:color w:val="000000"/>
          <w:szCs w:val="24"/>
        </w:rPr>
        <w:t xml:space="preserve">This Working Group believes that the severe water crisis in Arizona has resulted in the need for new policies and investments to protect this precious resource and are advocating for a new way of managing groundwater in rural Arizona: Local Groundwater Stewardship Areas (LGSA or Stewardship Area). </w:t>
      </w:r>
    </w:p>
    <w:p w14:paraId="34FBD41B" w14:textId="77777777" w:rsidR="00EC38A5" w:rsidRPr="00EC38A5" w:rsidRDefault="00EC38A5" w:rsidP="00EC38A5">
      <w:pPr>
        <w:shd w:val="clear" w:color="auto" w:fill="F8F8F8"/>
        <w:spacing w:after="0" w:line="240" w:lineRule="auto"/>
        <w:jc w:val="both"/>
        <w:rPr>
          <w:rFonts w:ascii="Roboto" w:eastAsia="Times New Roman" w:hAnsi="Roboto" w:cs="Times New Roman"/>
          <w:color w:val="000000"/>
          <w:sz w:val="21"/>
          <w:szCs w:val="21"/>
        </w:rPr>
      </w:pPr>
    </w:p>
    <w:p w14:paraId="3C04CDDA" w14:textId="77777777" w:rsidR="00EC38A5" w:rsidRPr="00EC38A5" w:rsidRDefault="00EC38A5" w:rsidP="00EC38A5">
      <w:pPr>
        <w:shd w:val="clear" w:color="auto" w:fill="F8F8F8"/>
        <w:spacing w:after="0" w:line="240" w:lineRule="auto"/>
        <w:jc w:val="both"/>
        <w:rPr>
          <w:rFonts w:ascii="Roboto" w:eastAsia="Times New Roman" w:hAnsi="Roboto" w:cs="Times New Roman"/>
          <w:color w:val="000000"/>
          <w:sz w:val="21"/>
          <w:szCs w:val="21"/>
        </w:rPr>
      </w:pPr>
      <w:r w:rsidRPr="00EC38A5">
        <w:rPr>
          <w:rFonts w:ascii="Roboto" w:eastAsia="Times New Roman" w:hAnsi="Roboto" w:cs="Times New Roman"/>
          <w:color w:val="000000"/>
          <w:szCs w:val="24"/>
        </w:rPr>
        <w:t xml:space="preserve">Stewardship Areas provide </w:t>
      </w:r>
      <w:r w:rsidRPr="00EC38A5">
        <w:rPr>
          <w:rFonts w:eastAsia="Times New Roman" w:cs="Arial"/>
          <w:color w:val="000000"/>
          <w:szCs w:val="24"/>
        </w:rPr>
        <w:t xml:space="preserve">new funding </w:t>
      </w:r>
      <w:r w:rsidRPr="00EC38A5">
        <w:rPr>
          <w:rFonts w:ascii="Roboto" w:eastAsia="Times New Roman" w:hAnsi="Roboto" w:cs="Times New Roman"/>
          <w:color w:val="000000"/>
          <w:szCs w:val="24"/>
        </w:rPr>
        <w:t xml:space="preserve">and an </w:t>
      </w:r>
      <w:r w:rsidRPr="00EC38A5">
        <w:rPr>
          <w:rFonts w:eastAsia="Times New Roman" w:cs="Arial"/>
          <w:color w:val="000000"/>
          <w:szCs w:val="24"/>
        </w:rPr>
        <w:t xml:space="preserve">opt-in, locally-adaptable approach to groundwater management. </w:t>
      </w:r>
      <w:r w:rsidRPr="00EC38A5">
        <w:rPr>
          <w:rFonts w:ascii="Roboto" w:eastAsia="Times New Roman" w:hAnsi="Roboto" w:cs="Times New Roman"/>
          <w:color w:val="000000"/>
          <w:szCs w:val="24"/>
        </w:rPr>
        <w:t xml:space="preserve">Stewardship Areas put local communities in the driver’s seat while the Arizona Department of Water Resources (ADWR) provides technical, financial, and regulatory support. </w:t>
      </w:r>
    </w:p>
    <w:p w14:paraId="640077DB" w14:textId="77777777" w:rsidR="00374F19" w:rsidRDefault="00374F19"/>
    <w:sectPr w:rsidR="00374F19" w:rsidSect="008114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A5"/>
    <w:rsid w:val="00374F19"/>
    <w:rsid w:val="00811488"/>
    <w:rsid w:val="00EC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4C88"/>
  <w15:chartTrackingRefBased/>
  <w15:docId w15:val="{36A699E2-947E-41F3-A60D-E826317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es.constantcontact.com/80a60628001/ab101180-ca9b-4239-ba51-adf55258a8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1</cp:revision>
  <dcterms:created xsi:type="dcterms:W3CDTF">2023-02-01T05:09:00Z</dcterms:created>
  <dcterms:modified xsi:type="dcterms:W3CDTF">2023-02-01T05:10:00Z</dcterms:modified>
</cp:coreProperties>
</file>